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663"/>
        <w:spacing w:before="212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2"/>
        </w:rPr>
        <w:t>2021~2023 年</w:t>
      </w:r>
    </w:p>
    <w:p>
      <w:pPr>
        <w:ind w:left="1118"/>
        <w:spacing w:before="89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我国 5G 应用生态合作形势分析</w:t>
      </w:r>
    </w:p>
    <w:p>
      <w:pPr>
        <w:ind w:left="2471"/>
        <w:spacing w:before="33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6"/>
        </w:rPr>
        <w:t>马政  何菁钦</w:t>
      </w:r>
      <w:r>
        <w:rPr>
          <w:rFonts w:ascii="STKaiti" w:hAnsi="STKaiti" w:eastAsia="STKaiti" w:cs="STKaiti"/>
          <w:sz w:val="30"/>
          <w:szCs w:val="30"/>
          <w:spacing w:val="1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6"/>
        </w:rPr>
        <w:t>廖文凯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6"/>
        </w:rPr>
        <w:t>李泰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4" w:right="81" w:firstLine="586"/>
        <w:spacing w:before="98" w:line="332" w:lineRule="auto"/>
        <w:rPr/>
      </w:pPr>
      <w:r>
        <w:rPr>
          <w:rFonts w:ascii="Times New Roman" w:hAnsi="Times New Roman" w:eastAsia="Times New Roman" w:cs="Times New Roman"/>
          <w:spacing w:val="-5"/>
        </w:rPr>
        <w:t>2021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5"/>
        </w:rPr>
        <w:t>年十部门印发《</w:t>
      </w:r>
      <w:r>
        <w:rPr>
          <w:rFonts w:ascii="Times New Roman" w:hAnsi="Times New Roman" w:eastAsia="Times New Roman" w:cs="Times New Roman"/>
          <w:spacing w:val="-5"/>
        </w:rPr>
        <w:t>5G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应用“扬帆”行动计划（</w:t>
      </w:r>
      <w:r>
        <w:rPr>
          <w:rFonts w:ascii="Times New Roman" w:hAnsi="Times New Roman" w:eastAsia="Times New Roman" w:cs="Times New Roman"/>
          <w:spacing w:val="-5"/>
        </w:rPr>
        <w:t>2021-2023</w:t>
      </w:r>
      <w:r>
        <w:rPr>
          <w:spacing w:val="-13"/>
        </w:rPr>
        <w:t>年）》，部署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3"/>
        </w:rPr>
        <w:t>应用生态融通行动，提出支持电信运营、通信设</w:t>
      </w:r>
      <w:r>
        <w:rPr>
          <w:spacing w:val="-13"/>
        </w:rPr>
        <w:t>备、垂直行业、信息技术、互联网等企业开展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5G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13"/>
        </w:rPr>
        <w:t>融合应用创新。</w:t>
      </w:r>
      <w:r>
        <w:rPr>
          <w:spacing w:val="-3"/>
        </w:rPr>
        <w:t>本文分析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2021~2023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年我国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应用生</w:t>
      </w:r>
      <w:r>
        <w:rPr>
          <w:spacing w:val="-4"/>
        </w:rPr>
        <w:t>态合作形势，发现中国电</w:t>
      </w:r>
      <w:r>
        <w:rPr>
          <w:spacing w:val="-4"/>
        </w:rPr>
        <w:t>信存在行业客户合作持续性不足、联合伙伴拓展业务力度</w:t>
      </w:r>
      <w:r>
        <w:rPr>
          <w:spacing w:val="-5"/>
        </w:rPr>
        <w:t>不够及</w:t>
      </w:r>
      <w:r>
        <w:rPr>
          <w:spacing w:val="-4"/>
        </w:rPr>
        <w:t>大客户的同业竞争能力不强的问题，建议提升全生命周期</w:t>
      </w:r>
      <w:r>
        <w:rPr>
          <w:spacing w:val="-5"/>
        </w:rPr>
        <w:t>客户服</w:t>
      </w:r>
      <w:r>
        <w:rPr>
          <w:spacing w:val="-4"/>
        </w:rPr>
        <w:t>务能力，加强与伙伴的资源和能力共享，关注大客户</w:t>
      </w:r>
      <w:r>
        <w:rPr>
          <w:spacing w:val="-5"/>
        </w:rPr>
        <w:t>客情的横纵</w:t>
      </w:r>
      <w:r>
        <w:rPr>
          <w:spacing w:val="-12"/>
        </w:rPr>
        <w:t>向扩展。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一、我国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5G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应用生态合作成效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firstLine="95"/>
        <w:spacing w:before="1" w:line="2577" w:lineRule="exact"/>
        <w:rPr/>
      </w:pPr>
      <w:r>
        <w:rPr>
          <w:position w:val="-51"/>
        </w:rPr>
        <w:drawing>
          <wp:inline distT="0" distB="0" distL="0" distR="0">
            <wp:extent cx="5169407" cy="16367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9407" cy="16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24"/>
        <w:spacing w:before="287" w:line="22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    2021~2023 </w:t>
      </w:r>
      <w:r>
        <w:rPr>
          <w:rFonts w:ascii="KaiTi" w:hAnsi="KaiTi" w:eastAsia="KaiTi" w:cs="KaiTi"/>
          <w:sz w:val="30"/>
          <w:szCs w:val="30"/>
          <w:spacing w:val="-4"/>
        </w:rPr>
        <w:t>年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 </w:t>
      </w:r>
      <w:r>
        <w:rPr>
          <w:rFonts w:ascii="KaiTi" w:hAnsi="KaiTi" w:eastAsia="KaiTi" w:cs="KaiTi"/>
          <w:sz w:val="30"/>
          <w:szCs w:val="30"/>
          <w:spacing w:val="-4"/>
        </w:rPr>
        <w:t>应用生态合作网络图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14" w:firstLine="614"/>
        <w:spacing w:before="98" w:line="33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持续举办“绽放杯”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 </w:t>
      </w:r>
      <w:r>
        <w:rPr>
          <w:rFonts w:ascii="SimSun" w:hAnsi="SimSun" w:eastAsia="SimSun" w:cs="SimSun"/>
          <w:sz w:val="30"/>
          <w:szCs w:val="30"/>
          <w:spacing w:val="-3"/>
        </w:rPr>
        <w:t>应用征集大赛是我国</w:t>
      </w:r>
      <w:r>
        <w:rPr>
          <w:rFonts w:ascii="SimSun" w:hAnsi="SimSun" w:eastAsia="SimSun" w:cs="SimSun"/>
          <w:sz w:val="30"/>
          <w:szCs w:val="30"/>
          <w:spacing w:val="-4"/>
        </w:rPr>
        <w:t>培育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 </w:t>
      </w:r>
      <w:r>
        <w:rPr>
          <w:rFonts w:ascii="SimSun" w:hAnsi="SimSun" w:eastAsia="SimSun" w:cs="SimSun"/>
          <w:sz w:val="30"/>
          <w:szCs w:val="30"/>
          <w:spacing w:val="-4"/>
        </w:rPr>
        <w:t>应用创</w:t>
      </w:r>
      <w:r>
        <w:rPr>
          <w:rFonts w:ascii="SimSun" w:hAnsi="SimSun" w:eastAsia="SimSun" w:cs="SimSun"/>
          <w:sz w:val="30"/>
          <w:szCs w:val="30"/>
          <w:spacing w:val="-6"/>
        </w:rPr>
        <w:t>新生态的重要手段，选取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2021~2023 </w:t>
      </w:r>
      <w:r>
        <w:rPr>
          <w:rFonts w:ascii="SimSun" w:hAnsi="SimSun" w:eastAsia="SimSun" w:cs="SimSun"/>
          <w:sz w:val="30"/>
          <w:szCs w:val="30"/>
          <w:spacing w:val="-6"/>
        </w:rPr>
        <w:t>年“绽放杯”区域赛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/</w:t>
      </w:r>
      <w:r>
        <w:rPr>
          <w:rFonts w:ascii="SimSun" w:hAnsi="SimSun" w:eastAsia="SimSun" w:cs="SimSun"/>
          <w:sz w:val="30"/>
          <w:szCs w:val="30"/>
          <w:spacing w:val="-6"/>
        </w:rPr>
        <w:t>专题赛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/</w:t>
      </w:r>
      <w:r>
        <w:rPr>
          <w:rFonts w:ascii="SimSun" w:hAnsi="SimSun" w:eastAsia="SimSun" w:cs="SimSun"/>
          <w:sz w:val="30"/>
          <w:szCs w:val="30"/>
          <w:spacing w:val="-8"/>
        </w:rPr>
        <w:t>全国赛共计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7328 </w:t>
      </w:r>
      <w:r>
        <w:rPr>
          <w:rFonts w:ascii="SimSun" w:hAnsi="SimSun" w:eastAsia="SimSun" w:cs="SimSun"/>
          <w:sz w:val="30"/>
          <w:szCs w:val="30"/>
          <w:spacing w:val="-8"/>
        </w:rPr>
        <w:t>个获奖项目作为典型样本，构建生态合作网络，</w:t>
      </w:r>
    </w:p>
    <w:p>
      <w:pPr>
        <w:spacing w:line="336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firstLine="2"/>
        <w:spacing w:before="184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分析我国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 </w:t>
      </w:r>
      <w:r>
        <w:rPr>
          <w:rFonts w:ascii="SimSun" w:hAnsi="SimSun" w:eastAsia="SimSun" w:cs="SimSun"/>
          <w:sz w:val="30"/>
          <w:szCs w:val="30"/>
          <w:spacing w:val="-3"/>
        </w:rPr>
        <w:t>应用生态合作成效。如图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 </w:t>
      </w:r>
      <w:r>
        <w:rPr>
          <w:rFonts w:ascii="SimSun" w:hAnsi="SimSun" w:eastAsia="SimSun" w:cs="SimSun"/>
          <w:sz w:val="30"/>
          <w:szCs w:val="30"/>
          <w:spacing w:val="-3"/>
        </w:rPr>
        <w:t>所示，过去三年生态合</w:t>
      </w:r>
      <w:r>
        <w:rPr>
          <w:rFonts w:ascii="SimSun" w:hAnsi="SimSun" w:eastAsia="SimSun" w:cs="SimSun"/>
          <w:sz w:val="30"/>
          <w:szCs w:val="30"/>
          <w:spacing w:val="-4"/>
        </w:rPr>
        <w:t>作网络均呈现中心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-</w:t>
      </w:r>
      <w:r>
        <w:rPr>
          <w:rFonts w:ascii="SimSun" w:hAnsi="SimSun" w:eastAsia="SimSun" w:cs="SimSun"/>
          <w:sz w:val="30"/>
          <w:szCs w:val="30"/>
          <w:spacing w:val="-4"/>
        </w:rPr>
        <w:t>边缘结构，三大运营商和通信设备厂商华为、</w:t>
      </w:r>
      <w:r>
        <w:rPr>
          <w:rFonts w:ascii="SimSun" w:hAnsi="SimSun" w:eastAsia="SimSun" w:cs="SimSun"/>
          <w:sz w:val="30"/>
          <w:szCs w:val="30"/>
          <w:spacing w:val="-4"/>
        </w:rPr>
        <w:t>中兴处于网络中心，彼此联系紧密；以三家运营商为中心，形成</w:t>
      </w:r>
      <w:r>
        <w:rPr>
          <w:rFonts w:ascii="SimSun" w:hAnsi="SimSun" w:eastAsia="SimSun" w:cs="SimSun"/>
          <w:sz w:val="30"/>
          <w:szCs w:val="30"/>
          <w:spacing w:val="-3"/>
        </w:rPr>
        <w:t>各自相对独立的合作伙伴和客户关系网络。</w:t>
      </w:r>
    </w:p>
    <w:p>
      <w:pPr>
        <w:ind w:left="636"/>
        <w:spacing w:before="27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．生态主体参与度提升，生态类型丰富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7" w:right="104" w:firstLine="602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从主体参与情况看，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应用生态主体数量与项目参与度同</w:t>
      </w:r>
      <w:r>
        <w:rPr>
          <w:rFonts w:ascii="SimSun" w:hAnsi="SimSun" w:eastAsia="SimSun" w:cs="SimSun"/>
          <w:sz w:val="30"/>
          <w:szCs w:val="30"/>
          <w:spacing w:val="-9"/>
        </w:rPr>
        <w:t>步提升。过去三年，</w:t>
      </w:r>
      <w:r>
        <w:rPr>
          <w:rFonts w:ascii="SimSun" w:hAnsi="SimSun" w:eastAsia="SimSun" w:cs="SimSun"/>
          <w:sz w:val="30"/>
          <w:szCs w:val="30"/>
          <w:spacing w:val="7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生态主体数量从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1380 </w:t>
      </w:r>
      <w:r>
        <w:rPr>
          <w:rFonts w:ascii="SimSun" w:hAnsi="SimSun" w:eastAsia="SimSun" w:cs="SimSun"/>
          <w:sz w:val="30"/>
          <w:szCs w:val="30"/>
          <w:spacing w:val="-9"/>
        </w:rPr>
        <w:t>增长到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23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79</w:t>
      </w:r>
      <w:r>
        <w:rPr>
          <w:rFonts w:ascii="SimSun" w:hAnsi="SimSun" w:eastAsia="SimSun" w:cs="SimSun"/>
          <w:sz w:val="30"/>
          <w:szCs w:val="30"/>
          <w:spacing w:val="-10"/>
        </w:rPr>
        <w:t>，增量主</w:t>
      </w:r>
      <w:r>
        <w:rPr>
          <w:rFonts w:ascii="SimSun" w:hAnsi="SimSun" w:eastAsia="SimSun" w:cs="SimSun"/>
          <w:sz w:val="30"/>
          <w:szCs w:val="30"/>
          <w:spacing w:val="2"/>
        </w:rPr>
        <w:t>要为应用软件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解决方案商、高校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科研机构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政府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行业</w:t>
      </w:r>
      <w:r>
        <w:rPr>
          <w:rFonts w:ascii="SimSun" w:hAnsi="SimSun" w:eastAsia="SimSun" w:cs="SimSun"/>
          <w:sz w:val="30"/>
          <w:szCs w:val="30"/>
          <w:spacing w:val="-3"/>
        </w:rPr>
        <w:t>组织及行业客户，平均参与项目数由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1.18 </w:t>
      </w:r>
      <w:r>
        <w:rPr>
          <w:rFonts w:ascii="SimSun" w:hAnsi="SimSun" w:eastAsia="SimSun" w:cs="SimSun"/>
          <w:sz w:val="30"/>
          <w:szCs w:val="30"/>
          <w:spacing w:val="-3"/>
        </w:rPr>
        <w:t>增长到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1.22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left="26" w:right="101" w:firstLine="603"/>
        <w:spacing w:before="266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从主体生态位分布看，行业客户是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SimSun" w:hAnsi="SimSun" w:eastAsia="SimSun" w:cs="SimSun"/>
          <w:sz w:val="30"/>
          <w:szCs w:val="30"/>
          <w:spacing w:val="-2"/>
        </w:rPr>
        <w:t>应用生态中数量最多</w:t>
      </w:r>
      <w:r>
        <w:rPr>
          <w:rFonts w:ascii="SimSun" w:hAnsi="SimSun" w:eastAsia="SimSun" w:cs="SimSun"/>
          <w:sz w:val="30"/>
          <w:szCs w:val="30"/>
          <w:spacing w:val="-3"/>
        </w:rPr>
        <w:t>的类型。在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5173 </w:t>
      </w:r>
      <w:r>
        <w:rPr>
          <w:rFonts w:ascii="SimSun" w:hAnsi="SimSun" w:eastAsia="SimSun" w:cs="SimSun"/>
          <w:sz w:val="30"/>
          <w:szCs w:val="30"/>
          <w:spacing w:val="-3"/>
        </w:rPr>
        <w:t>个生态参与者中，行业客户占比超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50%</w:t>
      </w:r>
      <w:r>
        <w:rPr>
          <w:rFonts w:ascii="SimSun" w:hAnsi="SimSun" w:eastAsia="SimSun" w:cs="SimSun"/>
          <w:sz w:val="30"/>
          <w:szCs w:val="30"/>
          <w:spacing w:val="-3"/>
        </w:rPr>
        <w:t>，高校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科研机构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政府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行业组织占比达 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25%</w:t>
      </w:r>
      <w:r>
        <w:rPr>
          <w:rFonts w:ascii="SimSun" w:hAnsi="SimSun" w:eastAsia="SimSun" w:cs="SimSun"/>
          <w:sz w:val="30"/>
          <w:szCs w:val="30"/>
          <w:spacing w:val="2"/>
        </w:rPr>
        <w:t>，应用软件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解决</w:t>
      </w:r>
      <w:r>
        <w:rPr>
          <w:rFonts w:ascii="SimSun" w:hAnsi="SimSun" w:eastAsia="SimSun" w:cs="SimSun"/>
          <w:sz w:val="30"/>
          <w:szCs w:val="30"/>
          <w:spacing w:val="-1"/>
        </w:rPr>
        <w:t>方案商占比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22%</w:t>
      </w:r>
      <w:r>
        <w:rPr>
          <w:rFonts w:ascii="SimSun" w:hAnsi="SimSun" w:eastAsia="SimSun" w:cs="SimSun"/>
          <w:sz w:val="30"/>
          <w:szCs w:val="30"/>
          <w:spacing w:val="-1"/>
        </w:rPr>
        <w:t>，运营商、通信设备厂商和终端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模组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元器件厂</w:t>
      </w:r>
      <w:r>
        <w:rPr>
          <w:rFonts w:ascii="SimSun" w:hAnsi="SimSun" w:eastAsia="SimSun" w:cs="SimSun"/>
          <w:sz w:val="30"/>
          <w:szCs w:val="30"/>
          <w:spacing w:val="-3"/>
        </w:rPr>
        <w:t>商占比总和不足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3%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left="14" w:right="101" w:firstLine="614"/>
        <w:spacing w:before="266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从主体生态影响力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4"/>
        </w:rPr>
        <w:t>看，运营商和通信设备厂商影响力远强</w:t>
      </w:r>
      <w:r>
        <w:rPr>
          <w:rFonts w:ascii="SimSun" w:hAnsi="SimSun" w:eastAsia="SimSun" w:cs="SimSun"/>
          <w:sz w:val="30"/>
          <w:szCs w:val="30"/>
          <w:spacing w:val="-1"/>
        </w:rPr>
        <w:t>于其他生态参与者。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2021~2023 </w:t>
      </w:r>
      <w:r>
        <w:rPr>
          <w:rFonts w:ascii="SimSun" w:hAnsi="SimSun" w:eastAsia="SimSun" w:cs="SimSun"/>
          <w:sz w:val="30"/>
          <w:szCs w:val="30"/>
          <w:spacing w:val="-1"/>
        </w:rPr>
        <w:t>年，运营商和通信设备厂商平均</w:t>
      </w:r>
      <w:r>
        <w:rPr>
          <w:rFonts w:ascii="SimSun" w:hAnsi="SimSun" w:eastAsia="SimSun" w:cs="SimSun"/>
          <w:sz w:val="30"/>
          <w:szCs w:val="30"/>
          <w:spacing w:val="-6"/>
        </w:rPr>
        <w:t>影响力指数分别为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9.6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1.7</w:t>
      </w:r>
      <w:r>
        <w:rPr>
          <w:rFonts w:ascii="SimSun" w:hAnsi="SimSun" w:eastAsia="SimSun" w:cs="SimSun"/>
          <w:sz w:val="30"/>
          <w:szCs w:val="30"/>
          <w:spacing w:val="-6"/>
        </w:rPr>
        <w:t>，终端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/</w:t>
      </w:r>
      <w:r>
        <w:rPr>
          <w:rFonts w:ascii="SimSun" w:hAnsi="SimSun" w:eastAsia="SimSun" w:cs="SimSun"/>
          <w:sz w:val="30"/>
          <w:szCs w:val="30"/>
          <w:spacing w:val="-6"/>
        </w:rPr>
        <w:t>模组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/</w:t>
      </w:r>
      <w:r>
        <w:rPr>
          <w:rFonts w:ascii="SimSun" w:hAnsi="SimSun" w:eastAsia="SimSun" w:cs="SimSun"/>
          <w:sz w:val="30"/>
          <w:szCs w:val="30"/>
          <w:spacing w:val="-6"/>
        </w:rPr>
        <w:t>元器件厂商平均影响力指</w:t>
      </w:r>
      <w:r>
        <w:rPr>
          <w:rFonts w:ascii="SimSun" w:hAnsi="SimSun" w:eastAsia="SimSun" w:cs="SimSun"/>
          <w:sz w:val="30"/>
          <w:szCs w:val="30"/>
          <w:spacing w:val="-4"/>
        </w:rPr>
        <w:t>数为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0.07</w:t>
      </w:r>
      <w:r>
        <w:rPr>
          <w:rFonts w:ascii="SimSun" w:hAnsi="SimSun" w:eastAsia="SimSun" w:cs="SimSun"/>
          <w:sz w:val="30"/>
          <w:szCs w:val="30"/>
          <w:spacing w:val="-4"/>
        </w:rPr>
        <w:t>，应用软件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/</w:t>
      </w:r>
      <w:r>
        <w:rPr>
          <w:rFonts w:ascii="SimSun" w:hAnsi="SimSun" w:eastAsia="SimSun" w:cs="SimSun"/>
          <w:sz w:val="30"/>
          <w:szCs w:val="30"/>
          <w:spacing w:val="-4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/</w:t>
      </w:r>
      <w:r>
        <w:rPr>
          <w:rFonts w:ascii="SimSun" w:hAnsi="SimSun" w:eastAsia="SimSun" w:cs="SimSun"/>
          <w:sz w:val="30"/>
          <w:szCs w:val="30"/>
          <w:spacing w:val="-4"/>
        </w:rPr>
        <w:t>解决方案商、高校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/</w:t>
      </w:r>
      <w:r>
        <w:rPr>
          <w:rFonts w:ascii="SimSun" w:hAnsi="SimSun" w:eastAsia="SimSun" w:cs="SimSun"/>
          <w:sz w:val="30"/>
          <w:szCs w:val="30"/>
          <w:spacing w:val="-4"/>
        </w:rPr>
        <w:t>科研机构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/</w:t>
      </w:r>
      <w:r>
        <w:rPr>
          <w:rFonts w:ascii="SimSun" w:hAnsi="SimSun" w:eastAsia="SimSun" w:cs="SimSun"/>
          <w:sz w:val="30"/>
          <w:szCs w:val="30"/>
          <w:spacing w:val="-5"/>
        </w:rPr>
        <w:t>政府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行业组织和行业客户平均影响力指数小于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0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>
        <w:pict>
          <v:shape id="_x0000_s2" style="position:absolute;margin-left:0.72599pt;margin-top:8.4695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 w:right="99" w:firstLine="8"/>
        <w:spacing w:before="69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6"/>
        </w:rPr>
        <w:t>1   </w:t>
      </w:r>
      <w:r>
        <w:rPr>
          <w:rFonts w:ascii="SimSun" w:hAnsi="SimSun" w:eastAsia="SimSun" w:cs="SimSun"/>
          <w:sz w:val="21"/>
          <w:szCs w:val="21"/>
          <w:spacing w:val="-1"/>
        </w:rPr>
        <w:t>基于生态合作网络设计影响力指数，综合考察生态</w:t>
      </w:r>
      <w:r>
        <w:rPr>
          <w:rFonts w:ascii="SimSun" w:hAnsi="SimSun" w:eastAsia="SimSun" w:cs="SimSun"/>
          <w:sz w:val="21"/>
          <w:szCs w:val="21"/>
          <w:spacing w:val="-2"/>
        </w:rPr>
        <w:t>参与主体自身的合作强度、合作伙伴的</w:t>
      </w:r>
      <w:r>
        <w:rPr>
          <w:rFonts w:ascii="SimSun" w:hAnsi="SimSun" w:eastAsia="SimSun" w:cs="SimSun"/>
          <w:sz w:val="21"/>
          <w:szCs w:val="21"/>
          <w:spacing w:val="-2"/>
        </w:rPr>
        <w:t>合作强度、建立新的合作关系或促成其他主体间合作</w:t>
      </w:r>
      <w:r>
        <w:rPr>
          <w:rFonts w:ascii="SimSun" w:hAnsi="SimSun" w:eastAsia="SimSun" w:cs="SimSun"/>
          <w:sz w:val="21"/>
          <w:szCs w:val="21"/>
          <w:spacing w:val="-3"/>
        </w:rPr>
        <w:t>的难易程度等因素。指数分布的均值为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，方差为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，相对大小反映主体影响力的差异。</w:t>
      </w:r>
    </w:p>
    <w:p>
      <w:pPr>
        <w:spacing w:line="261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firstLine="14"/>
        <w:spacing w:before="8" w:line="4056" w:lineRule="exact"/>
        <w:rPr/>
      </w:pPr>
      <w:r>
        <w:rPr>
          <w:position w:val="-81"/>
        </w:rPr>
        <w:drawing>
          <wp:inline distT="0" distB="0" distL="0" distR="0">
            <wp:extent cx="5551932" cy="257555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1932" cy="25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2"/>
        <w:spacing w:before="170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    </w:t>
      </w:r>
      <w:r>
        <w:rPr>
          <w:rFonts w:ascii="KaiTi" w:hAnsi="KaiTi" w:eastAsia="KaiTi" w:cs="KaiTi"/>
          <w:sz w:val="30"/>
          <w:szCs w:val="30"/>
          <w:spacing w:val="-4"/>
        </w:rPr>
        <w:t>生态影响力指数分布图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624"/>
        <w:spacing w:before="98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．生态合作强度分化，合作领域拓展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7" w:right="432" w:firstLine="602"/>
        <w:spacing w:before="98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从合作强度看，不同生态位合作强度分化。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2021~2023 </w:t>
      </w:r>
      <w:r>
        <w:rPr>
          <w:rFonts w:ascii="SimSun" w:hAnsi="SimSun" w:eastAsia="SimSun" w:cs="SimSun"/>
          <w:sz w:val="30"/>
          <w:szCs w:val="30"/>
          <w:spacing w:val="-2"/>
        </w:rPr>
        <w:t>年运</w:t>
      </w:r>
      <w:r>
        <w:rPr>
          <w:rFonts w:ascii="SimSun" w:hAnsi="SimSun" w:eastAsia="SimSun" w:cs="SimSun"/>
          <w:sz w:val="30"/>
          <w:szCs w:val="30"/>
          <w:spacing w:val="-4"/>
        </w:rPr>
        <w:t>营商与通信设备厂商各自合作强度大幅上升，平均合作次数分别</w:t>
      </w:r>
      <w:r>
        <w:rPr>
          <w:rFonts w:ascii="SimSun" w:hAnsi="SimSun" w:eastAsia="SimSun" w:cs="SimSun"/>
          <w:sz w:val="30"/>
          <w:szCs w:val="30"/>
          <w:spacing w:val="-6"/>
        </w:rPr>
        <w:t>从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461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次上升到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660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106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次；应用软件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/</w:t>
      </w:r>
      <w:r>
        <w:rPr>
          <w:rFonts w:ascii="SimSun" w:hAnsi="SimSun" w:eastAsia="SimSun" w:cs="SimSun"/>
          <w:sz w:val="30"/>
          <w:szCs w:val="30"/>
          <w:spacing w:val="-6"/>
        </w:rPr>
        <w:t>系统集</w:t>
      </w:r>
      <w:r>
        <w:rPr>
          <w:rFonts w:ascii="SimSun" w:hAnsi="SimSun" w:eastAsia="SimSun" w:cs="SimSun"/>
          <w:sz w:val="30"/>
          <w:szCs w:val="30"/>
          <w:spacing w:val="-7"/>
        </w:rPr>
        <w:t>成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解决方案</w:t>
      </w:r>
      <w:r>
        <w:rPr>
          <w:rFonts w:ascii="SimSun" w:hAnsi="SimSun" w:eastAsia="SimSun" w:cs="SimSun"/>
          <w:sz w:val="30"/>
          <w:szCs w:val="30"/>
          <w:spacing w:val="-2"/>
        </w:rPr>
        <w:t>商、高校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科研机构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政府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行业组织及行业客户在数量增长的同时</w:t>
      </w:r>
      <w:r>
        <w:rPr>
          <w:rFonts w:ascii="SimSun" w:hAnsi="SimSun" w:eastAsia="SimSun" w:cs="SimSun"/>
          <w:sz w:val="30"/>
          <w:szCs w:val="30"/>
          <w:spacing w:val="-6"/>
        </w:rPr>
        <w:t>合作强度普遍下降。</w:t>
      </w:r>
    </w:p>
    <w:p>
      <w:pPr>
        <w:ind w:left="23" w:right="435" w:firstLine="605"/>
        <w:spacing w:before="293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从合作领域看，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应用生态覆盖的行业领域持续拓展。先</w:t>
      </w:r>
      <w:r>
        <w:rPr>
          <w:rFonts w:ascii="SimSun" w:hAnsi="SimSun" w:eastAsia="SimSun" w:cs="SimSun"/>
          <w:sz w:val="30"/>
          <w:szCs w:val="30"/>
          <w:spacing w:val="-1"/>
        </w:rPr>
        <w:t>进制造、能源有色、交通物流和政法公安等领域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应用规模较</w:t>
      </w:r>
      <w:r>
        <w:rPr>
          <w:rFonts w:ascii="SimSun" w:hAnsi="SimSun" w:eastAsia="SimSun" w:cs="SimSun"/>
          <w:sz w:val="30"/>
          <w:szCs w:val="30"/>
          <w:spacing w:val="-2"/>
        </w:rPr>
        <w:t>大，农业农村、水利海洋和融合媒体等领域增长速度较快。</w:t>
      </w:r>
    </w:p>
    <w:p>
      <w:pPr>
        <w:ind w:left="26" w:right="432" w:firstLine="603"/>
        <w:spacing w:before="282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从合作伙伴分布看，不同生态位之间合作情况差异显著。通</w:t>
      </w:r>
      <w:r>
        <w:rPr>
          <w:rFonts w:ascii="SimSun" w:hAnsi="SimSun" w:eastAsia="SimSun" w:cs="SimSun"/>
          <w:sz w:val="30"/>
          <w:szCs w:val="30"/>
          <w:spacing w:val="-4"/>
        </w:rPr>
        <w:t>讯设备厂商与运营商合作紧密，华为、中兴与运营商的平均合作</w:t>
      </w:r>
      <w:r>
        <w:rPr>
          <w:rFonts w:ascii="SimSun" w:hAnsi="SimSun" w:eastAsia="SimSun" w:cs="SimSun"/>
          <w:sz w:val="30"/>
          <w:szCs w:val="30"/>
          <w:spacing w:val="-5"/>
        </w:rPr>
        <w:t>次数分别达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233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190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次。应用软件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/</w:t>
      </w:r>
      <w:r>
        <w:rPr>
          <w:rFonts w:ascii="SimSun" w:hAnsi="SimSun" w:eastAsia="SimSun" w:cs="SimSun"/>
          <w:sz w:val="30"/>
          <w:szCs w:val="30"/>
          <w:spacing w:val="-5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/</w:t>
      </w:r>
      <w:r>
        <w:rPr>
          <w:rFonts w:ascii="SimSun" w:hAnsi="SimSun" w:eastAsia="SimSun" w:cs="SimSun"/>
          <w:sz w:val="30"/>
          <w:szCs w:val="30"/>
          <w:spacing w:val="-5"/>
        </w:rPr>
        <w:t>解决方案商偏向与</w:t>
      </w:r>
      <w:r>
        <w:rPr>
          <w:rFonts w:ascii="SimSun" w:hAnsi="SimSun" w:eastAsia="SimSun" w:cs="SimSun"/>
          <w:sz w:val="30"/>
          <w:szCs w:val="30"/>
          <w:spacing w:val="-9"/>
        </w:rPr>
        <w:t>特定运营商合作，如浪潮、上海山源电子多与移动合作， 云启智</w:t>
      </w:r>
      <w:r>
        <w:rPr>
          <w:rFonts w:ascii="SimSun" w:hAnsi="SimSun" w:eastAsia="SimSun" w:cs="SimSun"/>
          <w:sz w:val="30"/>
          <w:szCs w:val="30"/>
          <w:spacing w:val="1"/>
        </w:rPr>
        <w:t>慧多与联通合作。除运营商外，终端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模组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元器件厂商与通信设</w:t>
      </w:r>
      <w:r>
        <w:rPr>
          <w:rFonts w:ascii="SimSun" w:hAnsi="SimSun" w:eastAsia="SimSun" w:cs="SimSun"/>
          <w:sz w:val="30"/>
          <w:szCs w:val="30"/>
          <w:spacing w:val="-4"/>
        </w:rPr>
        <w:t>备厂商合作更多，其中海康威视、浙江大华主要与华为、中兴合</w:t>
      </w:r>
    </w:p>
    <w:p>
      <w:pPr>
        <w:spacing w:line="332" w:lineRule="auto"/>
        <w:sectPr>
          <w:pgSz w:w="11907" w:h="16839"/>
          <w:pgMar w:top="1431" w:right="136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0" w:right="473" w:hanging="3"/>
        <w:spacing w:before="183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作，紫光展锐更多与通则康威合作。高校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科研机构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政府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行业组</w:t>
      </w:r>
      <w:r>
        <w:rPr>
          <w:rFonts w:ascii="SimSun" w:hAnsi="SimSun" w:eastAsia="SimSun" w:cs="SimSun"/>
          <w:sz w:val="30"/>
          <w:szCs w:val="30"/>
          <w:spacing w:val="-9"/>
        </w:rPr>
        <w:t>织通常聚焦个别垂直领域，如浙江大学面向电力、物流行业， 与</w:t>
      </w:r>
      <w:r>
        <w:rPr>
          <w:rFonts w:ascii="SimSun" w:hAnsi="SimSun" w:eastAsia="SimSun" w:cs="SimSun"/>
          <w:sz w:val="30"/>
          <w:szCs w:val="30"/>
          <w:spacing w:val="-5"/>
        </w:rPr>
        <w:t>国家电网、集装箱码头合作。</w:t>
      </w:r>
    </w:p>
    <w:p>
      <w:pPr>
        <w:ind w:left="621"/>
        <w:spacing w:before="285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．头部生态主体影响力格局相对稳定</w:t>
      </w:r>
    </w:p>
    <w:p>
      <w:pPr>
        <w:ind w:firstLine="14"/>
        <w:spacing w:before="223" w:line="4210" w:lineRule="exact"/>
        <w:rPr/>
      </w:pPr>
      <w:r>
        <w:rPr>
          <w:position w:val="-84"/>
        </w:rPr>
        <w:drawing>
          <wp:inline distT="0" distB="0" distL="0" distR="0">
            <wp:extent cx="5577840" cy="267309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840" cy="26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64"/>
        <w:spacing w:before="249" w:line="213" w:lineRule="auto"/>
        <w:outlineLvl w:val="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    2021~2023 </w:t>
      </w:r>
      <w:r>
        <w:rPr>
          <w:rFonts w:ascii="KaiTi" w:hAnsi="KaiTi" w:eastAsia="KaiTi" w:cs="KaiTi"/>
          <w:sz w:val="30"/>
          <w:szCs w:val="30"/>
          <w:spacing w:val="-3"/>
        </w:rPr>
        <w:t>年生态影响力指</w:t>
      </w:r>
      <w:r>
        <w:rPr>
          <w:rFonts w:ascii="KaiTi" w:hAnsi="KaiTi" w:eastAsia="KaiTi" w:cs="KaiTi"/>
          <w:sz w:val="30"/>
          <w:szCs w:val="30"/>
          <w:spacing w:val="-4"/>
        </w:rPr>
        <w:t>数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Top20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3" w:right="369" w:firstLine="606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从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2021~2023 </w:t>
      </w:r>
      <w:r>
        <w:rPr>
          <w:rFonts w:ascii="SimSun" w:hAnsi="SimSun" w:eastAsia="SimSun" w:cs="SimSun"/>
          <w:sz w:val="30"/>
          <w:szCs w:val="30"/>
          <w:spacing w:val="-6"/>
        </w:rPr>
        <w:t>年影响力指数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Top20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的头</w:t>
      </w:r>
      <w:r>
        <w:rPr>
          <w:rFonts w:ascii="SimSun" w:hAnsi="SimSun" w:eastAsia="SimSun" w:cs="SimSun"/>
          <w:sz w:val="30"/>
          <w:szCs w:val="30"/>
          <w:spacing w:val="-7"/>
        </w:rPr>
        <w:t>部生态主体看，三大</w:t>
      </w:r>
      <w:r>
        <w:rPr>
          <w:rFonts w:ascii="SimSun" w:hAnsi="SimSun" w:eastAsia="SimSun" w:cs="SimSun"/>
          <w:sz w:val="30"/>
          <w:szCs w:val="30"/>
          <w:spacing w:val="-1"/>
        </w:rPr>
        <w:t>运营商与华为、中兴始终占据影响力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TOP5</w:t>
      </w:r>
      <w:r>
        <w:rPr>
          <w:rFonts w:ascii="SimSun" w:hAnsi="SimSun" w:eastAsia="SimSun" w:cs="SimSun"/>
          <w:sz w:val="30"/>
          <w:szCs w:val="30"/>
          <w:spacing w:val="-1"/>
        </w:rPr>
        <w:t>，其</w:t>
      </w:r>
      <w:r>
        <w:rPr>
          <w:rFonts w:ascii="SimSun" w:hAnsi="SimSun" w:eastAsia="SimSun" w:cs="SimSun"/>
          <w:sz w:val="30"/>
          <w:szCs w:val="30"/>
          <w:spacing w:val="-2"/>
        </w:rPr>
        <w:t>中中国移动指数</w:t>
      </w:r>
      <w:r>
        <w:rPr>
          <w:rFonts w:ascii="SimSun" w:hAnsi="SimSun" w:eastAsia="SimSun" w:cs="SimSun"/>
          <w:sz w:val="30"/>
          <w:szCs w:val="30"/>
          <w:spacing w:val="-4"/>
        </w:rPr>
        <w:t>变化不大，中国电信指数增长较快，在行业生态影响力有较大提</w:t>
      </w:r>
      <w:r>
        <w:rPr>
          <w:rFonts w:ascii="SimSun" w:hAnsi="SimSun" w:eastAsia="SimSun" w:cs="SimSun"/>
          <w:sz w:val="30"/>
          <w:szCs w:val="30"/>
          <w:spacing w:val="-3"/>
        </w:rPr>
        <w:t>升。应用软件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-3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-3"/>
        </w:rPr>
        <w:t>解决方案商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TOP20 </w:t>
      </w:r>
      <w:r>
        <w:rPr>
          <w:rFonts w:ascii="SimSun" w:hAnsi="SimSun" w:eastAsia="SimSun" w:cs="SimSun"/>
          <w:sz w:val="30"/>
          <w:szCs w:val="30"/>
          <w:spacing w:val="-3"/>
        </w:rPr>
        <w:t>名单更替较快，仅浪</w:t>
      </w:r>
      <w:r>
        <w:rPr>
          <w:rFonts w:ascii="SimSun" w:hAnsi="SimSun" w:eastAsia="SimSun" w:cs="SimSun"/>
          <w:sz w:val="30"/>
          <w:szCs w:val="30"/>
          <w:spacing w:val="-3"/>
        </w:rPr>
        <w:t>潮上榜三次，上海山源电子上榜两次，其余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14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家企业仅上榜一</w:t>
      </w:r>
      <w:r>
        <w:rPr>
          <w:rFonts w:ascii="SimSun" w:hAnsi="SimSun" w:eastAsia="SimSun" w:cs="SimSun"/>
          <w:sz w:val="30"/>
          <w:szCs w:val="30"/>
          <w:spacing w:val="-5"/>
        </w:rPr>
        <w:t>次。终端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/</w:t>
      </w:r>
      <w:r>
        <w:rPr>
          <w:rFonts w:ascii="SimSun" w:hAnsi="SimSun" w:eastAsia="SimSun" w:cs="SimSun"/>
          <w:sz w:val="30"/>
          <w:szCs w:val="30"/>
          <w:spacing w:val="-5"/>
        </w:rPr>
        <w:t>模组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/</w:t>
      </w:r>
      <w:r>
        <w:rPr>
          <w:rFonts w:ascii="SimSun" w:hAnsi="SimSun" w:eastAsia="SimSun" w:cs="SimSun"/>
          <w:sz w:val="30"/>
          <w:szCs w:val="30"/>
          <w:spacing w:val="-5"/>
        </w:rPr>
        <w:t>元器件厂商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TOP20 </w:t>
      </w:r>
      <w:r>
        <w:rPr>
          <w:rFonts w:ascii="SimSun" w:hAnsi="SimSun" w:eastAsia="SimSun" w:cs="SimSun"/>
          <w:sz w:val="30"/>
          <w:szCs w:val="30"/>
          <w:spacing w:val="-5"/>
        </w:rPr>
        <w:t>数量增加，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2023 </w:t>
      </w:r>
      <w:r>
        <w:rPr>
          <w:rFonts w:ascii="SimSun" w:hAnsi="SimSun" w:eastAsia="SimSun" w:cs="SimSun"/>
          <w:sz w:val="30"/>
          <w:szCs w:val="30"/>
          <w:spacing w:val="-5"/>
        </w:rPr>
        <w:t>年包括海康威</w:t>
      </w:r>
      <w:r>
        <w:rPr>
          <w:rFonts w:ascii="SimSun" w:hAnsi="SimSun" w:eastAsia="SimSun" w:cs="SimSun"/>
          <w:sz w:val="30"/>
          <w:szCs w:val="30"/>
          <w:spacing w:val="9"/>
        </w:rPr>
        <w:t>视、浙江大华和紫光展锐三家。高校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/</w:t>
      </w:r>
      <w:r>
        <w:rPr>
          <w:rFonts w:ascii="SimSun" w:hAnsi="SimSun" w:eastAsia="SimSun" w:cs="SimSun"/>
          <w:sz w:val="30"/>
          <w:szCs w:val="30"/>
          <w:spacing w:val="9"/>
        </w:rPr>
        <w:t>科研机</w:t>
      </w:r>
      <w:r>
        <w:rPr>
          <w:rFonts w:ascii="SimSun" w:hAnsi="SimSun" w:eastAsia="SimSun" w:cs="SimSun"/>
          <w:sz w:val="30"/>
          <w:szCs w:val="30"/>
          <w:spacing w:val="8"/>
        </w:rPr>
        <w:t>构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/</w:t>
      </w:r>
      <w:r>
        <w:rPr>
          <w:rFonts w:ascii="SimSun" w:hAnsi="SimSun" w:eastAsia="SimSun" w:cs="SimSun"/>
          <w:sz w:val="30"/>
          <w:szCs w:val="30"/>
          <w:spacing w:val="8"/>
        </w:rPr>
        <w:t>政府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/</w:t>
      </w:r>
      <w:r>
        <w:rPr>
          <w:rFonts w:ascii="SimSun" w:hAnsi="SimSun" w:eastAsia="SimSun" w:cs="SimSun"/>
          <w:sz w:val="30"/>
          <w:szCs w:val="30"/>
          <w:spacing w:val="8"/>
        </w:rPr>
        <w:t>行业组织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TOP20 </w:t>
      </w:r>
      <w:r>
        <w:rPr>
          <w:rFonts w:ascii="SimSun" w:hAnsi="SimSun" w:eastAsia="SimSun" w:cs="SimSun"/>
          <w:sz w:val="30"/>
          <w:szCs w:val="30"/>
          <w:spacing w:val="-7"/>
        </w:rPr>
        <w:t>数量减少，仅浙江大学连续三年上榜。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TOP20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中的行业客</w:t>
      </w:r>
      <w:r>
        <w:rPr>
          <w:rFonts w:ascii="SimSun" w:hAnsi="SimSun" w:eastAsia="SimSun" w:cs="SimSun"/>
          <w:sz w:val="30"/>
          <w:szCs w:val="30"/>
        </w:rPr>
        <w:t>户均为大型集团型企业，包括国家电网、中国石化、宇通客车、</w:t>
      </w:r>
      <w:r>
        <w:rPr>
          <w:rFonts w:ascii="SimSun" w:hAnsi="SimSun" w:eastAsia="SimSun" w:cs="SimSun"/>
          <w:sz w:val="30"/>
          <w:szCs w:val="30"/>
          <w:spacing w:val="-8"/>
        </w:rPr>
        <w:t>徐工和中车。</w:t>
      </w:r>
    </w:p>
    <w:p>
      <w:pPr>
        <w:spacing w:line="332" w:lineRule="auto"/>
        <w:sectPr>
          <w:pgSz w:w="11907" w:h="16839"/>
          <w:pgMar w:top="1431" w:right="132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75"/>
        <w:spacing w:before="167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二、电信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5G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应用生态合作问题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．行业客户合作持续性不足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6" w:right="107" w:firstLine="602"/>
        <w:spacing w:before="98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生态合作的典型模式之一是运营商与行业客户基于前期合</w:t>
      </w:r>
      <w:r>
        <w:rPr>
          <w:rFonts w:ascii="SimSun" w:hAnsi="SimSun" w:eastAsia="SimSun" w:cs="SimSun"/>
          <w:sz w:val="30"/>
          <w:szCs w:val="30"/>
          <w:spacing w:val="-10"/>
        </w:rPr>
        <w:t>作基础，持续深化企业的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5G </w:t>
      </w:r>
      <w:r>
        <w:rPr>
          <w:rFonts w:ascii="SimSun" w:hAnsi="SimSun" w:eastAsia="SimSun" w:cs="SimSun"/>
          <w:sz w:val="30"/>
          <w:szCs w:val="30"/>
          <w:spacing w:val="-10"/>
        </w:rPr>
        <w:t>应用。从数据</w:t>
      </w:r>
      <w:r>
        <w:rPr>
          <w:rFonts w:ascii="SimSun" w:hAnsi="SimSun" w:eastAsia="SimSun" w:cs="SimSun"/>
          <w:sz w:val="30"/>
          <w:szCs w:val="30"/>
          <w:spacing w:val="-11"/>
        </w:rPr>
        <w:t>看，</w:t>
      </w:r>
      <w:r>
        <w:rPr>
          <w:rFonts w:ascii="SimSun" w:hAnsi="SimSun" w:eastAsia="SimSun" w:cs="SimSun"/>
          <w:sz w:val="30"/>
          <w:szCs w:val="30"/>
          <w:spacing w:val="1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电信、移动和联</w:t>
      </w:r>
      <w:r>
        <w:rPr>
          <w:rFonts w:ascii="SimSun" w:hAnsi="SimSun" w:eastAsia="SimSun" w:cs="SimSun"/>
          <w:sz w:val="30"/>
          <w:szCs w:val="30"/>
          <w:spacing w:val="-4"/>
        </w:rPr>
        <w:t>通行业客户分别有</w:t>
      </w:r>
      <w:r>
        <w:rPr>
          <w:rFonts w:ascii="SimSun" w:hAnsi="SimSun" w:eastAsia="SimSun" w:cs="SimSun"/>
          <w:sz w:val="30"/>
          <w:szCs w:val="3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724</w:t>
      </w:r>
      <w:r>
        <w:rPr>
          <w:rFonts w:ascii="Times New Roman" w:hAnsi="Times New Roman" w:eastAsia="Times New Roman" w:cs="Times New Roman"/>
          <w:sz w:val="30"/>
          <w:szCs w:val="30"/>
          <w:spacing w:val="-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1331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772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家，持续合作三年的客户分</w:t>
      </w:r>
      <w:r>
        <w:rPr>
          <w:rFonts w:ascii="SimSun" w:hAnsi="SimSun" w:eastAsia="SimSun" w:cs="SimSun"/>
          <w:sz w:val="30"/>
          <w:szCs w:val="30"/>
          <w:spacing w:val="-10"/>
        </w:rPr>
        <w:t>别为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9</w:t>
      </w:r>
      <w:r>
        <w:rPr>
          <w:rFonts w:ascii="SimSun" w:hAnsi="SimSun" w:eastAsia="SimSun" w:cs="SimSun"/>
          <w:sz w:val="30"/>
          <w:szCs w:val="30"/>
          <w:spacing w:val="-10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48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家。电信对已有客户合作的维</w:t>
      </w:r>
      <w:r>
        <w:rPr>
          <w:rFonts w:ascii="SimSun" w:hAnsi="SimSun" w:eastAsia="SimSun" w:cs="SimSun"/>
          <w:sz w:val="30"/>
          <w:szCs w:val="30"/>
          <w:spacing w:val="-11"/>
        </w:rPr>
        <w:t>护能力不足， 持续</w:t>
      </w:r>
      <w:r>
        <w:rPr>
          <w:rFonts w:ascii="SimSun" w:hAnsi="SimSun" w:eastAsia="SimSun" w:cs="SimSun"/>
          <w:sz w:val="30"/>
          <w:szCs w:val="30"/>
          <w:spacing w:val="-4"/>
        </w:rPr>
        <w:t>合作三年的客户比例仅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1%</w:t>
      </w:r>
      <w:r>
        <w:rPr>
          <w:rFonts w:ascii="SimSun" w:hAnsi="SimSun" w:eastAsia="SimSun" w:cs="SimSun"/>
          <w:sz w:val="30"/>
          <w:szCs w:val="30"/>
          <w:spacing w:val="-4"/>
        </w:rPr>
        <w:t>，低于移动的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4%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firstLine="233"/>
        <w:spacing w:line="2432" w:lineRule="exact"/>
        <w:rPr/>
      </w:pPr>
      <w:r>
        <w:rPr>
          <w:position w:val="-48"/>
        </w:rPr>
        <w:drawing>
          <wp:inline distT="0" distB="0" distL="0" distR="0">
            <wp:extent cx="5158880" cy="154474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8880" cy="15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1401"/>
        <w:spacing w:before="97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    </w:t>
      </w:r>
      <w:r>
        <w:rPr>
          <w:rFonts w:ascii="KaiTi" w:hAnsi="KaiTi" w:eastAsia="KaiTi" w:cs="KaiTi"/>
          <w:sz w:val="30"/>
          <w:szCs w:val="30"/>
          <w:spacing w:val="-3"/>
        </w:rPr>
        <w:t>运营商与行业客户合作持续性分布图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624"/>
        <w:spacing w:before="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．联合伙伴拓展业务力度不够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6" w:firstLine="602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生态合作的典型模式之二是运营商借助生态关系以及时获</w:t>
      </w:r>
      <w:r>
        <w:rPr>
          <w:rFonts w:ascii="SimSun" w:hAnsi="SimSun" w:eastAsia="SimSun" w:cs="SimSun"/>
          <w:sz w:val="30"/>
          <w:szCs w:val="30"/>
          <w:spacing w:val="-8"/>
        </w:rPr>
        <w:t>取信息、吸收外部资源并进行开放性的资源配置，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提升自己与其</w:t>
      </w:r>
      <w:r>
        <w:rPr>
          <w:rFonts w:ascii="SimSun" w:hAnsi="SimSun" w:eastAsia="SimSun" w:cs="SimSun"/>
          <w:sz w:val="30"/>
          <w:szCs w:val="30"/>
          <w:spacing w:val="-11"/>
        </w:rPr>
        <w:t>他参与者的能力，联合拓展新业务。从数据看，</w:t>
      </w:r>
      <w:r>
        <w:rPr>
          <w:rFonts w:ascii="SimSun" w:hAnsi="SimSun" w:eastAsia="SimSun" w:cs="SimSu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电信、移动和联</w:t>
      </w:r>
      <w:r>
        <w:rPr>
          <w:rFonts w:ascii="SimSun" w:hAnsi="SimSun" w:eastAsia="SimSun" w:cs="SimSun"/>
          <w:sz w:val="30"/>
          <w:szCs w:val="30"/>
          <w:spacing w:val="-3"/>
        </w:rPr>
        <w:t>通能力型伙伴数量分别为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670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1317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794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个，持续合作三年的</w:t>
      </w:r>
      <w:r>
        <w:rPr>
          <w:rFonts w:ascii="SimSun" w:hAnsi="SimSun" w:eastAsia="SimSun" w:cs="SimSun"/>
          <w:sz w:val="30"/>
          <w:szCs w:val="30"/>
          <w:spacing w:val="-3"/>
        </w:rPr>
        <w:t>能力型伙伴数量分别为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21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53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19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个。电信</w:t>
      </w:r>
      <w:r>
        <w:rPr>
          <w:rFonts w:ascii="SimSun" w:hAnsi="SimSun" w:eastAsia="SimSun" w:cs="SimSun"/>
          <w:sz w:val="30"/>
          <w:szCs w:val="30"/>
          <w:spacing w:val="-4"/>
        </w:rPr>
        <w:t>联合伙伴拓展业务</w:t>
      </w:r>
      <w:r>
        <w:rPr>
          <w:rFonts w:ascii="SimSun" w:hAnsi="SimSun" w:eastAsia="SimSun" w:cs="SimSun"/>
          <w:sz w:val="30"/>
          <w:szCs w:val="30"/>
        </w:rPr>
        <w:t>力度不够，与能力型伙伴合作持续性强于联通，但仍落后移动。</w:t>
      </w:r>
    </w:p>
    <w:p>
      <w:pPr>
        <w:spacing w:line="332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233"/>
        <w:spacing w:before="184" w:line="2709" w:lineRule="exact"/>
        <w:rPr/>
      </w:pPr>
      <w:r>
        <w:rPr>
          <w:position w:val="-54"/>
        </w:rPr>
        <w:drawing>
          <wp:inline distT="0" distB="0" distL="0" distR="0">
            <wp:extent cx="5214844" cy="172041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4844" cy="17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252"/>
        <w:spacing w:before="97" w:line="22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    </w:t>
      </w:r>
      <w:r>
        <w:rPr>
          <w:rFonts w:ascii="KaiTi" w:hAnsi="KaiTi" w:eastAsia="KaiTi" w:cs="KaiTi"/>
          <w:sz w:val="30"/>
          <w:szCs w:val="30"/>
          <w:spacing w:val="-3"/>
        </w:rPr>
        <w:t>运营商与能力型伙伴合作持续性分布图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ind w:left="621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．大客户的同业竞争能力不强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5" w:right="1045" w:firstLine="603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生态合作的典型模式之三是行业大客户基于自身较大的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4"/>
        </w:rPr>
        <w:t>应用业务规模预期，采取多元化合作策略以鼓励生态竞争。从数</w:t>
      </w:r>
      <w:r>
        <w:rPr>
          <w:rFonts w:ascii="SimSun" w:hAnsi="SimSun" w:eastAsia="SimSun" w:cs="SimSun"/>
          <w:sz w:val="30"/>
          <w:szCs w:val="30"/>
          <w:spacing w:val="-3"/>
        </w:rPr>
        <w:t>据看，采取多元化合作策略的企业在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2551</w:t>
      </w:r>
      <w:r>
        <w:rPr>
          <w:rFonts w:ascii="Times New Roman" w:hAnsi="Times New Roman" w:eastAsia="Times New Roman" w:cs="Times New Roman"/>
          <w:sz w:val="30"/>
          <w:szCs w:val="30"/>
          <w:spacing w:val="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家行业客户中仅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233</w:t>
      </w:r>
      <w:r>
        <w:rPr>
          <w:rFonts w:ascii="SimSun" w:hAnsi="SimSun" w:eastAsia="SimSun" w:cs="SimSun"/>
          <w:sz w:val="30"/>
          <w:szCs w:val="30"/>
          <w:spacing w:val="-1"/>
        </w:rPr>
        <w:t>家，占比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9%</w:t>
      </w:r>
      <w:r>
        <w:rPr>
          <w:rFonts w:ascii="SimSun" w:hAnsi="SimSun" w:eastAsia="SimSun" w:cs="SimSun"/>
          <w:sz w:val="30"/>
          <w:szCs w:val="30"/>
          <w:spacing w:val="-1"/>
        </w:rPr>
        <w:t>。电信面向大客户的同业竞争能</w:t>
      </w:r>
      <w:r>
        <w:rPr>
          <w:rFonts w:ascii="SimSun" w:hAnsi="SimSun" w:eastAsia="SimSun" w:cs="SimSun"/>
          <w:sz w:val="30"/>
          <w:szCs w:val="30"/>
          <w:spacing w:val="-2"/>
        </w:rPr>
        <w:t>力不强，采取多元</w:t>
      </w:r>
      <w:r>
        <w:rPr>
          <w:rFonts w:ascii="SimSun" w:hAnsi="SimSun" w:eastAsia="SimSun" w:cs="SimSun"/>
          <w:sz w:val="30"/>
          <w:szCs w:val="30"/>
          <w:spacing w:val="-5"/>
        </w:rPr>
        <w:t>化合作策略的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233 </w:t>
      </w:r>
      <w:r>
        <w:rPr>
          <w:rFonts w:ascii="SimSun" w:hAnsi="SimSun" w:eastAsia="SimSun" w:cs="SimSun"/>
          <w:sz w:val="30"/>
          <w:szCs w:val="30"/>
          <w:spacing w:val="-5"/>
        </w:rPr>
        <w:t>家行业客户中与电信合作的为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149 </w:t>
      </w:r>
      <w:r>
        <w:rPr>
          <w:rFonts w:ascii="SimSun" w:hAnsi="SimSun" w:eastAsia="SimSun" w:cs="SimSun"/>
          <w:sz w:val="30"/>
          <w:szCs w:val="30"/>
          <w:spacing w:val="-5"/>
        </w:rPr>
        <w:t>家，而与移</w:t>
      </w:r>
      <w:r>
        <w:rPr>
          <w:rFonts w:ascii="SimSun" w:hAnsi="SimSun" w:eastAsia="SimSun" w:cs="SimSun"/>
          <w:sz w:val="30"/>
          <w:szCs w:val="30"/>
          <w:spacing w:val="-3"/>
        </w:rPr>
        <w:t>动合作的达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 </w:t>
      </w:r>
      <w:r>
        <w:rPr>
          <w:rFonts w:ascii="SimSun" w:hAnsi="SimSun" w:eastAsia="SimSun" w:cs="SimSun"/>
          <w:sz w:val="30"/>
          <w:szCs w:val="30"/>
          <w:spacing w:val="-3"/>
        </w:rPr>
        <w:t>家。</w:t>
      </w:r>
    </w:p>
    <w:p>
      <w:pPr>
        <w:ind w:firstLine="14"/>
        <w:spacing w:before="178" w:line="3624" w:lineRule="exact"/>
        <w:rPr/>
      </w:pPr>
      <w:r>
        <w:rPr>
          <w:position w:val="-72"/>
        </w:rPr>
        <w:drawing>
          <wp:inline distT="0" distB="0" distL="0" distR="0">
            <wp:extent cx="5940552" cy="230123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552" cy="23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01"/>
        <w:spacing w:before="234" w:line="22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    </w:t>
      </w:r>
      <w:r>
        <w:rPr>
          <w:rFonts w:ascii="KaiTi" w:hAnsi="KaiTi" w:eastAsia="KaiTi" w:cs="KaiTi"/>
          <w:sz w:val="30"/>
          <w:szCs w:val="30"/>
          <w:spacing w:val="-4"/>
        </w:rPr>
        <w:t>行业客户合作运营商数量分布图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三、对策建议</w:t>
      </w:r>
    </w:p>
    <w:p>
      <w:pPr>
        <w:spacing w:line="224" w:lineRule="auto"/>
        <w:sectPr>
          <w:pgSz w:w="11907" w:h="16839"/>
          <w:pgMar w:top="1431" w:right="751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636"/>
        <w:spacing w:before="184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．提升全生命周期客户服务能力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8" w:right="107" w:firstLine="602"/>
        <w:spacing w:before="97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一是强化存量客户跟踪服务。把握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SimSun" w:hAnsi="SimSun" w:eastAsia="SimSun" w:cs="SimSun"/>
          <w:sz w:val="30"/>
          <w:szCs w:val="30"/>
          <w:spacing w:val="-2"/>
        </w:rPr>
        <w:t>应用场景梯次落地特</w:t>
      </w:r>
      <w:r>
        <w:rPr>
          <w:rFonts w:ascii="SimSun" w:hAnsi="SimSun" w:eastAsia="SimSun" w:cs="SimSun"/>
          <w:sz w:val="30"/>
          <w:szCs w:val="30"/>
          <w:spacing w:val="-4"/>
        </w:rPr>
        <w:t>征，建立存量客户数字化转型阶段档案，加强客户回访流程化方</w:t>
      </w:r>
      <w:r>
        <w:rPr>
          <w:rFonts w:ascii="SimSun" w:hAnsi="SimSun" w:eastAsia="SimSun" w:cs="SimSun"/>
          <w:sz w:val="30"/>
          <w:szCs w:val="30"/>
          <w:spacing w:val="-2"/>
        </w:rPr>
        <w:t>案方法指导，引导企业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 </w:t>
      </w:r>
      <w:r>
        <w:rPr>
          <w:rFonts w:ascii="SimSun" w:hAnsi="SimSun" w:eastAsia="SimSun" w:cs="SimSun"/>
          <w:sz w:val="30"/>
          <w:szCs w:val="30"/>
          <w:spacing w:val="-2"/>
        </w:rPr>
        <w:t>应用从外围环节向核心业务环节纵深</w:t>
      </w:r>
      <w:r>
        <w:rPr>
          <w:rFonts w:ascii="SimSun" w:hAnsi="SimSun" w:eastAsia="SimSun" w:cs="SimSun"/>
          <w:sz w:val="30"/>
          <w:szCs w:val="30"/>
          <w:spacing w:val="-13"/>
        </w:rPr>
        <w:t>拓展。</w:t>
      </w:r>
    </w:p>
    <w:p>
      <w:pPr>
        <w:ind w:left="26" w:right="106" w:firstLine="604"/>
        <w:spacing w:before="279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二是重点发掘中小企业客户。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应用生态中行业客户呈现</w:t>
      </w:r>
      <w:r>
        <w:rPr>
          <w:rFonts w:ascii="SimSun" w:hAnsi="SimSun" w:eastAsia="SimSun" w:cs="SimSun"/>
          <w:sz w:val="30"/>
          <w:szCs w:val="30"/>
          <w:spacing w:val="-9"/>
        </w:rPr>
        <w:t>占比高、增量大、合作强度下降特征， 表明中小企业正逐渐取代</w:t>
      </w:r>
      <w:r>
        <w:rPr>
          <w:rFonts w:ascii="SimSun" w:hAnsi="SimSun" w:eastAsia="SimSun" w:cs="SimSun"/>
          <w:sz w:val="30"/>
          <w:szCs w:val="30"/>
          <w:spacing w:val="-1"/>
        </w:rPr>
        <w:t>大企业成为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应用主体。未来应以中小企业</w:t>
      </w:r>
      <w:r>
        <w:rPr>
          <w:rFonts w:ascii="SimSun" w:hAnsi="SimSun" w:eastAsia="SimSun" w:cs="SimSun"/>
          <w:sz w:val="30"/>
          <w:szCs w:val="30"/>
          <w:spacing w:val="-2"/>
        </w:rPr>
        <w:t>为重点扩展客户增</w:t>
      </w:r>
      <w:r>
        <w:rPr>
          <w:rFonts w:ascii="SimSun" w:hAnsi="SimSun" w:eastAsia="SimSun" w:cs="SimSun"/>
          <w:sz w:val="30"/>
          <w:szCs w:val="30"/>
          <w:spacing w:val="-3"/>
        </w:rPr>
        <w:t>量，推动发展基础性、轻量化的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 </w:t>
      </w:r>
      <w:r>
        <w:rPr>
          <w:rFonts w:ascii="SimSun" w:hAnsi="SimSun" w:eastAsia="SimSun" w:cs="SimSun"/>
          <w:sz w:val="30"/>
          <w:szCs w:val="30"/>
          <w:spacing w:val="-3"/>
        </w:rPr>
        <w:t>应用产品和服务。</w:t>
      </w:r>
    </w:p>
    <w:p>
      <w:pPr>
        <w:ind w:left="624"/>
        <w:spacing w:before="26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．加强与伙伴的资源和能力共享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7" w:right="23" w:firstLine="603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一是与设备、终端厂商合作增加标准化产品供给。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应用</w:t>
      </w:r>
      <w:r>
        <w:rPr>
          <w:rFonts w:ascii="SimSun" w:hAnsi="SimSun" w:eastAsia="SimSun" w:cs="SimSun"/>
          <w:sz w:val="30"/>
          <w:szCs w:val="30"/>
          <w:spacing w:val="1"/>
        </w:rPr>
        <w:t>生态中通信设备厂商和终端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模组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元器件厂商数量少、合作强度</w:t>
      </w:r>
      <w:r>
        <w:rPr>
          <w:rFonts w:ascii="SimSun" w:hAnsi="SimSun" w:eastAsia="SimSun" w:cs="SimSun"/>
          <w:sz w:val="30"/>
          <w:szCs w:val="30"/>
          <w:spacing w:val="-1"/>
        </w:rPr>
        <w:t>高、影响力大，行业集中度较高。可建立互惠互利的合作模式，</w:t>
      </w:r>
      <w:r>
        <w:rPr>
          <w:rFonts w:ascii="SimSun" w:hAnsi="SimSun" w:eastAsia="SimSun" w:cs="SimSun"/>
          <w:sz w:val="30"/>
          <w:szCs w:val="30"/>
          <w:spacing w:val="-3"/>
        </w:rPr>
        <w:t>增加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5G  </w:t>
      </w:r>
      <w:r>
        <w:rPr>
          <w:rFonts w:ascii="SimSun" w:hAnsi="SimSun" w:eastAsia="SimSun" w:cs="SimSun"/>
          <w:sz w:val="30"/>
          <w:szCs w:val="30"/>
          <w:spacing w:val="-3"/>
        </w:rPr>
        <w:t>行业融合网络设备及通用型终端产品供给。</w:t>
      </w:r>
    </w:p>
    <w:p>
      <w:pPr>
        <w:ind w:left="26" w:firstLine="604"/>
        <w:spacing w:before="293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二是与软件、解决方案厂商合作提升需求适配能力。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应</w:t>
      </w:r>
      <w:r>
        <w:rPr>
          <w:rFonts w:ascii="SimSun" w:hAnsi="SimSun" w:eastAsia="SimSun" w:cs="SimSun"/>
          <w:sz w:val="30"/>
          <w:szCs w:val="30"/>
        </w:rPr>
        <w:t>用生态合作的行业广度和场景深度不断扩展，个性化需求突显。</w:t>
      </w:r>
      <w:r>
        <w:rPr>
          <w:rFonts w:ascii="SimSun" w:hAnsi="SimSun" w:eastAsia="SimSun" w:cs="SimSun"/>
          <w:sz w:val="30"/>
          <w:szCs w:val="30"/>
          <w:spacing w:val="1"/>
        </w:rPr>
        <w:t>应重视与应用软件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解决方案商联合创新，完善伙伴共</w:t>
      </w:r>
      <w:r>
        <w:rPr>
          <w:rFonts w:ascii="SimSun" w:hAnsi="SimSun" w:eastAsia="SimSun" w:cs="SimSun"/>
          <w:sz w:val="30"/>
          <w:szCs w:val="30"/>
          <w:spacing w:val="-11"/>
        </w:rPr>
        <w:t>享与评估机制，撮合业务部门与伙伴合作，共同探索新商业机会。</w:t>
      </w:r>
    </w:p>
    <w:p>
      <w:pPr>
        <w:ind w:left="621"/>
        <w:spacing w:before="294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．关注大客户客情的横纵向扩展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6" w:right="107" w:firstLine="603"/>
        <w:spacing w:before="99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从具体案例看，行业大客户与多个运营商的合</w:t>
      </w:r>
      <w:r>
        <w:rPr>
          <w:rFonts w:ascii="SimSun" w:hAnsi="SimSun" w:eastAsia="SimSun" w:cs="SimSun"/>
          <w:sz w:val="30"/>
          <w:szCs w:val="30"/>
          <w:spacing w:val="-5"/>
        </w:rPr>
        <w:t>作通常存在跨</w:t>
      </w:r>
      <w:r>
        <w:rPr>
          <w:rFonts w:ascii="SimSun" w:hAnsi="SimSun" w:eastAsia="SimSun" w:cs="SimSun"/>
          <w:sz w:val="30"/>
          <w:szCs w:val="30"/>
          <w:spacing w:val="-4"/>
        </w:rPr>
        <w:t>地区、跨细分领域或跨应用场景的现象。电信在头部客户客情的</w:t>
      </w:r>
      <w:r>
        <w:rPr>
          <w:rFonts w:ascii="SimSun" w:hAnsi="SimSun" w:eastAsia="SimSun" w:cs="SimSun"/>
          <w:sz w:val="30"/>
          <w:szCs w:val="30"/>
          <w:spacing w:val="-4"/>
        </w:rPr>
        <w:t>管理上，应加强对其横向同集团企业和纵向上下游企业的联动监</w:t>
      </w:r>
    </w:p>
    <w:p>
      <w:pPr>
        <w:spacing w:line="335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/>
        <w:spacing w:before="18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测，由点及面扩大合作范围。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246659</wp:posOffset>
            </wp:positionH>
            <wp:positionV relativeFrom="paragraph">
              <wp:posOffset>84316</wp:posOffset>
            </wp:positionV>
            <wp:extent cx="737615" cy="193700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615" cy="193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274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马政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【17717286836】</w:t>
      </w:r>
    </w:p>
    <w:p>
      <w:pPr>
        <w:ind w:left="2541"/>
        <w:spacing w:before="11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硕士，主要从事产业数字化、数字经济研究。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255"/>
        <w:spacing w:before="92" w:line="21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何菁钦</w:t>
      </w:r>
    </w:p>
    <w:p>
      <w:pPr>
        <w:ind w:left="2251" w:right="205" w:firstLine="289"/>
        <w:spacing w:before="12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硕士，主要从事重点行业研究、产业生态图谱</w:t>
      </w:r>
      <w:r>
        <w:rPr>
          <w:rFonts w:ascii="KaiTi" w:hAnsi="KaiTi" w:eastAsia="KaiTi" w:cs="KaiTi"/>
          <w:sz w:val="28"/>
          <w:szCs w:val="28"/>
          <w:spacing w:val="-1"/>
        </w:rPr>
        <w:t>研究、政企产品与业务研究、客户体验研究等工</w:t>
      </w:r>
      <w:r>
        <w:rPr>
          <w:rFonts w:ascii="KaiTi" w:hAnsi="KaiTi" w:eastAsia="KaiTi" w:cs="KaiTi"/>
          <w:sz w:val="28"/>
          <w:szCs w:val="28"/>
          <w:spacing w:val="-1"/>
        </w:rPr>
        <w:t>作。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242087</wp:posOffset>
            </wp:positionH>
            <wp:positionV relativeFrom="paragraph">
              <wp:posOffset>75995</wp:posOffset>
            </wp:positionV>
            <wp:extent cx="751332" cy="99669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332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48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廖文凯</w:t>
      </w:r>
    </w:p>
    <w:p>
      <w:pPr>
        <w:ind w:left="2282" w:right="215" w:firstLine="258"/>
        <w:spacing w:before="119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251231</wp:posOffset>
            </wp:positionH>
            <wp:positionV relativeFrom="paragraph">
              <wp:posOffset>37601</wp:posOffset>
            </wp:positionV>
            <wp:extent cx="731519" cy="103936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19" cy="1039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9"/>
        <w:spacing w:before="92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李泰</w:t>
      </w:r>
    </w:p>
    <w:p>
      <w:pPr>
        <w:ind w:left="2264" w:right="216" w:firstLine="276"/>
        <w:spacing w:before="12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硕士，主要从事重点行业研究、企业数字化转</w:t>
      </w:r>
      <w:r>
        <w:rPr>
          <w:rFonts w:ascii="KaiTi" w:hAnsi="KaiTi" w:eastAsia="KaiTi" w:cs="KaiTi"/>
          <w:sz w:val="28"/>
          <w:szCs w:val="28"/>
          <w:spacing w:val="-2"/>
        </w:rPr>
        <w:t>型研究等工作。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2023-12-13T17:02:29Z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2025-11-04T14:45:08</vt:filetime>
  </property>
</Properties>
</file>