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8D187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2024年中美两国主要运营商发展对比分析</w:t>
      </w:r>
    </w:p>
    <w:p w14:paraId="3276C46E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国运营商依托产数业务形成领先美国运营商的营收增长优势，但受2024年国内需求不足影响，增长主引擎的产数收入增速下降，导致领先优势缩小，净利润率差距扩大。美国运营商基础业务收入增长及价值运营好于我国运营商，其AI连接布局、基础业务价值运营、简化网络降本对我国运营商具有一定借鉴意义。</w:t>
      </w:r>
    </w:p>
    <w:p w14:paraId="0916384C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一、2024年主要发展情况对比</w:t>
      </w:r>
    </w:p>
    <w:p w14:paraId="6CFE10FD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（1）主要发展举措对比</w:t>
      </w:r>
    </w:p>
    <w:p w14:paraId="7D94BC80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在产品服务层面，我国运营商更加注重推进网络与战新产品服务的融合供给，而美国运营商注重推进固移融合。</w:t>
      </w:r>
      <w:r>
        <w:rPr>
          <w:rFonts w:hint="eastAsia"/>
          <w:sz w:val="28"/>
          <w:szCs w:val="32"/>
        </w:rPr>
        <w:t>美国运营商高度重视扩展连接服务、5G与光纤宽带融合、5G与会员权益的融合，如AT&amp;T强调通信细分市场和融合服务、Verizon强调扩展预付卡业务和MyPlan系列、T-Mobile 强调套餐融合实现行业领先的用户增长，而我国三大运营商，在提供连接服务的基础上，更注重网与云、AI、安全等一体化服务，如中国电信强调面向政企客户着力打造“算力+平台+数据+模型+应用”的一体化服务新模式、中国移动在政企市场强调一体化推进“网+云+DICT”规模拓展。</w:t>
      </w:r>
    </w:p>
    <w:p w14:paraId="1578D2E0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在运营层面，①两国运营商均强调利用</w:t>
      </w:r>
      <w:r>
        <w:rPr>
          <w:b/>
          <w:bCs/>
          <w:sz w:val="28"/>
          <w:szCs w:val="32"/>
        </w:rPr>
        <w:t>AI推进转型和提高效率，我国运营商有待加快推进</w:t>
      </w:r>
      <w:r>
        <w:rPr>
          <w:sz w:val="28"/>
          <w:szCs w:val="32"/>
        </w:rPr>
        <w:t>。AT&amp;T为美国AI专</w:t>
      </w:r>
      <w:r>
        <w:rPr>
          <w:rFonts w:hint="eastAsia" w:ascii="Yu Gothic" w:hAnsi="Yu Gothic" w:eastAsia="Yu Gothic" w:cs="Yu Gothic"/>
          <w:sz w:val="28"/>
          <w:szCs w:val="32"/>
        </w:rPr>
        <w:t>利</w:t>
      </w:r>
      <w:r>
        <w:rPr>
          <w:rFonts w:hint="eastAsia" w:ascii="等线" w:hAnsi="等线" w:eastAsia="等线" w:cs="等线"/>
          <w:sz w:val="28"/>
          <w:szCs w:val="32"/>
        </w:rPr>
        <w:t>第六大持有人，其内部已部署</w:t>
      </w:r>
      <w:r>
        <w:rPr>
          <w:sz w:val="28"/>
          <w:szCs w:val="32"/>
        </w:rPr>
        <w:t>600多个AI和ML模型，2024年提出借助Al提高效率、增强客户体验并扩大优势，推出Ask AT&amp;T将软件开发效率提升30%；Verizon提出将借助Al提升员工客户体验和网络自我优化修复，其AI 客服应用成功保留10万客户。2024年</w:t>
      </w:r>
      <w:r>
        <w:rPr>
          <w:rFonts w:hint="eastAsia"/>
          <w:sz w:val="28"/>
          <w:szCs w:val="32"/>
        </w:rPr>
        <w:t>，</w:t>
      </w:r>
      <w:r>
        <w:rPr>
          <w:sz w:val="28"/>
          <w:szCs w:val="32"/>
        </w:rPr>
        <w:t>中国电信加快推进AI For NetWork，并打造客服、生产经营、解决方案、渠道、网络等13个大模型，中国移动客服大模型全网规模化商用，IP</w:t>
      </w:r>
      <w:r>
        <w:rPr>
          <w:rFonts w:hint="eastAsia"/>
          <w:sz w:val="28"/>
          <w:szCs w:val="32"/>
        </w:rPr>
        <w:t>Rdaily （2024.4）数据显示，中国移动、中国电信、中国联通AI专利全国排名为第10、28、40位，表明我国运营商相关AI创新应用有待推进。</w:t>
      </w:r>
    </w:p>
    <w:p w14:paraId="627185C6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②</w:t>
      </w:r>
      <w:commentRangeStart w:id="0"/>
      <w:r>
        <w:rPr>
          <w:rFonts w:hint="eastAsia"/>
          <w:b/>
          <w:bCs/>
          <w:sz w:val="28"/>
          <w:szCs w:val="32"/>
        </w:rPr>
        <w:t>我国运营商加大投入做科技创新加法，美国运营商继续压降成本做运营减法</w:t>
      </w:r>
      <w:r>
        <w:rPr>
          <w:rFonts w:hint="eastAsia"/>
          <w:sz w:val="28"/>
          <w:szCs w:val="32"/>
        </w:rPr>
        <w:t>。</w:t>
      </w:r>
      <w:commentRangeEnd w:id="0"/>
      <w:r>
        <w:commentReference w:id="0"/>
      </w:r>
      <w:r>
        <w:rPr>
          <w:rFonts w:hint="eastAsia"/>
          <w:sz w:val="28"/>
          <w:szCs w:val="32"/>
        </w:rPr>
        <w:t>中国电信、中国移动、中国联通2024年研发投入增长分别为8.0%、-0.1%、9.1%，分别聚焦云网数智安/量子四大根技术、BASIC6技术、CIDAO融合技术等技术创新，并立足科技创新推出智能云、AI+、量子、安全等产品。AT&amp;T2020-2024年间降低负债250亿美元和节省运营费用70亿美元、未来三年将继续节省运营费用30亿美元，Verizon继续推进运营费用降低20-30亿美元。</w:t>
      </w:r>
    </w:p>
    <w:p w14:paraId="6D1C6555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基础设施层面定位不同，我国运营商向AI、美国运营商向网。</w:t>
      </w:r>
      <w:r>
        <w:rPr>
          <w:rFonts w:hint="eastAsia"/>
          <w:sz w:val="28"/>
          <w:szCs w:val="32"/>
        </w:rPr>
        <w:t>定位网络提供商，扩大光纤覆盖、推进软件定义网络为美国运营商2024年两个网络重点举措，在扩大光纤覆盖方面，AT&amp;T自建光纤端口数较2020年增长了61%，Verizon收购Frontier、T-Mobile 收购Metronet和Lumos扩大光纤覆盖；在软件定义网络方面，Verizon加快将三星0-RAN设备部署到网络、AT&amp;正将软件定义从网络核心推向网络边缘。定位数字基础设施提供者，我国运营商面向AI推进数字基础设施升级，中国电信推进Network for AI和AI for Network；中国移动推进5G/千兆+算力网络+能力中台建设、中国联通打造极简网络，实现联网算网协调发展。</w:t>
      </w:r>
    </w:p>
    <w:p w14:paraId="2FCAD3D4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（2）主要业务发展情况对比</w:t>
      </w:r>
    </w:p>
    <w:p w14:paraId="3333A40B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从总体增长动力看，产数是我国运营商业务发展优于美国运营商的核心因素。</w:t>
      </w:r>
      <w:r>
        <w:rPr>
          <w:rFonts w:hint="eastAsia"/>
          <w:sz w:val="28"/>
          <w:szCs w:val="32"/>
        </w:rPr>
        <w:t>可以从下图看出</w:t>
      </w:r>
      <w:r>
        <w:rPr>
          <w:rFonts w:hint="eastAsia"/>
          <w:b/>
          <w:bCs/>
          <w:sz w:val="28"/>
          <w:szCs w:val="32"/>
        </w:rPr>
        <w:t>，</w:t>
      </w:r>
      <w:r>
        <w:rPr>
          <w:rFonts w:hint="eastAsia"/>
          <w:sz w:val="28"/>
          <w:szCs w:val="32"/>
        </w:rPr>
        <w:t>美国运营商以连接驱动增长为主，移动连接收入平均增速达4.7%、宽带连接收入平均增速3.8%，我国运营商以连接+产数驱动增长为主，中国电信为移动连接和产数驱动增长，中国移动为宽带和产数驱动增长。</w:t>
      </w:r>
    </w:p>
    <w:p w14:paraId="02C45258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从连接业务看，美国移动用户价值经营好于我国运营商。</w:t>
      </w:r>
      <w:r>
        <w:rPr>
          <w:rFonts w:hint="eastAsia"/>
          <w:sz w:val="28"/>
          <w:szCs w:val="32"/>
        </w:rPr>
        <w:t>美国运营商通过5G用户迁转、固移融合、与权益融合（如Verizon的 myPlan计划）等推动移动用户ARPU提升，而我国运营商通过“连接+终端+应用+权益”等更大范围内的融合，</w:t>
      </w:r>
      <w:commentRangeStart w:id="1"/>
      <w:r>
        <w:rPr>
          <w:rFonts w:hint="eastAsia"/>
          <w:sz w:val="28"/>
          <w:szCs w:val="32"/>
        </w:rPr>
        <w:t>却无法取得同等的价值提升。</w:t>
      </w:r>
      <w:commentRangeEnd w:id="1"/>
      <w:r>
        <w:commentReference w:id="1"/>
      </w:r>
      <w:r>
        <w:rPr>
          <w:rFonts w:hint="eastAsia"/>
          <w:sz w:val="28"/>
          <w:szCs w:val="32"/>
        </w:rPr>
        <w:t>两方面原因，中美两国处于不同的4升5阶段，2024年中美两国运营商5G渗透率提升10个百分点，分别达56.7%、60%左右，但我国5G套餐用户占比较美国高（如中电信达80%），低价长尾用户迁转带动整体用户ARPU降低；此外我国运营商融合经营的填充逻辑，应用和权益非用户刚需，叠加外部权益定价过高及交叉补贴发展等均带来了</w:t>
      </w:r>
      <w:bookmarkStart w:id="0" w:name="_GoBack"/>
      <w:bookmarkEnd w:id="0"/>
      <w:r>
        <w:rPr>
          <w:rFonts w:hint="eastAsia"/>
          <w:sz w:val="28"/>
          <w:szCs w:val="32"/>
        </w:rPr>
        <w:t>连接价值的分流，而美国运营商融合业务为刚需业务组合。</w:t>
      </w:r>
    </w:p>
    <w:p w14:paraId="61B9E310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从产数业务看，我国产数业务质量优于美国运营商，但因供需因素面临低增长风险。</w:t>
      </w:r>
      <w:r>
        <w:rPr>
          <w:rFonts w:hint="eastAsia"/>
          <w:sz w:val="28"/>
          <w:szCs w:val="32"/>
        </w:rPr>
        <w:t>美国运营商政企业务主要为连接，受互联网替代竞争冲击明显，我国运营商政企业务为“网+云+数+智+安”的一体化数字化解决方案，更符合当下数字化转型需求。但受国内需求不足和供给侧算力产能过剩和竞争加剧影响，产数业务作为增长核心动能面临较大的减速风险，2024年平均增速较上年下滑8.9个百分点。</w:t>
      </w:r>
    </w:p>
    <w:p w14:paraId="1A8BCD14">
      <w:pPr>
        <w:rPr>
          <w:rFonts w:hint="eastAsia"/>
        </w:rPr>
      </w:pPr>
      <w:r>
        <w:drawing>
          <wp:inline distT="0" distB="0" distL="0" distR="0">
            <wp:extent cx="2590800" cy="1775460"/>
            <wp:effectExtent l="0" t="0" r="0" b="15240"/>
            <wp:docPr id="901700534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drawing>
          <wp:inline distT="0" distB="0" distL="0" distR="0">
            <wp:extent cx="2590800" cy="1775460"/>
            <wp:effectExtent l="0" t="0" r="0" b="15240"/>
            <wp:docPr id="1540780310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1219578">
      <w:pPr>
        <w:rPr>
          <w:rFonts w:hint="eastAsia"/>
          <w:b/>
          <w:bCs/>
          <w:sz w:val="28"/>
          <w:szCs w:val="32"/>
        </w:rPr>
      </w:pPr>
      <w:r>
        <w:drawing>
          <wp:inline distT="0" distB="0" distL="0" distR="0">
            <wp:extent cx="2590800" cy="1775460"/>
            <wp:effectExtent l="0" t="0" r="0" b="15240"/>
            <wp:docPr id="106794715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drawing>
          <wp:inline distT="0" distB="0" distL="0" distR="0">
            <wp:extent cx="2590800" cy="1775460"/>
            <wp:effectExtent l="0" t="0" r="0" b="15240"/>
            <wp:docPr id="1542042194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1EDF20A">
      <w:pPr>
        <w:jc w:val="center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图1：主要业务发展情况对比</w:t>
      </w:r>
    </w:p>
    <w:p w14:paraId="55D089F5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（3）主要发展绩效对比</w:t>
      </w:r>
    </w:p>
    <w:p w14:paraId="7F8E0404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中美两国运营商营收增速差距缩小，净利润率差距拉大。</w:t>
      </w:r>
      <w:r>
        <w:rPr>
          <w:rFonts w:hint="eastAsia"/>
          <w:sz w:val="28"/>
          <w:szCs w:val="32"/>
        </w:rPr>
        <w:t>2024年，宏观环境和5G技术周期影响，我国运营商营收平均增速较上年度回落2.9个百分点、回落明显，而美国运营商致力于光纤业务拓展，营收平均增速提升2.0个百分点，中美两国运营商营收平均增速差从上一年度的7.1个百分点缩小为2.2个百分点。美国运营商一直以来致力于推进成本压降和运营提效，叠加营收增速提振，美国运营商净利润率平均提升幅度高于我国运营商1.3个百分点，中美两国平均净利润率差距从上年度的2.8个百分点扩大到4.1个百分点。</w:t>
      </w:r>
    </w:p>
    <w:p w14:paraId="590FF67D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投资压降我国运营商提速美国减速，现金保障提至美国运营商水平。</w:t>
      </w:r>
      <w:r>
        <w:rPr>
          <w:rFonts w:hint="eastAsia"/>
          <w:sz w:val="28"/>
          <w:szCs w:val="32"/>
        </w:rPr>
        <w:t>受5G建设高峰期已过影响，中美两国运营商资本开支除AT&amp;T外，均较2023年度大幅下滑，但由于美国运营商光纤建设推进和我国刚开启5G投资压降进程，美国运营商压降速度放缓、我国压降速度扩大，导致中美两国运营商平均投资占收比之差由上年的4.9个百分点缩小为2.4个百分点。在国资委营业现金管理政策推动下，我国运营商营业现金比率等指标基本与美国运营商处于同一水平，为企业投资和未来发展提供有力保障。</w:t>
      </w:r>
    </w:p>
    <w:p w14:paraId="55A02C36">
      <w:pPr>
        <w:rPr>
          <w:rFonts w:hint="eastAsia"/>
        </w:rPr>
      </w:pPr>
      <w:r>
        <w:drawing>
          <wp:inline distT="0" distB="0" distL="0" distR="0">
            <wp:extent cx="2590800" cy="1775460"/>
            <wp:effectExtent l="0" t="0" r="0" b="15240"/>
            <wp:docPr id="2041998464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drawing>
          <wp:inline distT="0" distB="0" distL="0" distR="0">
            <wp:extent cx="2590800" cy="1775460"/>
            <wp:effectExtent l="0" t="0" r="0" b="15240"/>
            <wp:docPr id="1393827656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118D70C">
      <w:pPr>
        <w:rPr>
          <w:rFonts w:hint="eastAsia"/>
        </w:rPr>
      </w:pPr>
      <w:r>
        <w:drawing>
          <wp:inline distT="0" distB="0" distL="0" distR="0">
            <wp:extent cx="2628900" cy="1790700"/>
            <wp:effectExtent l="0" t="0" r="0" b="0"/>
            <wp:docPr id="789093527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drawing>
          <wp:inline distT="0" distB="0" distL="0" distR="0">
            <wp:extent cx="2552700" cy="1790700"/>
            <wp:effectExtent l="0" t="0" r="0" b="0"/>
            <wp:docPr id="295435825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436754D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图2：主要绩效指标对比</w:t>
      </w:r>
    </w:p>
    <w:p w14:paraId="362A292C">
      <w:pPr>
        <w:rPr>
          <w:rFonts w:hint="eastAsia"/>
        </w:rPr>
      </w:pPr>
    </w:p>
    <w:p w14:paraId="4EDD7071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二、2025年发展目标与举措对比</w:t>
      </w:r>
    </w:p>
    <w:p w14:paraId="5EAB3053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发展目标指引方面，美国运营商强调连接业务和投资增长目标，我国运营商进一步压降资本开支。</w:t>
      </w:r>
      <w:r>
        <w:rPr>
          <w:rFonts w:hint="eastAsia"/>
          <w:sz w:val="28"/>
          <w:szCs w:val="32"/>
        </w:rPr>
        <w:t>基于对连接需求增长的一致认同，美国运营商2025年基本设定了3%左右EBITDA增长、2%-3%移动服务收入增长和光纤服务高速增长目标，并结束近年来的投资支压降、设定2%-8%的增长目标，以推动光纤和5G建设。而我国三大运营商2025年继续压降资本开支，合计下降9.1%。</w:t>
      </w:r>
    </w:p>
    <w:p w14:paraId="703B697A">
      <w:pPr>
        <w:ind w:firstLine="440" w:firstLineChars="200"/>
        <w:jc w:val="center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表1：美国三大运营商2025年发展目标指引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701"/>
        <w:gridCol w:w="2410"/>
        <w:gridCol w:w="2347"/>
      </w:tblGrid>
      <w:tr w14:paraId="7289A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DAE9F7" w:themeFill="text2" w:themeFillTint="1A"/>
          </w:tcPr>
          <w:p w14:paraId="18B939ED">
            <w:pPr>
              <w:rPr>
                <w:rFonts w:hint="eastAsia"/>
              </w:rPr>
            </w:pPr>
          </w:p>
        </w:tc>
        <w:tc>
          <w:tcPr>
            <w:tcW w:w="1701" w:type="dxa"/>
            <w:shd w:val="clear" w:color="auto" w:fill="DAE9F7" w:themeFill="text2" w:themeFillTint="1A"/>
          </w:tcPr>
          <w:p w14:paraId="14EFE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AT&amp;T</w:t>
            </w:r>
          </w:p>
        </w:tc>
        <w:tc>
          <w:tcPr>
            <w:tcW w:w="2410" w:type="dxa"/>
            <w:shd w:val="clear" w:color="auto" w:fill="DAE9F7" w:themeFill="text2" w:themeFillTint="1A"/>
          </w:tcPr>
          <w:p w14:paraId="52C99B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Verizon</w:t>
            </w:r>
          </w:p>
        </w:tc>
        <w:tc>
          <w:tcPr>
            <w:tcW w:w="2347" w:type="dxa"/>
            <w:shd w:val="clear" w:color="auto" w:fill="DAE9F7" w:themeFill="text2" w:themeFillTint="1A"/>
          </w:tcPr>
          <w:p w14:paraId="1B56F8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T-Mobile</w:t>
            </w:r>
          </w:p>
        </w:tc>
      </w:tr>
      <w:tr w14:paraId="068C8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61B3600">
            <w:pPr>
              <w:rPr>
                <w:rFonts w:hint="eastAsia"/>
              </w:rPr>
            </w:pPr>
            <w:r>
              <w:rPr>
                <w:rFonts w:hint="eastAsia"/>
              </w:rPr>
              <w:t>服务收入</w:t>
            </w:r>
          </w:p>
        </w:tc>
        <w:tc>
          <w:tcPr>
            <w:tcW w:w="1701" w:type="dxa"/>
          </w:tcPr>
          <w:p w14:paraId="7CF361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个位数增长</w:t>
            </w:r>
          </w:p>
        </w:tc>
        <w:tc>
          <w:tcPr>
            <w:tcW w:w="2410" w:type="dxa"/>
          </w:tcPr>
          <w:p w14:paraId="1FF66B0F">
            <w:pPr>
              <w:jc w:val="center"/>
              <w:rPr>
                <w:rFonts w:hint="eastAsia"/>
              </w:rPr>
            </w:pPr>
          </w:p>
        </w:tc>
        <w:tc>
          <w:tcPr>
            <w:tcW w:w="2347" w:type="dxa"/>
          </w:tcPr>
          <w:p w14:paraId="4B75F032">
            <w:pPr>
              <w:jc w:val="center"/>
              <w:rPr>
                <w:rFonts w:hint="eastAsia"/>
              </w:rPr>
            </w:pPr>
          </w:p>
        </w:tc>
      </w:tr>
      <w:tr w14:paraId="6DC55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94474C8">
            <w:pPr>
              <w:rPr>
                <w:rFonts w:hint="eastAsia"/>
              </w:rPr>
            </w:pPr>
            <w:r>
              <w:rPr>
                <w:rFonts w:hint="eastAsia"/>
              </w:rPr>
              <w:t>—移动服务收入</w:t>
            </w:r>
          </w:p>
        </w:tc>
        <w:tc>
          <w:tcPr>
            <w:tcW w:w="1701" w:type="dxa"/>
          </w:tcPr>
          <w:p w14:paraId="32410F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2%-3%</w:t>
            </w:r>
          </w:p>
        </w:tc>
        <w:tc>
          <w:tcPr>
            <w:tcW w:w="2410" w:type="dxa"/>
          </w:tcPr>
          <w:p w14:paraId="04EEED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2.0%-2.8%</w:t>
            </w:r>
          </w:p>
        </w:tc>
        <w:tc>
          <w:tcPr>
            <w:tcW w:w="2347" w:type="dxa"/>
          </w:tcPr>
          <w:p w14:paraId="5D10EF9E">
            <w:pPr>
              <w:jc w:val="center"/>
              <w:rPr>
                <w:rFonts w:hint="eastAsia"/>
              </w:rPr>
            </w:pPr>
          </w:p>
        </w:tc>
      </w:tr>
      <w:tr w14:paraId="4A70D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27EF12E">
            <w:pPr>
              <w:rPr>
                <w:rFonts w:hint="eastAsia"/>
              </w:rPr>
            </w:pPr>
            <w:r>
              <w:rPr>
                <w:rFonts w:hint="eastAsia"/>
              </w:rPr>
              <w:t>后付费用户增长</w:t>
            </w:r>
          </w:p>
        </w:tc>
        <w:tc>
          <w:tcPr>
            <w:tcW w:w="1701" w:type="dxa"/>
          </w:tcPr>
          <w:p w14:paraId="6AF7501E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</w:tcPr>
          <w:p w14:paraId="2CC98A02">
            <w:pPr>
              <w:jc w:val="center"/>
              <w:rPr>
                <w:rFonts w:hint="eastAsia"/>
              </w:rPr>
            </w:pPr>
          </w:p>
        </w:tc>
        <w:tc>
          <w:tcPr>
            <w:tcW w:w="2347" w:type="dxa"/>
          </w:tcPr>
          <w:p w14:paraId="4AC032F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4.2%-4.6%</w:t>
            </w:r>
          </w:p>
        </w:tc>
      </w:tr>
      <w:tr w14:paraId="3B710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69F6DC8">
            <w:pPr>
              <w:rPr>
                <w:rFonts w:hint="eastAsia"/>
              </w:rPr>
            </w:pPr>
            <w:r>
              <w:rPr>
                <w:rFonts w:hint="eastAsia"/>
              </w:rPr>
              <w:t>—光纤服务收入</w:t>
            </w:r>
          </w:p>
        </w:tc>
        <w:tc>
          <w:tcPr>
            <w:tcW w:w="1701" w:type="dxa"/>
          </w:tcPr>
          <w:p w14:paraId="6D4368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两位数增长</w:t>
            </w:r>
          </w:p>
        </w:tc>
        <w:tc>
          <w:tcPr>
            <w:tcW w:w="2410" w:type="dxa"/>
          </w:tcPr>
          <w:p w14:paraId="4E183D77">
            <w:pPr>
              <w:jc w:val="center"/>
              <w:rPr>
                <w:rFonts w:hint="eastAsia"/>
              </w:rPr>
            </w:pPr>
          </w:p>
        </w:tc>
        <w:tc>
          <w:tcPr>
            <w:tcW w:w="2347" w:type="dxa"/>
          </w:tcPr>
          <w:p w14:paraId="12FAD2AD">
            <w:pPr>
              <w:jc w:val="center"/>
              <w:rPr>
                <w:rFonts w:hint="eastAsia"/>
              </w:rPr>
            </w:pPr>
          </w:p>
        </w:tc>
      </w:tr>
      <w:tr w14:paraId="3DF28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3BBDACE">
            <w:pPr>
              <w:rPr>
                <w:rFonts w:hint="eastAsia"/>
              </w:rPr>
            </w:pPr>
            <w:r>
              <w:rPr>
                <w:rFonts w:hint="eastAsia"/>
              </w:rPr>
              <w:t>EBITDA增速</w:t>
            </w:r>
          </w:p>
        </w:tc>
        <w:tc>
          <w:tcPr>
            <w:tcW w:w="1701" w:type="dxa"/>
          </w:tcPr>
          <w:p w14:paraId="68C5F7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3%+</w:t>
            </w:r>
          </w:p>
        </w:tc>
        <w:tc>
          <w:tcPr>
            <w:tcW w:w="2410" w:type="dxa"/>
          </w:tcPr>
          <w:p w14:paraId="0DB44A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2.0%-3.5%</w:t>
            </w:r>
          </w:p>
        </w:tc>
        <w:tc>
          <w:tcPr>
            <w:tcW w:w="2347" w:type="dxa"/>
          </w:tcPr>
          <w:p w14:paraId="589743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4%-5.5%</w:t>
            </w:r>
          </w:p>
        </w:tc>
      </w:tr>
      <w:tr w14:paraId="66B6B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29FB647">
            <w:pPr>
              <w:rPr>
                <w:rFonts w:hint="eastAsia"/>
              </w:rPr>
            </w:pPr>
            <w:r>
              <w:rPr>
                <w:rFonts w:hint="eastAsia"/>
              </w:rPr>
              <w:t>资本投资（美元）</w:t>
            </w:r>
          </w:p>
        </w:tc>
        <w:tc>
          <w:tcPr>
            <w:tcW w:w="1701" w:type="dxa"/>
          </w:tcPr>
          <w:p w14:paraId="54209C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220亿（+8.6%）</w:t>
            </w:r>
          </w:p>
        </w:tc>
        <w:tc>
          <w:tcPr>
            <w:tcW w:w="2410" w:type="dxa"/>
          </w:tcPr>
          <w:p w14:paraId="5CE66C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175-185</w:t>
            </w:r>
          </w:p>
          <w:p w14:paraId="0210A6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（+2.3%-8.1%）</w:t>
            </w:r>
          </w:p>
        </w:tc>
        <w:tc>
          <w:tcPr>
            <w:tcW w:w="2347" w:type="dxa"/>
          </w:tcPr>
          <w:p w14:paraId="3B0E61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95亿</w:t>
            </w:r>
          </w:p>
          <w:p w14:paraId="53D9D4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（+8%）</w:t>
            </w:r>
          </w:p>
        </w:tc>
      </w:tr>
      <w:tr w14:paraId="0B6F4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EB851C0">
            <w:pPr>
              <w:rPr>
                <w:rFonts w:hint="eastAsia"/>
              </w:rPr>
            </w:pPr>
            <w:r>
              <w:rPr>
                <w:rFonts w:hint="eastAsia"/>
              </w:rPr>
              <w:t>每股净收益</w:t>
            </w:r>
          </w:p>
        </w:tc>
        <w:tc>
          <w:tcPr>
            <w:tcW w:w="1701" w:type="dxa"/>
          </w:tcPr>
          <w:p w14:paraId="30251D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1.9-2.07</w:t>
            </w:r>
          </w:p>
        </w:tc>
        <w:tc>
          <w:tcPr>
            <w:tcW w:w="2410" w:type="dxa"/>
          </w:tcPr>
          <w:p w14:paraId="1AF031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0-3%</w:t>
            </w:r>
          </w:p>
        </w:tc>
        <w:tc>
          <w:tcPr>
            <w:tcW w:w="2347" w:type="dxa"/>
          </w:tcPr>
          <w:p w14:paraId="0B991961">
            <w:pPr>
              <w:jc w:val="center"/>
              <w:rPr>
                <w:rFonts w:hint="eastAsia"/>
              </w:rPr>
            </w:pPr>
          </w:p>
        </w:tc>
      </w:tr>
      <w:tr w14:paraId="6D9DD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8D130C8">
            <w:pPr>
              <w:rPr>
                <w:rFonts w:hint="eastAsia"/>
              </w:rPr>
            </w:pPr>
            <w:r>
              <w:rPr>
                <w:rFonts w:hint="eastAsia"/>
              </w:rPr>
              <w:t>自由现金流(美元)</w:t>
            </w:r>
          </w:p>
        </w:tc>
        <w:tc>
          <w:tcPr>
            <w:tcW w:w="1701" w:type="dxa"/>
          </w:tcPr>
          <w:p w14:paraId="0C495E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160亿</w:t>
            </w:r>
          </w:p>
        </w:tc>
        <w:tc>
          <w:tcPr>
            <w:tcW w:w="2410" w:type="dxa"/>
          </w:tcPr>
          <w:p w14:paraId="75C483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175亿-180亿</w:t>
            </w:r>
          </w:p>
        </w:tc>
        <w:tc>
          <w:tcPr>
            <w:tcW w:w="2347" w:type="dxa"/>
          </w:tcPr>
          <w:p w14:paraId="0EE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173亿-180亿</w:t>
            </w:r>
          </w:p>
        </w:tc>
      </w:tr>
    </w:tbl>
    <w:p w14:paraId="38585D8D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主要发展举措，我国运营商继续向智发展、美国运营商以网为核心。①</w:t>
      </w:r>
      <w:r>
        <w:rPr>
          <w:rFonts w:hint="eastAsia"/>
          <w:sz w:val="28"/>
          <w:szCs w:val="32"/>
        </w:rPr>
        <w:t>在业务方面，AT&amp;T、Verizon美国运营商强调加快5G和光纤的规模发展、融合发展，而我国运营商强调基础业务的存量经营、价值经营（中国移动）和集智融合发展（中国电信）；②在能力方面，美国运营商强调加快无线网络的现代化如O-RAN、云化RAN，加大投入提升光纤和5G网络能力，我国运营商均继续强化科技创新、推动基础设施智能化升级；③在运营管理方面，我国运营商深化改革，通过精细化运营、精益管理提升效率，而美国运营商继续做减法压降成本，但两国运营商均强调将AI融入运营管理提升效率。④在AI发展策略方面。美国运营商利用AI变革网络及客户服务， T-Mobile基于数据和智能打造客户驱动的网络覆盖，并推进AI RAN合作，与OpenAI合作打造IntentCX 平台、以自服务和预测性改变客户体验。聚焦连接和边缘计算环节，把握AI带来的连接和边缘计算机遇，如Verizon更新其AI战略，推出AI Connect解决方案。而我国运营商则继续加大AI相关算力投资和科技创新力度，拓展AI相关服务收入。</w:t>
      </w:r>
    </w:p>
    <w:p w14:paraId="6E43132D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三、小结与启示</w:t>
      </w:r>
    </w:p>
    <w:p w14:paraId="319E90D0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小结：中美运营商定位和市场因素导致发展差异。</w:t>
      </w:r>
      <w:r>
        <w:rPr>
          <w:rFonts w:hint="eastAsia"/>
          <w:sz w:val="28"/>
          <w:szCs w:val="32"/>
        </w:rPr>
        <w:t>数字基础设施提供者和科技型企业为我国运营商定位，顺应人工智能发展趋势，大力推进科技创新和基础设施智能升级，最好的网络提供商为美国运营商定位，通过加强网络覆盖驱动连接规模增长，这是两国运营商主要发展举措、业务情况存在差异的核心原因。美国运营商连接收入及价值运营好于我国运营商，我国运营商依托产数业务形成领先于美国的整体收入增长优势，但受国内需求不足冲击，作为增长主引擎的产数收入增速下降，导致领先优势缩小，净利润率差距扩大。</w:t>
      </w:r>
    </w:p>
    <w:p w14:paraId="6CDD3257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启示1：重视AI连接增长</w:t>
      </w:r>
      <w:r>
        <w:rPr>
          <w:rFonts w:hint="eastAsia"/>
          <w:sz w:val="28"/>
          <w:szCs w:val="32"/>
        </w:rPr>
        <w:t>。到2030年，60-70%的人工智能工作负载将转向实时推理，将在边缘产生低延迟连接、计算和安全的需求，美国运营商均聚焦AI 连接、把握AI发展机遇，如Verizon 推出AI Connect 战略，打造最适配AI发展的连接和边缘服务。我国运营商在提供端到端的智能服务外，应重视AI发展带来的连接需求，打造最适配AI发展的网络，推出适配AI部署的连接产品，支撑第三方智能云生态繁荣。</w:t>
      </w:r>
    </w:p>
    <w:p w14:paraId="41B26203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启示2：优化基础业务价值运营。</w:t>
      </w:r>
      <w:r>
        <w:rPr>
          <w:rFonts w:hint="eastAsia"/>
          <w:sz w:val="28"/>
          <w:szCs w:val="32"/>
        </w:rPr>
        <w:t xml:space="preserve">Verizon 推出无线流量+MyPlan融合套餐，通过叠加10美元可灵活定制额外权益，低于权益的市场价33%，为通信资费的15%-10%，该计划为Verizon带来1300万用户增长和ARPU提升。而我国运营商外部权益运营的定价均大幅高于市场定价，且占到通信资费的30%。建议我国运营商立足于为用户提供价值，优化权益运营。 </w:t>
      </w:r>
    </w:p>
    <w:p w14:paraId="0F15B2F0">
      <w:pPr>
        <w:ind w:firstLine="560" w:firstLineChars="200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启示3：推进网络简化降本</w:t>
      </w:r>
      <w:r>
        <w:rPr>
          <w:rFonts w:hint="eastAsia"/>
          <w:sz w:val="28"/>
          <w:szCs w:val="32"/>
        </w:rPr>
        <w:t>。美国运营商均高度重视推进网络智简、减少成本，Verizon 当前40%无线流量由云RAN承载，AT&amp;T 推进2026年70%的无线流量由开放硬件承载，智简融合网络每G流量成本降低70%。建议我国运营商加快AI-RAN、ORAN、开放硬件技术研发和规模部署应用，加快推动网络软化转型，降低CAPEX、OPEX，提升网络价值。</w:t>
      </w:r>
    </w:p>
    <w:p w14:paraId="30E9A96E">
      <w:pPr>
        <w:ind w:firstLine="560" w:firstLineChars="200"/>
        <w:rPr>
          <w:rFonts w:hint="eastAsia"/>
          <w:b/>
          <w:bCs/>
          <w:sz w:val="28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istrator" w:date="2025-04-01T09:41:02Z" w:initials="A">
    <w:p w14:paraId="73F2E88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个开源，一个是节流。背后的原因是什么？1、作为央企，在服务政府和央国企方面的优势，这是一块大市场，美国运营商不存在这个优势，面对微软、Amazon、谷歌、Oracle等巨头，AT&amp;T和Verizon基本是放弃姿态（云时代就战略收缩）；2、作为央企，承担科技创新方面的职责，战略定位不同，前沿科技大投入、回报慢，国外运营商普遍不会干这种事。</w:t>
      </w:r>
    </w:p>
  </w:comment>
  <w:comment w:id="1" w:author="Administrator" w:date="2025-04-01T09:47:41Z" w:initials="A">
    <w:p w14:paraId="41D2072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后是什么原因？可能还要深入分析一下，我们国家平均ARPU值低，可能存在普遍服务的要求，不可比。国外运营商可以重点发展高价值客户，包括网络建设和覆盖等也是精准部署。权益+应用发展为何国内不如国外？跟消费者的消费习惯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3F2E88D" w15:done="0"/>
  <w15:commentEx w15:paraId="41D2072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Gothic">
    <w:panose1 w:val="020B0400000000000000"/>
    <w:charset w:val="80"/>
    <w:family w:val="swiss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6C"/>
    <w:rsid w:val="00004F74"/>
    <w:rsid w:val="0001183B"/>
    <w:rsid w:val="00031D8A"/>
    <w:rsid w:val="000324A7"/>
    <w:rsid w:val="00043456"/>
    <w:rsid w:val="00050D7C"/>
    <w:rsid w:val="000510E2"/>
    <w:rsid w:val="00052257"/>
    <w:rsid w:val="00052EB0"/>
    <w:rsid w:val="00063B8F"/>
    <w:rsid w:val="000868BB"/>
    <w:rsid w:val="00091B28"/>
    <w:rsid w:val="000A6014"/>
    <w:rsid w:val="000B2B27"/>
    <w:rsid w:val="000B6BE5"/>
    <w:rsid w:val="000C541B"/>
    <w:rsid w:val="000D4B51"/>
    <w:rsid w:val="000D4DF4"/>
    <w:rsid w:val="000D50C0"/>
    <w:rsid w:val="00123655"/>
    <w:rsid w:val="00130E57"/>
    <w:rsid w:val="0017076D"/>
    <w:rsid w:val="00172B88"/>
    <w:rsid w:val="001B3690"/>
    <w:rsid w:val="001B7160"/>
    <w:rsid w:val="001C2954"/>
    <w:rsid w:val="0023412E"/>
    <w:rsid w:val="00246D36"/>
    <w:rsid w:val="00252586"/>
    <w:rsid w:val="00256191"/>
    <w:rsid w:val="00257CB8"/>
    <w:rsid w:val="00262310"/>
    <w:rsid w:val="0026790A"/>
    <w:rsid w:val="00271ACA"/>
    <w:rsid w:val="002961E7"/>
    <w:rsid w:val="002A3B96"/>
    <w:rsid w:val="002A459E"/>
    <w:rsid w:val="002D3F5A"/>
    <w:rsid w:val="002D5B11"/>
    <w:rsid w:val="002F4679"/>
    <w:rsid w:val="00303499"/>
    <w:rsid w:val="00306CDB"/>
    <w:rsid w:val="0031516D"/>
    <w:rsid w:val="0035126B"/>
    <w:rsid w:val="00390CE8"/>
    <w:rsid w:val="003B6E40"/>
    <w:rsid w:val="003C4E19"/>
    <w:rsid w:val="003D1D9F"/>
    <w:rsid w:val="003E302B"/>
    <w:rsid w:val="003E4AA9"/>
    <w:rsid w:val="003E5364"/>
    <w:rsid w:val="003E61C7"/>
    <w:rsid w:val="00422BFD"/>
    <w:rsid w:val="0043743C"/>
    <w:rsid w:val="00437E76"/>
    <w:rsid w:val="00446024"/>
    <w:rsid w:val="00452A61"/>
    <w:rsid w:val="00453C06"/>
    <w:rsid w:val="00470D8D"/>
    <w:rsid w:val="00474C22"/>
    <w:rsid w:val="00477D79"/>
    <w:rsid w:val="00483243"/>
    <w:rsid w:val="00490312"/>
    <w:rsid w:val="004A18A2"/>
    <w:rsid w:val="004A6DBA"/>
    <w:rsid w:val="004B24B0"/>
    <w:rsid w:val="004C260A"/>
    <w:rsid w:val="004C3999"/>
    <w:rsid w:val="004D5DFC"/>
    <w:rsid w:val="004E0FC0"/>
    <w:rsid w:val="004E4FA7"/>
    <w:rsid w:val="004F3627"/>
    <w:rsid w:val="00505D2B"/>
    <w:rsid w:val="005529AE"/>
    <w:rsid w:val="00574D07"/>
    <w:rsid w:val="00574ED6"/>
    <w:rsid w:val="00583A3B"/>
    <w:rsid w:val="00587B2A"/>
    <w:rsid w:val="005A0584"/>
    <w:rsid w:val="005A3BBC"/>
    <w:rsid w:val="005A77D4"/>
    <w:rsid w:val="005B3E71"/>
    <w:rsid w:val="00635259"/>
    <w:rsid w:val="006354DC"/>
    <w:rsid w:val="006547A0"/>
    <w:rsid w:val="00671E16"/>
    <w:rsid w:val="006B5E45"/>
    <w:rsid w:val="006C7A7C"/>
    <w:rsid w:val="006E05E7"/>
    <w:rsid w:val="006E602E"/>
    <w:rsid w:val="00707EB3"/>
    <w:rsid w:val="00714B69"/>
    <w:rsid w:val="007239C7"/>
    <w:rsid w:val="00770C57"/>
    <w:rsid w:val="00793BA9"/>
    <w:rsid w:val="007C1F42"/>
    <w:rsid w:val="007E4383"/>
    <w:rsid w:val="00827A01"/>
    <w:rsid w:val="00834FA2"/>
    <w:rsid w:val="00850239"/>
    <w:rsid w:val="008519CE"/>
    <w:rsid w:val="00852039"/>
    <w:rsid w:val="008579C9"/>
    <w:rsid w:val="008643F9"/>
    <w:rsid w:val="00870EA5"/>
    <w:rsid w:val="00872184"/>
    <w:rsid w:val="008C6C68"/>
    <w:rsid w:val="008D4925"/>
    <w:rsid w:val="008D6715"/>
    <w:rsid w:val="008F1F78"/>
    <w:rsid w:val="008F40DC"/>
    <w:rsid w:val="009174A2"/>
    <w:rsid w:val="0093722C"/>
    <w:rsid w:val="00954CB9"/>
    <w:rsid w:val="00997D71"/>
    <w:rsid w:val="009A1DD7"/>
    <w:rsid w:val="009B7B33"/>
    <w:rsid w:val="009C019B"/>
    <w:rsid w:val="009D54CB"/>
    <w:rsid w:val="009E0F15"/>
    <w:rsid w:val="00A00AFD"/>
    <w:rsid w:val="00A112A0"/>
    <w:rsid w:val="00A12081"/>
    <w:rsid w:val="00A17E53"/>
    <w:rsid w:val="00A41F53"/>
    <w:rsid w:val="00A52800"/>
    <w:rsid w:val="00A859D2"/>
    <w:rsid w:val="00A9596C"/>
    <w:rsid w:val="00AC16DE"/>
    <w:rsid w:val="00AC1847"/>
    <w:rsid w:val="00AE225D"/>
    <w:rsid w:val="00AE56EB"/>
    <w:rsid w:val="00B113ED"/>
    <w:rsid w:val="00B17C3F"/>
    <w:rsid w:val="00B352E7"/>
    <w:rsid w:val="00B6308D"/>
    <w:rsid w:val="00B9277F"/>
    <w:rsid w:val="00BA09B4"/>
    <w:rsid w:val="00BE5052"/>
    <w:rsid w:val="00C11919"/>
    <w:rsid w:val="00C13AD6"/>
    <w:rsid w:val="00C47F30"/>
    <w:rsid w:val="00C70C70"/>
    <w:rsid w:val="00C803A9"/>
    <w:rsid w:val="00C93996"/>
    <w:rsid w:val="00CD2D86"/>
    <w:rsid w:val="00CD6BF4"/>
    <w:rsid w:val="00CE00EB"/>
    <w:rsid w:val="00CE7A60"/>
    <w:rsid w:val="00CF1C0B"/>
    <w:rsid w:val="00D00A47"/>
    <w:rsid w:val="00D05C63"/>
    <w:rsid w:val="00D117D5"/>
    <w:rsid w:val="00D54E1D"/>
    <w:rsid w:val="00D57E91"/>
    <w:rsid w:val="00D64FDB"/>
    <w:rsid w:val="00D663BB"/>
    <w:rsid w:val="00D66BB4"/>
    <w:rsid w:val="00D74C8C"/>
    <w:rsid w:val="00D958C6"/>
    <w:rsid w:val="00DA3809"/>
    <w:rsid w:val="00DB02DA"/>
    <w:rsid w:val="00DC5130"/>
    <w:rsid w:val="00DE48C7"/>
    <w:rsid w:val="00DE4C78"/>
    <w:rsid w:val="00E22424"/>
    <w:rsid w:val="00E35EF7"/>
    <w:rsid w:val="00E56046"/>
    <w:rsid w:val="00E601B8"/>
    <w:rsid w:val="00E63AA1"/>
    <w:rsid w:val="00E71015"/>
    <w:rsid w:val="00E80D3B"/>
    <w:rsid w:val="00E83B3B"/>
    <w:rsid w:val="00E84485"/>
    <w:rsid w:val="00E962A3"/>
    <w:rsid w:val="00EA2996"/>
    <w:rsid w:val="00EA5FF1"/>
    <w:rsid w:val="00ED78EA"/>
    <w:rsid w:val="00EE2F82"/>
    <w:rsid w:val="00F13E71"/>
    <w:rsid w:val="00F2465A"/>
    <w:rsid w:val="00F349E7"/>
    <w:rsid w:val="00F3653E"/>
    <w:rsid w:val="00F40056"/>
    <w:rsid w:val="00F45A69"/>
    <w:rsid w:val="00F8074B"/>
    <w:rsid w:val="00F84658"/>
    <w:rsid w:val="00FB2FD0"/>
    <w:rsid w:val="00FC7D15"/>
    <w:rsid w:val="00FE5DE8"/>
    <w:rsid w:val="00FF67CC"/>
    <w:rsid w:val="0DC6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8"/>
    <w:link w:val="13"/>
    <w:uiPriority w:val="99"/>
    <w:rPr>
      <w:sz w:val="18"/>
      <w:szCs w:val="18"/>
    </w:rPr>
  </w:style>
  <w:style w:type="character" w:customStyle="1" w:styleId="39">
    <w:name w:val="页脚 字符"/>
    <w:basedOn w:val="18"/>
    <w:link w:val="12"/>
    <w:uiPriority w:val="99"/>
    <w:rPr>
      <w:sz w:val="18"/>
      <w:szCs w:val="18"/>
    </w:rPr>
  </w:style>
  <w:style w:type="character" w:customStyle="1" w:styleId="40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4.xml"/><Relationship Id="rId8" Type="http://schemas.openxmlformats.org/officeDocument/2006/relationships/chart" Target="charts/chart3.xml"/><Relationship Id="rId7" Type="http://schemas.openxmlformats.org/officeDocument/2006/relationships/chart" Target="charts/chart2.xml"/><Relationship Id="rId6" Type="http://schemas.openxmlformats.org/officeDocument/2006/relationships/chart" Target="charts/chart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hart" Target="charts/chart8.xml"/><Relationship Id="rId12" Type="http://schemas.openxmlformats.org/officeDocument/2006/relationships/chart" Target="charts/chart7.xml"/><Relationship Id="rId11" Type="http://schemas.openxmlformats.org/officeDocument/2006/relationships/chart" Target="charts/chart6.xml"/><Relationship Id="rId10" Type="http://schemas.openxmlformats.org/officeDocument/2006/relationships/chart" Target="charts/chart5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package" Target="../embeddings/Workbook3.xlsx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package" Target="../embeddings/Workbook4.xlsx"/></Relationships>
</file>

<file path=word/charts/_rels/chart5.xml.rels><?xml version="1.0" encoding="UTF-8" standalone="yes"?>
<Relationships xmlns="http://schemas.openxmlformats.org/package/2006/relationships"><Relationship Id="rId3" Type="http://schemas.microsoft.com/office/2011/relationships/chartColorStyle" Target="colors7.xml"/><Relationship Id="rId2" Type="http://schemas.microsoft.com/office/2011/relationships/chartStyle" Target="style7.xml"/><Relationship Id="rId1" Type="http://schemas.openxmlformats.org/officeDocument/2006/relationships/package" Target="../embeddings/Workbook7.xlsx"/></Relationships>
</file>

<file path=word/charts/_rels/chart6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package" Target="../embeddings/Workbook6.xlsx"/></Relationships>
</file>

<file path=word/charts/_rels/chart7.xml.rels><?xml version="1.0" encoding="UTF-8" standalone="yes"?>
<Relationships xmlns="http://schemas.openxmlformats.org/package/2006/relationships"><Relationship Id="rId3" Type="http://schemas.microsoft.com/office/2011/relationships/chartColorStyle" Target="colors8.xml"/><Relationship Id="rId2" Type="http://schemas.microsoft.com/office/2011/relationships/chartStyle" Target="style8.xml"/><Relationship Id="rId1" Type="http://schemas.openxmlformats.org/officeDocument/2006/relationships/package" Target="../embeddings/Workbook8.xlsx"/></Relationships>
</file>

<file path=word/charts/_rels/chart8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package" Target="../embeddings/Workbook5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000"/>
              <a:t>移动业务和</a:t>
            </a:r>
            <a:r>
              <a:rPr lang="en-US" altLang="zh-CN" sz="1000"/>
              <a:t>ARPU</a:t>
            </a:r>
            <a:r>
              <a:rPr lang="zh-CN" altLang="en-US" sz="1000"/>
              <a:t>增速</a:t>
            </a:r>
            <a:endParaRPr lang="zh-CN" altLang="en-US" sz="1000"/>
          </a:p>
        </c:rich>
      </c:tx>
      <c:layout>
        <c:manualLayout>
          <c:xMode val="edge"/>
          <c:yMode val="edge"/>
          <c:x val="0.18578431372549"/>
          <c:y val="0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15172808123394"/>
          <c:y val="0.123694692962141"/>
          <c:w val="0.962609447441117"/>
          <c:h val="0.759561525397561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ARPU增速</c:v>
                </c:pt>
              </c:strCache>
            </c:strRef>
          </c:tx>
          <c:spPr>
            <a:ln w="28575" cap="rnd">
              <a:solidFill>
                <a:schemeClr val="bg1">
                  <a:lumMod val="85000"/>
                </a:schemeClr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Sheet1!$A$2:$A$6</c:f>
              <c:strCache>
                <c:ptCount val="5"/>
                <c:pt idx="0">
                  <c:v>AT&amp;T</c:v>
                </c:pt>
                <c:pt idx="1">
                  <c:v>Verizon</c:v>
                </c:pt>
                <c:pt idx="2">
                  <c:v>T-mobile</c:v>
                </c:pt>
                <c:pt idx="3">
                  <c:v>中国电信</c:v>
                </c:pt>
                <c:pt idx="4">
                  <c:v>中国移动</c:v>
                </c:pt>
              </c:strCache>
            </c:strRef>
          </c:cat>
          <c:val>
            <c:numRef>
              <c:f>Sheet1!$B$2:$B$6</c:f>
              <c:numCache>
                <c:formatCode>0.0%</c:formatCode>
                <c:ptCount val="5"/>
                <c:pt idx="0">
                  <c:v>0.008</c:v>
                </c:pt>
                <c:pt idx="1">
                  <c:v>0.029</c:v>
                </c:pt>
                <c:pt idx="2">
                  <c:v>0.012</c:v>
                </c:pt>
                <c:pt idx="3">
                  <c:v>0.004</c:v>
                </c:pt>
                <c:pt idx="4">
                  <c:v>-0.016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收入增速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AT&amp;T</c:v>
                </c:pt>
                <c:pt idx="1">
                  <c:v>Verizon</c:v>
                </c:pt>
                <c:pt idx="2">
                  <c:v>T-mobile</c:v>
                </c:pt>
                <c:pt idx="3">
                  <c:v>中国电信</c:v>
                </c:pt>
                <c:pt idx="4">
                  <c:v>中国移动</c:v>
                </c:pt>
              </c:strCache>
            </c:strRef>
          </c:cat>
          <c:val>
            <c:numRef>
              <c:f>Sheet1!$C$2:$C$6</c:f>
              <c:numCache>
                <c:formatCode>0.0%</c:formatCode>
                <c:ptCount val="5"/>
                <c:pt idx="0">
                  <c:v>0.035</c:v>
                </c:pt>
                <c:pt idx="1">
                  <c:v>0.032</c:v>
                </c:pt>
                <c:pt idx="2">
                  <c:v>0.075</c:v>
                </c:pt>
                <c:pt idx="3">
                  <c:v>0.035</c:v>
                </c:pt>
                <c:pt idx="4">
                  <c:v>-0.013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963283231"/>
        <c:axId val="1963291391"/>
      </c:lineChart>
      <c:catAx>
        <c:axId val="1963283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91391"/>
        <c:crosses val="autoZero"/>
        <c:auto val="1"/>
        <c:lblAlgn val="ctr"/>
        <c:lblOffset val="100"/>
        <c:noMultiLvlLbl val="0"/>
      </c:catAx>
      <c:valAx>
        <c:axId val="1963291391"/>
        <c:scaling>
          <c:orientation val="minMax"/>
        </c:scaling>
        <c:delete val="0"/>
        <c:axPos val="l"/>
        <c:numFmt formatCode="0%" sourceLinked="0"/>
        <c:majorTickMark val="none"/>
        <c:minorTickMark val="none"/>
        <c:tickLblPos val="none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832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38798826617261"/>
          <c:y val="0.770163225304991"/>
          <c:w val="0.631789408676857"/>
          <c:h val="0.13993106011963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0232a6b-91a2-4df3-a466-f70b3b0edd1c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000"/>
              <a:t>5G</a:t>
            </a:r>
            <a:r>
              <a:rPr lang="zh-CN" altLang="en-US" sz="1000"/>
              <a:t>用户渗透率</a:t>
            </a:r>
            <a:endParaRPr lang="zh-CN" altLang="en-US" sz="1000"/>
          </a:p>
        </c:rich>
      </c:tx>
      <c:layout>
        <c:manualLayout>
          <c:xMode val="edge"/>
          <c:yMode val="edge"/>
          <c:x val="0.347549019607843"/>
          <c:y val="0.0533799691347594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15172808123394"/>
          <c:y val="0.123694692962141"/>
          <c:w val="0.962609447441117"/>
          <c:h val="0.759561525397561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2023</c:v>
                </c:pt>
              </c:strCache>
            </c:strRef>
          </c:tx>
          <c:spPr>
            <a:ln w="28575" cap="rnd">
              <a:solidFill>
                <a:schemeClr val="bg1">
                  <a:lumMod val="85000"/>
                </a:schemeClr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</c:dLbl>
            <c:dLbl>
              <c:idx val="1"/>
              <c:delete val="1"/>
            </c:dLbl>
            <c:dLbl>
              <c:idx val="2"/>
              <c:delete val="1"/>
            </c:dLbl>
            <c:dLbl>
              <c:idx val="3"/>
              <c:delete val="1"/>
            </c:dLbl>
            <c:dLbl>
              <c:idx val="4"/>
              <c:layout>
                <c:manualLayout>
                  <c:x val="-0.0726574803149607"/>
                  <c:y val="0.0637158820812634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AT&amp;T</c:v>
                </c:pt>
                <c:pt idx="1">
                  <c:v>Verizon</c:v>
                </c:pt>
                <c:pt idx="2">
                  <c:v>T-mobile</c:v>
                </c:pt>
                <c:pt idx="3">
                  <c:v>中国电信</c:v>
                </c:pt>
                <c:pt idx="4">
                  <c:v>中国移动</c:v>
                </c:pt>
              </c:strCache>
            </c:strRef>
          </c:cat>
          <c:val>
            <c:numRef>
              <c:f>Sheet1!$B$2:$B$6</c:f>
              <c:numCache>
                <c:formatCode>0.0%</c:formatCode>
                <c:ptCount val="5"/>
                <c:pt idx="0">
                  <c:v>0.4</c:v>
                </c:pt>
                <c:pt idx="1">
                  <c:v>0.4</c:v>
                </c:pt>
                <c:pt idx="2">
                  <c:v>0.5</c:v>
                </c:pt>
                <c:pt idx="3">
                  <c:v>0.781469946</c:v>
                </c:pt>
                <c:pt idx="4">
                  <c:v>0.469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2024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AT&amp;T</c:v>
                </c:pt>
                <c:pt idx="1">
                  <c:v>Verizon</c:v>
                </c:pt>
                <c:pt idx="2">
                  <c:v>T-mobile</c:v>
                </c:pt>
                <c:pt idx="3">
                  <c:v>中国电信</c:v>
                </c:pt>
                <c:pt idx="4">
                  <c:v>中国移动</c:v>
                </c:pt>
              </c:strCache>
            </c:strRef>
          </c:cat>
          <c:val>
            <c:numRef>
              <c:f>Sheet1!$C$2:$C$6</c:f>
              <c:numCache>
                <c:formatCode>0.0%</c:formatCode>
                <c:ptCount val="5"/>
                <c:pt idx="0">
                  <c:v>0.5</c:v>
                </c:pt>
                <c:pt idx="1">
                  <c:v>0.5</c:v>
                </c:pt>
                <c:pt idx="2">
                  <c:v>0.6</c:v>
                </c:pt>
                <c:pt idx="3">
                  <c:v>0.827946858</c:v>
                </c:pt>
                <c:pt idx="4">
                  <c:v>0.55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963283231"/>
        <c:axId val="1963291391"/>
      </c:lineChart>
      <c:catAx>
        <c:axId val="1963283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91391"/>
        <c:crosses val="autoZero"/>
        <c:auto val="1"/>
        <c:lblAlgn val="ctr"/>
        <c:lblOffset val="100"/>
        <c:noMultiLvlLbl val="0"/>
      </c:catAx>
      <c:valAx>
        <c:axId val="1963291391"/>
        <c:scaling>
          <c:orientation val="minMax"/>
        </c:scaling>
        <c:delete val="0"/>
        <c:axPos val="l"/>
        <c:numFmt formatCode="0%" sourceLinked="0"/>
        <c:majorTickMark val="none"/>
        <c:minorTickMark val="none"/>
        <c:tickLblPos val="none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832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2f0c318f-3a5d-412d-b91c-3975f5c64b7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000"/>
              <a:t>宽带业务收入和</a:t>
            </a:r>
            <a:r>
              <a:rPr lang="en-US" altLang="zh-CN" sz="1000"/>
              <a:t>ARPU</a:t>
            </a:r>
            <a:r>
              <a:rPr lang="zh-CN" altLang="en-US" sz="1000"/>
              <a:t>增速</a:t>
            </a:r>
            <a:endParaRPr lang="zh-CN" altLang="en-US" sz="1000"/>
          </a:p>
        </c:rich>
      </c:tx>
      <c:layout>
        <c:manualLayout>
          <c:xMode val="edge"/>
          <c:yMode val="edge"/>
          <c:x val="0.295410297977459"/>
          <c:y val="0.00330843837653341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15172808123394"/>
          <c:y val="0.123694692962141"/>
          <c:w val="0.962609447441117"/>
          <c:h val="0.759561525397561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ARPU增速</c:v>
                </c:pt>
              </c:strCache>
            </c:strRef>
          </c:tx>
          <c:spPr>
            <a:ln w="28575" cap="rnd">
              <a:solidFill>
                <a:schemeClr val="bg1">
                  <a:lumMod val="85000"/>
                </a:schemeClr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Sheet1!$A$2:$A$6</c:f>
              <c:strCache>
                <c:ptCount val="4"/>
                <c:pt idx="0">
                  <c:v>AT&amp;T</c:v>
                </c:pt>
                <c:pt idx="1">
                  <c:v>Verizon</c:v>
                </c:pt>
                <c:pt idx="2">
                  <c:v>中国电信</c:v>
                </c:pt>
                <c:pt idx="3">
                  <c:v>中国移动</c:v>
                </c:pt>
              </c:strCache>
            </c:strRef>
          </c:cat>
          <c:val>
            <c:numRef>
              <c:f>Sheet1!$B$2:$B$6</c:f>
              <c:numCache>
                <c:formatCode>0.0%</c:formatCode>
                <c:ptCount val="4"/>
                <c:pt idx="0">
                  <c:v>0.036</c:v>
                </c:pt>
                <c:pt idx="1">
                  <c:v>-0.108</c:v>
                </c:pt>
                <c:pt idx="2">
                  <c:v>0</c:v>
                </c:pt>
                <c:pt idx="3">
                  <c:v>0.016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收入增速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4"/>
                <c:pt idx="0">
                  <c:v>AT&amp;T</c:v>
                </c:pt>
                <c:pt idx="1">
                  <c:v>Verizon</c:v>
                </c:pt>
                <c:pt idx="2">
                  <c:v>中国电信</c:v>
                </c:pt>
                <c:pt idx="3">
                  <c:v>中国移动</c:v>
                </c:pt>
              </c:strCache>
            </c:strRef>
          </c:cat>
          <c:val>
            <c:numRef>
              <c:f>Sheet1!$C$2:$C$6</c:f>
              <c:numCache>
                <c:formatCode>0.0%</c:formatCode>
                <c:ptCount val="4"/>
                <c:pt idx="0">
                  <c:v>0.072</c:v>
                </c:pt>
                <c:pt idx="1">
                  <c:v>0.003</c:v>
                </c:pt>
                <c:pt idx="2">
                  <c:v>0.019</c:v>
                </c:pt>
                <c:pt idx="3">
                  <c:v>0.101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963283231"/>
        <c:axId val="1963291391"/>
      </c:lineChart>
      <c:catAx>
        <c:axId val="1963283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91391"/>
        <c:crosses val="autoZero"/>
        <c:auto val="1"/>
        <c:lblAlgn val="ctr"/>
        <c:lblOffset val="100"/>
        <c:noMultiLvlLbl val="0"/>
      </c:catAx>
      <c:valAx>
        <c:axId val="1963291391"/>
        <c:scaling>
          <c:orientation val="minMax"/>
        </c:scaling>
        <c:delete val="0"/>
        <c:axPos val="l"/>
        <c:numFmt formatCode="0%" sourceLinked="0"/>
        <c:majorTickMark val="none"/>
        <c:minorTickMark val="none"/>
        <c:tickLblPos val="none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832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43700787401575"/>
          <c:y val="0.750313158280108"/>
          <c:w val="0.651397251814111"/>
          <c:h val="0.14708413594223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6e01b8d-4989-4879-a6f1-4c39c8526833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000"/>
              <a:t>产数业务</a:t>
            </a:r>
            <a:r>
              <a:rPr lang="en-US" altLang="zh-CN" sz="1000"/>
              <a:t>/</a:t>
            </a:r>
            <a:r>
              <a:rPr lang="zh-CN" altLang="en-US" sz="1000"/>
              <a:t>政企市场收入增速</a:t>
            </a:r>
            <a:endParaRPr lang="zh-CN" altLang="en-US" sz="1000"/>
          </a:p>
        </c:rich>
      </c:tx>
      <c:layout>
        <c:manualLayout>
          <c:xMode val="edge"/>
          <c:yMode val="edge"/>
          <c:x val="0.295410297977459"/>
          <c:y val="0.00330843837653341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15172808123394"/>
          <c:y val="0.123694692962141"/>
          <c:w val="0.962609447441117"/>
          <c:h val="0.759561525397561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2023</c:v>
                </c:pt>
              </c:strCache>
            </c:strRef>
          </c:tx>
          <c:spPr>
            <a:ln w="28575" cap="rnd">
              <a:solidFill>
                <a:schemeClr val="bg1">
                  <a:lumMod val="85000"/>
                </a:schemeClr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Sheet1!$A$2:$A$7</c:f>
              <c:strCache>
                <c:ptCount val="4"/>
                <c:pt idx="0">
                  <c:v>AT&amp;T</c:v>
                </c:pt>
                <c:pt idx="1">
                  <c:v>Verizon</c:v>
                </c:pt>
                <c:pt idx="2">
                  <c:v>中国电信</c:v>
                </c:pt>
                <c:pt idx="3">
                  <c:v>中国移动</c:v>
                </c:pt>
              </c:strCache>
            </c:strRef>
          </c:cat>
          <c:val>
            <c:numRef>
              <c:f>Sheet1!$B$2:$B$7</c:f>
              <c:numCache>
                <c:formatCode>0.0%</c:formatCode>
                <c:ptCount val="4"/>
                <c:pt idx="0">
                  <c:v>-0.073</c:v>
                </c:pt>
                <c:pt idx="1">
                  <c:v>-0.039</c:v>
                </c:pt>
                <c:pt idx="2">
                  <c:v>0.179</c:v>
                </c:pt>
                <c:pt idx="3">
                  <c:v>0.142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2024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4"/>
                <c:pt idx="0">
                  <c:v>AT&amp;T</c:v>
                </c:pt>
                <c:pt idx="1">
                  <c:v>Verizon</c:v>
                </c:pt>
                <c:pt idx="2">
                  <c:v>中国电信</c:v>
                </c:pt>
                <c:pt idx="3">
                  <c:v>中国移动</c:v>
                </c:pt>
              </c:strCache>
            </c:strRef>
          </c:cat>
          <c:val>
            <c:numRef>
              <c:f>Sheet1!$C$2:$C$7</c:f>
              <c:numCache>
                <c:formatCode>0.0%</c:formatCode>
                <c:ptCount val="4"/>
                <c:pt idx="0">
                  <c:v>-0.099</c:v>
                </c:pt>
                <c:pt idx="1">
                  <c:v>-0.02</c:v>
                </c:pt>
                <c:pt idx="2">
                  <c:v>0.055</c:v>
                </c:pt>
                <c:pt idx="3">
                  <c:v>0.088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963283231"/>
        <c:axId val="1963291391"/>
      </c:lineChart>
      <c:catAx>
        <c:axId val="1963283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91391"/>
        <c:crosses val="autoZero"/>
        <c:auto val="1"/>
        <c:lblAlgn val="ctr"/>
        <c:lblOffset val="100"/>
        <c:noMultiLvlLbl val="0"/>
      </c:catAx>
      <c:valAx>
        <c:axId val="1963291391"/>
        <c:scaling>
          <c:orientation val="minMax"/>
        </c:scaling>
        <c:delete val="0"/>
        <c:axPos val="l"/>
        <c:numFmt formatCode="0%" sourceLinked="0"/>
        <c:majorTickMark val="none"/>
        <c:minorTickMark val="none"/>
        <c:tickLblPos val="none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832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19803921568628"/>
          <c:y val="0.685935475876674"/>
          <c:w val="0.45078431372549"/>
          <c:h val="0.15423721176483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d01d85e-5989-4c16-adde-2ed5ea73b82a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000"/>
              <a:t>营业收入增速</a:t>
            </a:r>
            <a:endParaRPr lang="zh-CN" altLang="en-US" sz="1000"/>
          </a:p>
        </c:rich>
      </c:tx>
      <c:layout>
        <c:manualLayout>
          <c:xMode val="edge"/>
          <c:yMode val="edge"/>
          <c:x val="0.427763062846135"/>
          <c:y val="0.0247678018575851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15172808123394"/>
          <c:y val="0.123694692962141"/>
          <c:w val="0.962609447441117"/>
          <c:h val="0.759561525397561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2023</c:v>
                </c:pt>
              </c:strCache>
            </c:strRef>
          </c:tx>
          <c:spPr>
            <a:ln w="28575" cap="rnd">
              <a:solidFill>
                <a:schemeClr val="bg1">
                  <a:lumMod val="85000"/>
                </a:schemeClr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Sheet1!$A$2:$A$7</c:f>
              <c:strCache>
                <c:ptCount val="6"/>
                <c:pt idx="0">
                  <c:v>AT&amp;T</c:v>
                </c:pt>
                <c:pt idx="1">
                  <c:v>Verizon</c:v>
                </c:pt>
                <c:pt idx="2">
                  <c:v>T-mobile</c:v>
                </c:pt>
                <c:pt idx="3">
                  <c:v>中国电信</c:v>
                </c:pt>
                <c:pt idx="4">
                  <c:v>中国移动</c:v>
                </c:pt>
                <c:pt idx="5">
                  <c:v>中国联通</c:v>
                </c:pt>
              </c:strCache>
            </c:strRef>
          </c:cat>
          <c:val>
            <c:numRef>
              <c:f>Sheet1!$B$2:$B$7</c:f>
              <c:numCache>
                <c:formatCode>0.0%</c:formatCode>
                <c:ptCount val="6"/>
                <c:pt idx="0">
                  <c:v>0.014</c:v>
                </c:pt>
                <c:pt idx="1">
                  <c:v>-0.021</c:v>
                </c:pt>
                <c:pt idx="2">
                  <c:v>-0.013</c:v>
                </c:pt>
                <c:pt idx="3">
                  <c:v>0.067</c:v>
                </c:pt>
                <c:pt idx="4">
                  <c:v>0.077</c:v>
                </c:pt>
                <c:pt idx="5">
                  <c:v>0.05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2024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AT&amp;T</c:v>
                </c:pt>
                <c:pt idx="1">
                  <c:v>Verizon</c:v>
                </c:pt>
                <c:pt idx="2">
                  <c:v>T-mobile</c:v>
                </c:pt>
                <c:pt idx="3">
                  <c:v>中国电信</c:v>
                </c:pt>
                <c:pt idx="4">
                  <c:v>中国移动</c:v>
                </c:pt>
                <c:pt idx="5">
                  <c:v>中国联通</c:v>
                </c:pt>
              </c:strCache>
            </c:strRef>
          </c:cat>
          <c:val>
            <c:numRef>
              <c:f>Sheet1!$C$2:$C$7</c:f>
              <c:numCache>
                <c:formatCode>0.0%</c:formatCode>
                <c:ptCount val="6"/>
                <c:pt idx="0">
                  <c:v>-0.001</c:v>
                </c:pt>
                <c:pt idx="1">
                  <c:v>0.006</c:v>
                </c:pt>
                <c:pt idx="2">
                  <c:v>0.036</c:v>
                </c:pt>
                <c:pt idx="3">
                  <c:v>0.031</c:v>
                </c:pt>
                <c:pt idx="4">
                  <c:v>0.031</c:v>
                </c:pt>
                <c:pt idx="5">
                  <c:v>0.046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963283231"/>
        <c:axId val="1963291391"/>
      </c:lineChart>
      <c:catAx>
        <c:axId val="1963283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91391"/>
        <c:crosses val="autoZero"/>
        <c:auto val="1"/>
        <c:lblAlgn val="ctr"/>
        <c:lblOffset val="100"/>
        <c:noMultiLvlLbl val="0"/>
      </c:catAx>
      <c:valAx>
        <c:axId val="1963291391"/>
        <c:scaling>
          <c:orientation val="minMax"/>
        </c:scaling>
        <c:delete val="0"/>
        <c:axPos val="l"/>
        <c:numFmt formatCode="0%" sourceLinked="0"/>
        <c:majorTickMark val="none"/>
        <c:minorTickMark val="none"/>
        <c:tickLblPos val="none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832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c2aad5a2-233f-4d65-823c-f57eafdb1434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000"/>
              <a:t>净利润率</a:t>
            </a:r>
            <a:endParaRPr lang="zh-CN" altLang="en-US" sz="1000"/>
          </a:p>
        </c:rich>
      </c:tx>
      <c:layout>
        <c:manualLayout>
          <c:xMode val="edge"/>
          <c:yMode val="edge"/>
          <c:x val="0.427763062846135"/>
          <c:y val="0.0247678018575851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"/>
          <c:y val="0.204458473527813"/>
          <c:w val="0.97508149182965"/>
          <c:h val="0.67325783065663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2023</c:v>
                </c:pt>
              </c:strCache>
            </c:strRef>
          </c:tx>
          <c:spPr>
            <a:ln w="28575" cap="rnd">
              <a:solidFill>
                <a:schemeClr val="bg1">
                  <a:lumMod val="85000"/>
                </a:schemeClr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Sheet1!$A$2:$A$7</c:f>
              <c:strCache>
                <c:ptCount val="6"/>
                <c:pt idx="0">
                  <c:v>AT&amp;T</c:v>
                </c:pt>
                <c:pt idx="1">
                  <c:v>Verizon</c:v>
                </c:pt>
                <c:pt idx="2">
                  <c:v>T-mobile</c:v>
                </c:pt>
                <c:pt idx="3">
                  <c:v>中国电信</c:v>
                </c:pt>
                <c:pt idx="4">
                  <c:v>中国移动</c:v>
                </c:pt>
                <c:pt idx="5">
                  <c:v>中国联通</c:v>
                </c:pt>
              </c:strCache>
            </c:strRef>
          </c:cat>
          <c:val>
            <c:numRef>
              <c:f>Sheet1!$B$2:$B$7</c:f>
              <c:numCache>
                <c:formatCode>0.0%</c:formatCode>
                <c:ptCount val="6"/>
                <c:pt idx="0">
                  <c:v>0.128</c:v>
                </c:pt>
                <c:pt idx="1">
                  <c:v>0.09</c:v>
                </c:pt>
                <c:pt idx="2">
                  <c:v>0.106</c:v>
                </c:pt>
                <c:pt idx="3">
                  <c:v>0.059</c:v>
                </c:pt>
                <c:pt idx="4">
                  <c:v>0.131</c:v>
                </c:pt>
                <c:pt idx="5">
                  <c:v>0.05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2024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AT&amp;T</c:v>
                </c:pt>
                <c:pt idx="1">
                  <c:v>Verizon</c:v>
                </c:pt>
                <c:pt idx="2">
                  <c:v>T-mobile</c:v>
                </c:pt>
                <c:pt idx="3">
                  <c:v>中国电信</c:v>
                </c:pt>
                <c:pt idx="4">
                  <c:v>中国移动</c:v>
                </c:pt>
                <c:pt idx="5">
                  <c:v>中国联通</c:v>
                </c:pt>
              </c:strCache>
            </c:strRef>
          </c:cat>
          <c:val>
            <c:numRef>
              <c:f>Sheet1!$C$2:$C$7</c:f>
              <c:numCache>
                <c:formatCode>0.0%</c:formatCode>
                <c:ptCount val="6"/>
                <c:pt idx="0">
                  <c:v>0.1</c:v>
                </c:pt>
                <c:pt idx="1">
                  <c:v>0.133</c:v>
                </c:pt>
                <c:pt idx="2">
                  <c:v>0.139</c:v>
                </c:pt>
                <c:pt idx="3">
                  <c:v>0.062</c:v>
                </c:pt>
                <c:pt idx="4">
                  <c:v>0.133</c:v>
                </c:pt>
                <c:pt idx="5">
                  <c:v>0.053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963283231"/>
        <c:axId val="1963291391"/>
      </c:lineChart>
      <c:catAx>
        <c:axId val="1963283231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91391"/>
        <c:crosses val="autoZero"/>
        <c:auto val="1"/>
        <c:lblAlgn val="ctr"/>
        <c:lblOffset val="100"/>
        <c:noMultiLvlLbl val="0"/>
      </c:catAx>
      <c:valAx>
        <c:axId val="1963291391"/>
        <c:scaling>
          <c:orientation val="minMax"/>
        </c:scaling>
        <c:delete val="1"/>
        <c:axPos val="l"/>
        <c:numFmt formatCode="0%" sourceLinked="0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832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87990160-bb0c-4229-9197-286439b4127f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000"/>
              <a:t>CAPEX</a:t>
            </a:r>
            <a:r>
              <a:rPr lang="zh-CN" altLang="en-US" sz="1000"/>
              <a:t>增速</a:t>
            </a:r>
            <a:endParaRPr lang="zh-CN" altLang="en-US" sz="1000"/>
          </a:p>
        </c:rich>
      </c:tx>
      <c:layout>
        <c:manualLayout>
          <c:xMode val="edge"/>
          <c:yMode val="edge"/>
          <c:x val="0.427763062846135"/>
          <c:y val="0.0247678018575851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"/>
          <c:y val="0.204458473527813"/>
          <c:w val="0.97508149182965"/>
          <c:h val="0.67325783065663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2023</c:v>
                </c:pt>
              </c:strCache>
            </c:strRef>
          </c:tx>
          <c:spPr>
            <a:ln w="28575" cap="rnd">
              <a:solidFill>
                <a:schemeClr val="bg1">
                  <a:lumMod val="85000"/>
                </a:schemeClr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Sheet1!$A$2:$A$7</c:f>
              <c:strCache>
                <c:ptCount val="6"/>
                <c:pt idx="0">
                  <c:v>AT&amp;T</c:v>
                </c:pt>
                <c:pt idx="1">
                  <c:v>Verizon</c:v>
                </c:pt>
                <c:pt idx="2">
                  <c:v>T-mobile</c:v>
                </c:pt>
                <c:pt idx="3">
                  <c:v>中国电信</c:v>
                </c:pt>
                <c:pt idx="4">
                  <c:v>中国移动</c:v>
                </c:pt>
                <c:pt idx="5">
                  <c:v>中国联通</c:v>
                </c:pt>
              </c:strCache>
            </c:strRef>
          </c:cat>
          <c:val>
            <c:numRef>
              <c:f>Sheet1!$B$2:$B$7</c:f>
              <c:numCache>
                <c:formatCode>0.0%</c:formatCode>
                <c:ptCount val="6"/>
                <c:pt idx="0">
                  <c:v>-0.09</c:v>
                </c:pt>
                <c:pt idx="1">
                  <c:v>-0.186</c:v>
                </c:pt>
                <c:pt idx="2">
                  <c:v>-0.298</c:v>
                </c:pt>
                <c:pt idx="3">
                  <c:v>0.011</c:v>
                </c:pt>
                <c:pt idx="4">
                  <c:v>-0.026</c:v>
                </c:pt>
                <c:pt idx="5">
                  <c:v>-0.004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2024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AT&amp;T</c:v>
                </c:pt>
                <c:pt idx="1">
                  <c:v>Verizon</c:v>
                </c:pt>
                <c:pt idx="2">
                  <c:v>T-mobile</c:v>
                </c:pt>
                <c:pt idx="3">
                  <c:v>中国电信</c:v>
                </c:pt>
                <c:pt idx="4">
                  <c:v>中国移动</c:v>
                </c:pt>
                <c:pt idx="5">
                  <c:v>中国联通</c:v>
                </c:pt>
              </c:strCache>
            </c:strRef>
          </c:cat>
          <c:val>
            <c:numRef>
              <c:f>Sheet1!$C$2:$C$7</c:f>
              <c:numCache>
                <c:formatCode>0.0%</c:formatCode>
                <c:ptCount val="6"/>
                <c:pt idx="0">
                  <c:v>0.135</c:v>
                </c:pt>
                <c:pt idx="1">
                  <c:v>-0.09</c:v>
                </c:pt>
                <c:pt idx="2">
                  <c:v>-0.102</c:v>
                </c:pt>
                <c:pt idx="3">
                  <c:v>-0.106</c:v>
                </c:pt>
                <c:pt idx="4">
                  <c:v>-0.09</c:v>
                </c:pt>
                <c:pt idx="5">
                  <c:v>-0.17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963283231"/>
        <c:axId val="1963291391"/>
      </c:lineChart>
      <c:catAx>
        <c:axId val="1963283231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91391"/>
        <c:crosses val="autoZero"/>
        <c:auto val="1"/>
        <c:lblAlgn val="ctr"/>
        <c:lblOffset val="100"/>
        <c:noMultiLvlLbl val="0"/>
      </c:catAx>
      <c:valAx>
        <c:axId val="1963291391"/>
        <c:scaling>
          <c:orientation val="minMax"/>
        </c:scaling>
        <c:delete val="1"/>
        <c:axPos val="l"/>
        <c:numFmt formatCode="0%" sourceLinked="0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832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afb31bd0-0ae7-461b-9b8e-559ce87d4a1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000"/>
              <a:t>经营活动净现金流</a:t>
            </a:r>
            <a:r>
              <a:rPr lang="en-US" altLang="zh-CN" sz="1000"/>
              <a:t>/</a:t>
            </a:r>
            <a:r>
              <a:rPr lang="zh-CN" altLang="en-US" sz="1000"/>
              <a:t>营业收入</a:t>
            </a:r>
            <a:endParaRPr lang="zh-CN" altLang="en-US" sz="1000"/>
          </a:p>
        </c:rich>
      </c:tx>
      <c:layout>
        <c:manualLayout>
          <c:xMode val="edge"/>
          <c:yMode val="edge"/>
          <c:x val="0.169056685078544"/>
          <c:y val="0.0318601664153683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"/>
          <c:y val="0.168997598704417"/>
          <c:w val="0.97508149182965"/>
          <c:h val="0.708718936728654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2023</c:v>
                </c:pt>
              </c:strCache>
            </c:strRef>
          </c:tx>
          <c:spPr>
            <a:ln w="28575" cap="rnd">
              <a:solidFill>
                <a:schemeClr val="bg1">
                  <a:lumMod val="85000"/>
                </a:schemeClr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Sheet1!$A$2:$A$7</c:f>
              <c:strCache>
                <c:ptCount val="6"/>
                <c:pt idx="0">
                  <c:v>AT&amp;T</c:v>
                </c:pt>
                <c:pt idx="1">
                  <c:v>Verizon</c:v>
                </c:pt>
                <c:pt idx="2">
                  <c:v>T-mobile</c:v>
                </c:pt>
                <c:pt idx="3">
                  <c:v>中国电信</c:v>
                </c:pt>
                <c:pt idx="4">
                  <c:v>中国移动</c:v>
                </c:pt>
                <c:pt idx="5">
                  <c:v>中国联通</c:v>
                </c:pt>
              </c:strCache>
            </c:strRef>
          </c:cat>
          <c:val>
            <c:numRef>
              <c:f>Sheet1!$B$2:$B$7</c:f>
              <c:numCache>
                <c:formatCode>0.0%</c:formatCode>
                <c:ptCount val="6"/>
                <c:pt idx="0">
                  <c:v>0.313</c:v>
                </c:pt>
                <c:pt idx="1">
                  <c:v>0.28</c:v>
                </c:pt>
                <c:pt idx="2">
                  <c:v>0.236</c:v>
                </c:pt>
                <c:pt idx="3">
                  <c:v>0.273</c:v>
                </c:pt>
                <c:pt idx="4">
                  <c:v>0.301</c:v>
                </c:pt>
                <c:pt idx="5">
                  <c:v>0.28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2024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AT&amp;T</c:v>
                </c:pt>
                <c:pt idx="1">
                  <c:v>Verizon</c:v>
                </c:pt>
                <c:pt idx="2">
                  <c:v>T-mobile</c:v>
                </c:pt>
                <c:pt idx="3">
                  <c:v>中国电信</c:v>
                </c:pt>
                <c:pt idx="4">
                  <c:v>中国移动</c:v>
                </c:pt>
                <c:pt idx="5">
                  <c:v>中国联通</c:v>
                </c:pt>
              </c:strCache>
            </c:strRef>
          </c:cat>
          <c:val>
            <c:numRef>
              <c:f>Sheet1!$C$2:$C$7</c:f>
              <c:numCache>
                <c:formatCode>0.0%</c:formatCode>
                <c:ptCount val="6"/>
                <c:pt idx="0">
                  <c:v>0.317</c:v>
                </c:pt>
                <c:pt idx="1">
                  <c:v>0.274</c:v>
                </c:pt>
                <c:pt idx="2">
                  <c:v>0.274</c:v>
                </c:pt>
                <c:pt idx="3">
                  <c:v>0.277</c:v>
                </c:pt>
                <c:pt idx="4">
                  <c:v>0.303</c:v>
                </c:pt>
                <c:pt idx="5">
                  <c:v>0.234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963283231"/>
        <c:axId val="1963291391"/>
      </c:lineChart>
      <c:catAx>
        <c:axId val="1963283231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91391"/>
        <c:crosses val="autoZero"/>
        <c:auto val="1"/>
        <c:lblAlgn val="ctr"/>
        <c:lblOffset val="100"/>
        <c:noMultiLvlLbl val="0"/>
      </c:catAx>
      <c:valAx>
        <c:axId val="1963291391"/>
        <c:scaling>
          <c:orientation val="minMax"/>
        </c:scaling>
        <c:delete val="1"/>
        <c:axPos val="l"/>
        <c:numFmt formatCode="0%" sourceLinked="0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9632832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22587064676617"/>
          <c:y val="0.726906237784107"/>
          <c:w val="0.442587064676617"/>
          <c:h val="0.13164795889875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c85896dd-58e9-4ebe-baaf-e94b7a352d5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3570</Words>
  <Characters>4156</Characters>
  <Lines>30</Lines>
  <Paragraphs>8</Paragraphs>
  <TotalTime>2071</TotalTime>
  <ScaleCrop>false</ScaleCrop>
  <LinksUpToDate>false</LinksUpToDate>
  <CharactersWithSpaces>4180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2025-03-27T03:49:00Z</dcterms:created>
  <dc:creator>baolin ai</dc:creator>
  <cp:lastModifiedBy>Administrator</cp:lastModifiedBy>
  <dcterms:modified xsi:type="dcterms:W3CDTF">2025-04-01T01:53:00Z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eyJoZGlkIjoiZmQ2ZTI3M2U5ZjczNWQ3MGMyYmI0YTRhNTNjMDI5MWUiLCJ1c2VySWQiOiI1MzE5MjcxNjAifQ==</vt:lpwstr>
  </property>
  <property fmtid="{D5CDD505-2E9C-101B-9397-08002B2CF9AE}" pid="3" name="KSOProductBuildVer">
    <vt:lpwstr>2052-12.1.0.20305</vt:lpwstr>
  </property>
  <property fmtid="{D5CDD505-2E9C-101B-9397-08002B2CF9AE}" pid="4" name="ICV">
    <vt:lpwstr>D84D025EE758464B97ED71F31CAC5211_13</vt:lpwstr>
  </property>
</Properties>
</file>