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FF68F8">
      <w:pPr>
        <w:pStyle w:val="2"/>
        <w:bidi w:val="0"/>
        <w:jc w:val="center"/>
        <w:rPr>
          <w:sz w:val="36"/>
          <w:szCs w:val="36"/>
        </w:rPr>
      </w:pPr>
      <w:bookmarkStart w:id="0" w:name="_Toc23528"/>
      <w:bookmarkStart w:id="1" w:name="_Toc20515"/>
      <w:r>
        <w:rPr>
          <w:rFonts w:hint="eastAsia"/>
          <w:sz w:val="36"/>
          <w:szCs w:val="36"/>
        </w:rPr>
        <w:t>2024年全球AI投融资分析及2025趋势预判</w:t>
      </w:r>
      <w:bookmarkEnd w:id="0"/>
    </w:p>
    <w:p w14:paraId="1B248F86">
      <w:pPr>
        <w:autoSpaceDE w:val="0"/>
        <w:snapToGrid w:val="0"/>
        <w:spacing w:line="288" w:lineRule="auto"/>
        <w:ind w:firstLine="560" w:firstLineChars="200"/>
        <w:rPr>
          <w:rFonts w:ascii="Times New Roman" w:hAnsi="Times New Roman"/>
          <w:sz w:val="28"/>
          <w:szCs w:val="28"/>
        </w:rPr>
      </w:pPr>
      <w:r>
        <w:rPr>
          <w:rFonts w:hint="eastAsia" w:ascii="Times New Roman" w:hAnsi="Times New Roman"/>
          <w:sz w:val="28"/>
          <w:szCs w:val="28"/>
        </w:rPr>
        <w:t>2024年，全球人工智能产业在技术突破与资本浪潮的共振中迎来爆发式增长，以AIGC为核心的创新生态重构了科技竞争格局。2025年1月，DeepSeek发布的推理模型R1在全球火爆出圈，引发了新一轮的AI投资热潮，标志新兴力量打破技术垄断。本报告通过回顾2024年全球AI投融资情况，解构中美在AIGC、技术层、基础层和应用层的差异化发展路径，揭示数字经济时代全球科技竞争力的重构逻辑，为把握未来AI产业发展趋势提供战略性洞见。</w:t>
      </w:r>
    </w:p>
    <w:p w14:paraId="69646250">
      <w:pPr>
        <w:pStyle w:val="3"/>
        <w:keepNext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288" w:lineRule="auto"/>
        <w:textAlignment w:val="auto"/>
        <w:outlineLvl w:val="1"/>
        <w:rPr>
          <w:rFonts w:hint="eastAsia" w:ascii="Times New Roman" w:hAnsi="Times New Roman" w:cs="Times New Roman"/>
          <w:sz w:val="28"/>
          <w:szCs w:val="28"/>
        </w:rPr>
      </w:pPr>
      <w:bookmarkStart w:id="2" w:name="_Toc4478"/>
      <w:r>
        <w:rPr>
          <w:rFonts w:hint="eastAsia" w:ascii="Times New Roman" w:hAnsi="Times New Roman" w:cs="Times New Roman"/>
          <w:sz w:val="28"/>
          <w:szCs w:val="28"/>
        </w:rPr>
        <w:t>总体分析</w:t>
      </w:r>
      <w:bookmarkEnd w:id="2"/>
    </w:p>
    <w:p w14:paraId="4A9A0660">
      <w:pPr>
        <w:pStyle w:val="4"/>
        <w:keepNext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before="0" w:after="0" w:line="288" w:lineRule="auto"/>
        <w:textAlignment w:val="auto"/>
        <w:outlineLvl w:val="2"/>
        <w:rPr>
          <w:rFonts w:ascii="Calibri" w:hAnsi="Calibri" w:eastAsia="宋体" w:cs="Times New Roman"/>
          <w:sz w:val="28"/>
          <w:szCs w:val="24"/>
        </w:rPr>
      </w:pPr>
      <w:bookmarkStart w:id="3" w:name="_Toc29847"/>
      <w:r>
        <w:rPr>
          <w:rFonts w:hint="eastAsia" w:ascii="Calibri" w:hAnsi="Calibri" w:eastAsia="宋体" w:cs="Times New Roman"/>
          <w:sz w:val="28"/>
          <w:szCs w:val="24"/>
        </w:rPr>
        <w:t>1</w:t>
      </w:r>
      <w:r>
        <w:rPr>
          <w:rFonts w:ascii="Calibri" w:hAnsi="Calibri" w:eastAsia="宋体" w:cs="Times New Roman"/>
          <w:sz w:val="28"/>
          <w:szCs w:val="24"/>
        </w:rPr>
        <w:t>.1</w:t>
      </w:r>
      <w:r>
        <w:rPr>
          <w:rFonts w:hint="eastAsia" w:ascii="Calibri" w:hAnsi="Calibri" w:eastAsia="宋体" w:cs="Times New Roman"/>
          <w:sz w:val="28"/>
          <w:szCs w:val="24"/>
        </w:rPr>
        <w:t>全球视图：AI融资规模创新高，四季度增势迅猛，十亿级事件是份额关键</w:t>
      </w:r>
      <w:bookmarkEnd w:id="3"/>
    </w:p>
    <w:p w14:paraId="07A3F230">
      <w:pPr>
        <w:autoSpaceDE w:val="0"/>
        <w:snapToGrid w:val="0"/>
        <w:spacing w:line="288" w:lineRule="auto"/>
        <w:ind w:firstLine="562" w:firstLineChars="200"/>
        <w:rPr>
          <w:sz w:val="28"/>
          <w:szCs w:val="28"/>
        </w:rPr>
      </w:pPr>
      <w:r>
        <w:rPr>
          <w:rFonts w:hint="eastAsia"/>
          <w:b/>
          <w:sz w:val="28"/>
          <w:szCs w:val="28"/>
        </w:rPr>
        <w:t>从总量看，融资规模创历史新高，月度波动显著</w:t>
      </w:r>
      <w:r>
        <w:rPr>
          <w:rFonts w:hint="eastAsia"/>
          <w:sz w:val="28"/>
          <w:szCs w:val="28"/>
        </w:rPr>
        <w:t>。</w:t>
      </w:r>
      <w:r>
        <w:rPr>
          <w:sz w:val="28"/>
          <w:szCs w:val="28"/>
        </w:rPr>
        <w:t>2024年</w:t>
      </w:r>
      <w:r>
        <w:rPr>
          <w:rFonts w:hint="eastAsia"/>
          <w:sz w:val="28"/>
          <w:szCs w:val="28"/>
        </w:rPr>
        <w:t>全球AI领域融资总额达5995.2</w:t>
      </w:r>
      <w:r>
        <w:rPr>
          <w:sz w:val="28"/>
          <w:szCs w:val="28"/>
        </w:rPr>
        <w:t>亿元</w:t>
      </w:r>
      <w:r>
        <w:rPr>
          <w:rStyle w:val="24"/>
          <w:sz w:val="28"/>
          <w:szCs w:val="28"/>
        </w:rPr>
        <w:footnoteReference w:id="0"/>
      </w:r>
      <w:r>
        <w:rPr>
          <w:sz w:val="28"/>
          <w:szCs w:val="28"/>
        </w:rPr>
        <w:t>，较2023年增长</w:t>
      </w:r>
      <w:r>
        <w:rPr>
          <w:rFonts w:hint="eastAsia"/>
          <w:sz w:val="28"/>
          <w:szCs w:val="28"/>
        </w:rPr>
        <w:t>超3000</w:t>
      </w:r>
      <w:r>
        <w:rPr>
          <w:sz w:val="28"/>
          <w:szCs w:val="28"/>
        </w:rPr>
        <w:t>亿</w:t>
      </w:r>
      <w:r>
        <w:rPr>
          <w:rFonts w:hint="eastAsia"/>
          <w:sz w:val="28"/>
          <w:szCs w:val="28"/>
        </w:rPr>
        <w:t>元，实现翻倍式增长。月度分布呈现“双峰结构”，5月单月爆发及第四季度集中放量。主要受CoreWeave、OpenAI、xAI等头部企业超大额规模融资事件影响。</w:t>
      </w:r>
    </w:p>
    <w:p w14:paraId="7D2D9563">
      <w:pPr>
        <w:autoSpaceDE w:val="0"/>
        <w:snapToGrid w:val="0"/>
        <w:spacing w:line="288" w:lineRule="auto"/>
        <w:ind w:firstLine="562" w:firstLineChars="200"/>
        <w:rPr>
          <w:sz w:val="28"/>
          <w:szCs w:val="36"/>
        </w:rPr>
      </w:pPr>
      <w:r>
        <w:rPr>
          <w:rFonts w:hint="eastAsia"/>
          <w:b/>
          <w:sz w:val="28"/>
          <w:szCs w:val="36"/>
        </w:rPr>
        <w:t>从增速看，全年融资增速呈现“前低后高”格局。</w:t>
      </w:r>
      <w:r>
        <w:rPr>
          <w:sz w:val="28"/>
          <w:szCs w:val="36"/>
        </w:rPr>
        <w:t>2024年</w:t>
      </w:r>
      <w:r>
        <w:rPr>
          <w:rFonts w:hint="eastAsia"/>
          <w:sz w:val="28"/>
          <w:szCs w:val="36"/>
        </w:rPr>
        <w:t>1-12月AI领域融资规模</w:t>
      </w:r>
      <w:r>
        <w:rPr>
          <w:sz w:val="28"/>
          <w:szCs w:val="36"/>
        </w:rPr>
        <w:t>同比增长1</w:t>
      </w:r>
      <w:r>
        <w:rPr>
          <w:rFonts w:hint="eastAsia"/>
          <w:sz w:val="28"/>
          <w:szCs w:val="36"/>
        </w:rPr>
        <w:t>13</w:t>
      </w:r>
      <w:r>
        <w:rPr>
          <w:sz w:val="28"/>
          <w:szCs w:val="36"/>
        </w:rPr>
        <w:t>%</w:t>
      </w:r>
      <w:r>
        <w:rPr>
          <w:rFonts w:hint="eastAsia"/>
          <w:sz w:val="28"/>
          <w:szCs w:val="36"/>
        </w:rPr>
        <w:t>，而前4个月融资同比下滑23%，主要受宏观经济环境制约（美联储加息周期延续）与资本蓄力待发（主权基金与产业资本AI预算集中在下半年</w:t>
      </w:r>
      <w:r>
        <w:rPr>
          <w:rStyle w:val="24"/>
          <w:rFonts w:hint="eastAsia"/>
          <w:sz w:val="28"/>
          <w:szCs w:val="36"/>
        </w:rPr>
        <w:footnoteReference w:id="1"/>
      </w:r>
      <w:r>
        <w:rPr>
          <w:rFonts w:hint="eastAsia"/>
          <w:sz w:val="28"/>
          <w:szCs w:val="36"/>
        </w:rPr>
        <w:t>）影响。</w:t>
      </w:r>
    </w:p>
    <w:p w14:paraId="11723079">
      <w:pPr>
        <w:autoSpaceDE w:val="0"/>
        <w:snapToGrid w:val="0"/>
        <w:spacing w:line="288" w:lineRule="auto"/>
        <w:ind w:firstLine="420" w:firstLineChars="200"/>
        <w:rPr>
          <w:sz w:val="28"/>
          <w:szCs w:val="36"/>
        </w:rPr>
      </w:pPr>
      <w:r>
        <w:drawing>
          <wp:inline distT="0" distB="0" distL="114300" distR="114300">
            <wp:extent cx="4834890" cy="2754630"/>
            <wp:effectExtent l="0" t="0" r="3810" b="3810"/>
            <wp:docPr id="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489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60EE9">
      <w:pPr>
        <w:autoSpaceDE w:val="0"/>
        <w:snapToGrid w:val="0"/>
        <w:spacing w:line="288" w:lineRule="auto"/>
        <w:jc w:val="center"/>
        <w:rPr>
          <w:rFonts w:ascii="Times New Roman" w:hAnsi="Times New Roman"/>
          <w:bCs/>
          <w:sz w:val="28"/>
          <w:szCs w:val="28"/>
        </w:rPr>
      </w:pPr>
      <w:r>
        <w:rPr>
          <w:rFonts w:hint="eastAsia" w:ascii="Times New Roman" w:hAnsi="Times New Roman"/>
          <w:bCs/>
          <w:sz w:val="28"/>
          <w:szCs w:val="28"/>
        </w:rPr>
        <w:t>图</w:t>
      </w:r>
      <w:r>
        <w:rPr>
          <w:rFonts w:ascii="Times New Roman" w:hAnsi="Times New Roman"/>
          <w:bCs/>
          <w:sz w:val="28"/>
          <w:szCs w:val="28"/>
        </w:rPr>
        <w:t>2</w:t>
      </w:r>
      <w:r>
        <w:rPr>
          <w:rFonts w:hint="eastAsia" w:ascii="Times New Roman" w:hAnsi="Times New Roman"/>
          <w:bCs/>
          <w:sz w:val="28"/>
          <w:szCs w:val="28"/>
        </w:rPr>
        <w:t xml:space="preserve"> 2024年全球AI领域融资金额及增长情况</w:t>
      </w:r>
    </w:p>
    <w:p w14:paraId="053572C4">
      <w:pPr>
        <w:autoSpaceDE w:val="0"/>
        <w:snapToGrid w:val="0"/>
        <w:spacing w:line="288" w:lineRule="auto"/>
        <w:ind w:firstLine="562" w:firstLineChars="200"/>
        <w:rPr>
          <w:bCs/>
          <w:sz w:val="28"/>
          <w:szCs w:val="36"/>
        </w:rPr>
      </w:pPr>
      <w:r>
        <w:rPr>
          <w:rFonts w:hint="eastAsia"/>
          <w:b/>
          <w:sz w:val="28"/>
          <w:szCs w:val="36"/>
        </w:rPr>
        <w:t>从份额看，融资事件头部效应持续加剧。</w:t>
      </w:r>
      <w:r>
        <w:rPr>
          <w:rFonts w:hint="eastAsia"/>
          <w:bCs/>
          <w:sz w:val="28"/>
          <w:szCs w:val="36"/>
        </w:rPr>
        <w:t>2024年AI领域融资中十亿级融资事件数量占比8%，但金额占比81%，平均单笔融资额75.5亿元（2023年为53.6亿元）。Top10融资事件占总额50%，其中OpenAI/xAI/Anthropic三家头部企业占比69%。头部企业通过算力/数据垄断（如Copilot、Gemini垄断用户交互数据）与生态绑定（OpenAI通过Azure独占协议锁定50%云算力）构建护城河，而主权基金与产业资本的避险逻辑</w:t>
      </w:r>
      <w:r>
        <w:rPr>
          <w:rStyle w:val="24"/>
          <w:rFonts w:hint="eastAsia"/>
          <w:bCs/>
          <w:sz w:val="28"/>
          <w:szCs w:val="36"/>
        </w:rPr>
        <w:footnoteReference w:id="2"/>
      </w:r>
      <w:r>
        <w:rPr>
          <w:rFonts w:hint="eastAsia"/>
          <w:bCs/>
          <w:sz w:val="28"/>
          <w:szCs w:val="36"/>
        </w:rPr>
        <w:t>进一步固化“强者愈强”格局。</w:t>
      </w:r>
    </w:p>
    <w:p w14:paraId="4CF7A99B">
      <w:pPr>
        <w:autoSpaceDE w:val="0"/>
        <w:snapToGrid w:val="0"/>
        <w:spacing w:line="288" w:lineRule="auto"/>
        <w:ind w:firstLine="420" w:firstLineChars="200"/>
        <w:rPr>
          <w:bCs/>
          <w:sz w:val="28"/>
          <w:szCs w:val="36"/>
        </w:rPr>
      </w:pPr>
      <w:r>
        <w:drawing>
          <wp:inline distT="0" distB="0" distL="114300" distR="114300">
            <wp:extent cx="4668520" cy="2660015"/>
            <wp:effectExtent l="0" t="0" r="2540" b="6985"/>
            <wp:docPr id="1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68520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2F87CB">
      <w:pPr>
        <w:autoSpaceDE w:val="0"/>
        <w:snapToGrid w:val="0"/>
        <w:spacing w:line="288" w:lineRule="auto"/>
        <w:ind w:firstLine="560" w:firstLineChars="200"/>
        <w:jc w:val="center"/>
        <w:rPr>
          <w:bCs/>
          <w:sz w:val="28"/>
          <w:szCs w:val="36"/>
        </w:rPr>
      </w:pPr>
      <w:r>
        <w:rPr>
          <w:rFonts w:hint="eastAsia"/>
          <w:sz w:val="28"/>
          <w:szCs w:val="36"/>
        </w:rPr>
        <w:t>图</w:t>
      </w:r>
      <w:r>
        <w:rPr>
          <w:sz w:val="28"/>
          <w:szCs w:val="36"/>
        </w:rPr>
        <w:t>3</w:t>
      </w:r>
      <w:r>
        <w:rPr>
          <w:rFonts w:hint="eastAsia"/>
          <w:sz w:val="28"/>
          <w:szCs w:val="36"/>
        </w:rPr>
        <w:t xml:space="preserve"> 2024年全球AI领域融资事件数量与金额的关系</w:t>
      </w:r>
    </w:p>
    <w:p w14:paraId="7B2AEA4A">
      <w:pPr>
        <w:autoSpaceDE w:val="0"/>
        <w:snapToGrid w:val="0"/>
        <w:spacing w:line="288" w:lineRule="auto"/>
        <w:ind w:firstLine="562" w:firstLineChars="200"/>
        <w:rPr>
          <w:bCs/>
          <w:sz w:val="28"/>
          <w:szCs w:val="36"/>
        </w:rPr>
      </w:pPr>
      <w:r>
        <w:rPr>
          <w:rFonts w:hint="eastAsia"/>
          <w:b/>
          <w:sz w:val="28"/>
          <w:szCs w:val="36"/>
        </w:rPr>
        <w:t>从融资轮次看，融资阶段数量呈金字塔型结构。</w:t>
      </w:r>
      <w:r>
        <w:rPr>
          <w:rFonts w:hint="eastAsia"/>
          <w:bCs/>
          <w:sz w:val="28"/>
          <w:szCs w:val="36"/>
        </w:rPr>
        <w:t>2024年早期融资（天使轮到A轮）事件数量占比63%，比2023年上升了5pp，早期融资活跃度显著提升。本质</w:t>
      </w:r>
      <w:r>
        <w:rPr>
          <w:rFonts w:hint="eastAsia"/>
          <w:bCs/>
          <w:sz w:val="28"/>
          <w:szCs w:val="36"/>
          <w:lang w:val="en-US" w:eastAsia="zh-CN"/>
        </w:rPr>
        <w:t>是</w:t>
      </w:r>
      <w:r>
        <w:rPr>
          <w:rFonts w:hint="eastAsia"/>
          <w:bCs/>
          <w:sz w:val="28"/>
          <w:szCs w:val="36"/>
        </w:rPr>
        <w:t>资本规避中后期高估值泡沫、主权基金长线布局</w:t>
      </w:r>
      <w:r>
        <w:rPr>
          <w:rStyle w:val="24"/>
          <w:rFonts w:hint="eastAsia"/>
          <w:bCs/>
          <w:sz w:val="28"/>
          <w:szCs w:val="36"/>
        </w:rPr>
        <w:footnoteReference w:id="3"/>
      </w:r>
      <w:r>
        <w:rPr>
          <w:rFonts w:hint="eastAsia"/>
          <w:bCs/>
          <w:sz w:val="28"/>
          <w:szCs w:val="36"/>
        </w:rPr>
        <w:t>等影响。战略投资“量价齐跌”，融资事件数量占比下降6pp，金额占比下降18pp。主要因巨头转向自研，如微软/谷歌等将AI投资70%转向自有实验室（Microsoft Research、Google Brain），外部并购额大幅下滑。</w:t>
      </w:r>
    </w:p>
    <w:p w14:paraId="65485C55">
      <w:pPr>
        <w:autoSpaceDE w:val="0"/>
        <w:snapToGrid w:val="0"/>
        <w:spacing w:line="288" w:lineRule="auto"/>
        <w:ind w:firstLine="420" w:firstLineChars="200"/>
        <w:jc w:val="center"/>
        <w:rPr>
          <w:sz w:val="28"/>
          <w:szCs w:val="36"/>
        </w:rPr>
      </w:pPr>
      <w:r>
        <w:drawing>
          <wp:inline distT="0" distB="0" distL="114300" distR="114300">
            <wp:extent cx="4834890" cy="2754630"/>
            <wp:effectExtent l="0" t="0" r="3810" b="3810"/>
            <wp:docPr id="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34890" cy="2754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28"/>
          <w:szCs w:val="36"/>
        </w:rPr>
        <w:t>图</w:t>
      </w:r>
      <w:r>
        <w:rPr>
          <w:sz w:val="28"/>
          <w:szCs w:val="36"/>
        </w:rPr>
        <w:t>4</w:t>
      </w:r>
      <w:r>
        <w:rPr>
          <w:rFonts w:hint="eastAsia"/>
          <w:sz w:val="28"/>
          <w:szCs w:val="36"/>
        </w:rPr>
        <w:t xml:space="preserve"> 2023 -2024年全球AI领域各融资阶段</w:t>
      </w:r>
      <w:r>
        <w:rPr>
          <w:rStyle w:val="24"/>
          <w:rFonts w:hint="eastAsia"/>
          <w:bCs/>
          <w:sz w:val="28"/>
          <w:szCs w:val="36"/>
        </w:rPr>
        <w:footnoteReference w:id="4"/>
      </w:r>
      <w:r>
        <w:rPr>
          <w:rFonts w:hint="eastAsia"/>
          <w:sz w:val="28"/>
          <w:szCs w:val="36"/>
        </w:rPr>
        <w:t>融资事件数量占比</w:t>
      </w:r>
    </w:p>
    <w:p w14:paraId="562EDDBB">
      <w:pPr>
        <w:pStyle w:val="4"/>
        <w:keepNext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before="0" w:after="0" w:line="288" w:lineRule="auto"/>
        <w:textAlignment w:val="auto"/>
        <w:outlineLvl w:val="2"/>
        <w:rPr>
          <w:rFonts w:hint="eastAsia" w:ascii="Calibri" w:hAnsi="Calibri" w:eastAsia="宋体" w:cs="Times New Roman"/>
          <w:sz w:val="28"/>
          <w:szCs w:val="24"/>
          <w:lang w:val="en-US" w:eastAsia="zh-CN"/>
        </w:rPr>
      </w:pPr>
      <w:bookmarkStart w:id="4" w:name="_Toc813"/>
      <w:r>
        <w:rPr>
          <w:rFonts w:hint="eastAsia" w:ascii="Calibri" w:hAnsi="Calibri" w:eastAsia="宋体" w:cs="Times New Roman"/>
          <w:sz w:val="28"/>
          <w:szCs w:val="24"/>
          <w:lang w:val="en-US" w:eastAsia="zh-CN"/>
        </w:rPr>
        <w:t>1.2 中美博弈：中美AI融资份额差距加大，独角兽培育断层延续</w:t>
      </w:r>
      <w:bookmarkEnd w:id="4"/>
    </w:p>
    <w:p w14:paraId="5CF6BC89">
      <w:pPr>
        <w:autoSpaceDE w:val="0"/>
        <w:snapToGrid w:val="0"/>
        <w:spacing w:line="288" w:lineRule="auto"/>
        <w:ind w:firstLine="562" w:firstLineChars="200"/>
        <w:rPr>
          <w:sz w:val="28"/>
          <w:szCs w:val="36"/>
        </w:rPr>
      </w:pPr>
      <w:r>
        <w:rPr>
          <w:rFonts w:hint="eastAsia"/>
          <w:b/>
          <w:bCs/>
          <w:sz w:val="28"/>
          <w:szCs w:val="36"/>
        </w:rPr>
        <w:t>在投融资方面，中美保持双寡头格局，但分化态势加速演进。</w:t>
      </w:r>
      <w:r>
        <w:rPr>
          <w:rFonts w:hint="eastAsia"/>
          <w:sz w:val="28"/>
          <w:szCs w:val="36"/>
        </w:rPr>
        <w:t>2024年美国AI领域融资份额78%（中国14%），份额差从2023年的2.5倍扩大至5.7倍，可能源于硅谷风险资本投资活跃，如YC S24期AI项目占比达到创纪录的74%，a16z AI领域投资份额由2023年18%跃升至57%。两国在融资结构上呈现出显著差异：中国以事件数占优形成融资矩阵，单笔均值1.2亿元（美国15.5亿元）；美国则通过资本集约化运作，以更少事件聚集巨大融资额。反映了中国依托应用场景驱动的生态化布局，美国则聚焦底层技术突破的资本重仓策略。</w:t>
      </w:r>
      <w:r>
        <w:drawing>
          <wp:inline distT="0" distB="0" distL="114300" distR="114300">
            <wp:extent cx="4819650" cy="2747010"/>
            <wp:effectExtent l="0" t="0" r="3810" b="381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19650" cy="2747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081C39">
      <w:pPr>
        <w:autoSpaceDE w:val="0"/>
        <w:snapToGrid w:val="0"/>
        <w:spacing w:line="288" w:lineRule="auto"/>
        <w:ind w:firstLine="560" w:firstLineChars="200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图</w:t>
      </w:r>
      <w:r>
        <w:rPr>
          <w:sz w:val="28"/>
          <w:szCs w:val="28"/>
        </w:rPr>
        <w:t>5</w:t>
      </w:r>
      <w:r>
        <w:rPr>
          <w:rFonts w:hint="eastAsia"/>
          <w:sz w:val="28"/>
          <w:szCs w:val="28"/>
        </w:rPr>
        <w:t xml:space="preserve"> 2024年全球各国AI企业融资规模占比</w:t>
      </w:r>
    </w:p>
    <w:p w14:paraId="589460EB">
      <w:pPr>
        <w:autoSpaceDE w:val="0"/>
        <w:snapToGrid w:val="0"/>
        <w:spacing w:line="288" w:lineRule="auto"/>
        <w:ind w:firstLine="420"/>
        <w:rPr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在独角兽培育方面，延续“美国主导、中国承压”的格局。</w:t>
      </w:r>
      <w:r>
        <w:rPr>
          <w:rFonts w:hint="eastAsia"/>
          <w:sz w:val="28"/>
          <w:szCs w:val="28"/>
        </w:rPr>
        <w:t>2024年全球新晋108家独角兽中，AI领域33家(占比30.6%)。美国以新晋25家绝对领先，中国仅新晋3家</w:t>
      </w:r>
      <w:r>
        <w:rPr>
          <w:rStyle w:val="24"/>
          <w:rFonts w:hint="eastAsia"/>
          <w:sz w:val="28"/>
          <w:szCs w:val="28"/>
        </w:rPr>
        <w:footnoteReference w:id="5"/>
      </w:r>
      <w:r>
        <w:rPr>
          <w:rFonts w:hint="eastAsia"/>
          <w:sz w:val="28"/>
          <w:szCs w:val="28"/>
        </w:rPr>
        <w:t>。存量独角兽市场呈现极致二八效应：2024年以来，</w:t>
      </w:r>
      <w:r>
        <w:rPr>
          <w:rFonts w:hint="eastAsia"/>
          <w:bCs/>
          <w:sz w:val="28"/>
          <w:szCs w:val="28"/>
        </w:rPr>
        <w:t>全球500强AI独角兽融资1837亿元（占AI融资总额25%），美国企业占据86%的份额，中国仅占比8%。从增量到存量的全面落差，映射两国在硬科技赛道的资本配置逻辑： 美国通过“原始创新+垄断投资”锁定技术代差，中国则面临应用层创新的估值天花板与底层技术的资本荒双重挑战。</w:t>
      </w:r>
    </w:p>
    <w:p w14:paraId="307CD8CF">
      <w:pPr>
        <w:pStyle w:val="3"/>
        <w:keepNext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288" w:lineRule="auto"/>
        <w:textAlignment w:val="auto"/>
        <w:outlineLvl w:val="1"/>
        <w:rPr>
          <w:rFonts w:hint="eastAsia" w:ascii="Times New Roman" w:hAnsi="Times New Roman" w:cs="Times New Roman"/>
          <w:sz w:val="28"/>
          <w:szCs w:val="28"/>
        </w:rPr>
      </w:pPr>
      <w:bookmarkStart w:id="5" w:name="_Toc9591"/>
      <w:r>
        <w:rPr>
          <w:rFonts w:hint="eastAsia" w:ascii="Times New Roman" w:hAnsi="Times New Roman" w:cs="Times New Roman"/>
          <w:sz w:val="28"/>
          <w:szCs w:val="28"/>
        </w:rPr>
        <w:t>AI细分领域维度分析</w:t>
      </w:r>
      <w:bookmarkEnd w:id="5"/>
    </w:p>
    <w:p w14:paraId="02D4DAC5">
      <w:pPr>
        <w:pStyle w:val="4"/>
        <w:keepNext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before="0" w:after="0" w:line="288" w:lineRule="auto"/>
        <w:textAlignment w:val="auto"/>
        <w:outlineLvl w:val="2"/>
        <w:rPr>
          <w:rFonts w:hint="eastAsia" w:ascii="Calibri" w:hAnsi="Calibri" w:eastAsia="宋体" w:cs="Times New Roman"/>
          <w:sz w:val="28"/>
          <w:szCs w:val="24"/>
        </w:rPr>
      </w:pPr>
      <w:bookmarkStart w:id="6" w:name="_Toc13160"/>
      <w:r>
        <w:rPr>
          <w:rFonts w:hint="eastAsia" w:ascii="Calibri" w:hAnsi="Calibri" w:eastAsia="宋体" w:cs="Times New Roman"/>
          <w:sz w:val="28"/>
          <w:szCs w:val="24"/>
        </w:rPr>
        <w:t>2.1 AIGC：DeepSeek爆火出圈后，中美AIGC企业融资出现分化</w:t>
      </w:r>
      <w:bookmarkEnd w:id="6"/>
    </w:p>
    <w:p w14:paraId="2E3AD4E4">
      <w:pPr>
        <w:autoSpaceDE w:val="0"/>
        <w:snapToGrid w:val="0"/>
        <w:spacing w:line="288" w:lineRule="auto"/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2024年，AIGC领域融资金额在人工智能占比为56%，是人工智能领域最热门的方向</w:t>
      </w:r>
      <w:r>
        <w:rPr>
          <w:rFonts w:hint="eastAsia"/>
          <w:b/>
          <w:bCs/>
          <w:sz w:val="28"/>
          <w:szCs w:val="28"/>
        </w:rPr>
        <w:t>。</w:t>
      </w:r>
      <w:r>
        <w:rPr>
          <w:rFonts w:hint="eastAsia"/>
          <w:sz w:val="28"/>
          <w:szCs w:val="28"/>
        </w:rPr>
        <w:t>2025年初，</w:t>
      </w:r>
      <w:r>
        <w:rPr>
          <w:sz w:val="28"/>
          <w:szCs w:val="28"/>
        </w:rPr>
        <w:t>DeepSeek</w:t>
      </w:r>
      <w:r>
        <w:rPr>
          <w:rFonts w:hint="eastAsia"/>
          <w:sz w:val="28"/>
          <w:szCs w:val="28"/>
          <w:lang w:val="en-US" w:eastAsia="zh-CN"/>
        </w:rPr>
        <w:t>凭借技术突破迅速崛起并引发全球关注</w:t>
      </w:r>
      <w:r>
        <w:rPr>
          <w:rFonts w:hint="eastAsia" w:asciiTheme="majorEastAsia" w:hAnsiTheme="majorEastAsia" w:eastAsiaTheme="majorEastAsia" w:cstheme="majorEastAsia"/>
          <w:sz w:val="28"/>
          <w:szCs w:val="28"/>
        </w:rPr>
        <w:t>，</w:t>
      </w:r>
      <w:r>
        <w:rPr>
          <w:rFonts w:hint="eastAsia"/>
          <w:sz w:val="28"/>
          <w:szCs w:val="28"/>
        </w:rPr>
        <w:t>美国AIGC企业融资热度不减反增，融资金额占比提升至61%。如1月谷歌向Anthropic追加20亿美元投资，并提供云服务等基础设施支持，深化技术合作、加速场景落地。对比来说，中国AIGC企业融资金额占比却有所下滑，降至32%，AI行业的重心正从“造大模型”转向“用好模型”，李开复认为投资人几乎不再下注更多、更贵的底层模型公司，更愿意投资AI应用、消费者应用、AI基础设施类型的创新企业。国内AIGC赛道“六小虎+DeepSeek+大厂”格局定型，后续融资将更多依赖国有资本。如2025年3月以来智谱AI已接连获得杭州、珠海和成都三地国资的战略投资，可持续发挥其政企端优势，带动地方AI全产业链生态发展。</w:t>
      </w:r>
    </w:p>
    <w:p w14:paraId="2C52E261">
      <w:pPr>
        <w:pStyle w:val="4"/>
        <w:keepNext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before="0" w:after="0" w:line="288" w:lineRule="auto"/>
        <w:textAlignment w:val="auto"/>
        <w:outlineLvl w:val="2"/>
        <w:rPr>
          <w:rFonts w:hint="eastAsia" w:ascii="Calibri" w:hAnsi="Calibri" w:eastAsia="宋体" w:cs="Times New Roman"/>
          <w:sz w:val="28"/>
          <w:szCs w:val="24"/>
        </w:rPr>
      </w:pPr>
      <w:bookmarkStart w:id="7" w:name="_Toc20055"/>
      <w:r>
        <w:rPr>
          <w:rFonts w:hint="eastAsia" w:ascii="Calibri" w:hAnsi="Calibri" w:eastAsia="宋体" w:cs="Times New Roman"/>
          <w:sz w:val="28"/>
          <w:szCs w:val="24"/>
        </w:rPr>
        <w:t>2.2 AI技术层：国资合作入场，破解技术创新周期长融资难题</w:t>
      </w:r>
      <w:bookmarkEnd w:id="7"/>
    </w:p>
    <w:p w14:paraId="7E00CB70">
      <w:pPr>
        <w:autoSpaceDE w:val="0"/>
        <w:snapToGrid w:val="0"/>
        <w:spacing w:line="288" w:lineRule="auto"/>
        <w:ind w:firstLine="420"/>
        <w:rPr>
          <w:sz w:val="28"/>
          <w:szCs w:val="36"/>
        </w:rPr>
      </w:pPr>
      <w:r>
        <w:rPr>
          <w:rFonts w:hint="eastAsia"/>
          <w:sz w:val="28"/>
          <w:szCs w:val="36"/>
        </w:rPr>
        <w:t>AI技术层企业涉及计算机视觉、机器学习及深度学习等基础技术开发，具有长周期属性，相比应用层更难满足资本快速商业变现需求，全球AI技术层融资金额</w:t>
      </w:r>
      <w:r>
        <w:rPr>
          <w:rFonts w:hint="eastAsia"/>
          <w:sz w:val="28"/>
          <w:szCs w:val="28"/>
        </w:rPr>
        <w:t>在人工智能占比仅为</w:t>
      </w:r>
      <w:r>
        <w:rPr>
          <w:rFonts w:hint="eastAsia"/>
          <w:sz w:val="28"/>
          <w:szCs w:val="36"/>
        </w:rPr>
        <w:t>4.46%。</w:t>
      </w:r>
    </w:p>
    <w:p w14:paraId="6F2234FE">
      <w:pPr>
        <w:autoSpaceDE w:val="0"/>
        <w:snapToGrid w:val="0"/>
        <w:spacing w:line="288" w:lineRule="auto"/>
        <w:ind w:firstLine="420"/>
        <w:rPr>
          <w:sz w:val="28"/>
          <w:szCs w:val="36"/>
        </w:rPr>
      </w:pPr>
      <w:r>
        <w:rPr>
          <w:rFonts w:hint="eastAsia"/>
          <w:sz w:val="28"/>
          <w:szCs w:val="36"/>
        </w:rPr>
        <w:t>国资系基金作为耐心资本，风险承受能力更强，能适应高科技企业的成长周期，为其提供更多的资源和平台支持，有助于初创企业持续进行技术研发和市场拓展。2025年以来，北京、浙江、江苏、广东等地国资深度参与AI技术层投资，投资次数与2024年整年相当。国有资本更注重核心技术自主可控，以及AI技术赋能本地优势产业的协同带动作用。例如，厦门渊亭科技自研机器学习、知识图谱等领域的核心技术，专注认知决策智能赛道，深耕国防领域，已跻身国防智能民企第一梯队。2024年5月，公司获得融资4亿元，厦金创新、福建省电子信息、国家战新产业基金、重庆制造业转型升级基金等多家政府基金参投，本轮融资后公司外部股东中，国有基金占比超70%。</w:t>
      </w:r>
    </w:p>
    <w:p w14:paraId="4672FFEB">
      <w:pPr>
        <w:pStyle w:val="4"/>
        <w:keepNext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before="0" w:after="0" w:line="288" w:lineRule="auto"/>
        <w:textAlignment w:val="auto"/>
        <w:outlineLvl w:val="2"/>
        <w:rPr>
          <w:rFonts w:hint="eastAsia" w:ascii="Calibri" w:hAnsi="Calibri" w:eastAsia="宋体" w:cs="Times New Roman"/>
          <w:sz w:val="28"/>
          <w:szCs w:val="24"/>
        </w:rPr>
      </w:pPr>
      <w:bookmarkStart w:id="8" w:name="_Toc1457"/>
      <w:r>
        <w:rPr>
          <w:rFonts w:hint="eastAsia" w:ascii="Calibri" w:hAnsi="Calibri" w:eastAsia="宋体" w:cs="Times New Roman"/>
          <w:sz w:val="28"/>
          <w:szCs w:val="24"/>
        </w:rPr>
        <w:t>2.3 AI基础层：中国力图补足芯片短板，美国正加速构建算力城墙</w:t>
      </w:r>
      <w:bookmarkEnd w:id="8"/>
    </w:p>
    <w:p w14:paraId="3EF30E17">
      <w:pPr>
        <w:autoSpaceDE w:val="0"/>
        <w:snapToGrid w:val="0"/>
        <w:spacing w:line="288" w:lineRule="auto"/>
        <w:ind w:firstLine="420"/>
        <w:rPr>
          <w:sz w:val="28"/>
          <w:szCs w:val="36"/>
        </w:rPr>
      </w:pPr>
      <w:r>
        <w:rPr>
          <w:rFonts w:hint="eastAsia"/>
          <w:sz w:val="28"/>
          <w:szCs w:val="36"/>
        </w:rPr>
        <w:t>在</w:t>
      </w:r>
      <w:r>
        <w:rPr>
          <w:sz w:val="28"/>
          <w:szCs w:val="36"/>
        </w:rPr>
        <w:t>AI</w:t>
      </w:r>
      <w:r>
        <w:rPr>
          <w:rFonts w:hint="eastAsia"/>
          <w:sz w:val="28"/>
          <w:szCs w:val="36"/>
        </w:rPr>
        <w:t>基础层投资中，中国在忙于补足芯片短板。2024年以来，中国</w:t>
      </w:r>
      <w:r>
        <w:rPr>
          <w:sz w:val="28"/>
          <w:szCs w:val="36"/>
        </w:rPr>
        <w:t>AI</w:t>
      </w:r>
      <w:r>
        <w:rPr>
          <w:rFonts w:hint="eastAsia"/>
          <w:sz w:val="28"/>
          <w:szCs w:val="36"/>
        </w:rPr>
        <w:t>基础层投资事件中有近一半（44.6%）投向芯片研发企业，投资规模超过50亿人民币。这反映出在美国持续加紧芯片出口限制背景下，中国正力图通过加大投资力度，补上芯片短板。</w:t>
      </w:r>
    </w:p>
    <w:p w14:paraId="59AA4E15">
      <w:pPr>
        <w:widowControl/>
        <w:jc w:val="center"/>
      </w:pPr>
      <w:r>
        <w:drawing>
          <wp:inline distT="0" distB="0" distL="0" distR="0">
            <wp:extent cx="5274310" cy="2434590"/>
            <wp:effectExtent l="0" t="0" r="254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2EE4C">
      <w:pPr>
        <w:widowControl/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t>图6 2024年以来中美两国在</w:t>
      </w:r>
      <w:r>
        <w:rPr>
          <w:sz w:val="28"/>
          <w:szCs w:val="36"/>
        </w:rPr>
        <w:t>AI</w:t>
      </w:r>
      <w:r>
        <w:rPr>
          <w:rFonts w:hint="eastAsia"/>
          <w:sz w:val="28"/>
          <w:szCs w:val="36"/>
        </w:rPr>
        <w:t>基础层细分领域投资事件数</w:t>
      </w:r>
    </w:p>
    <w:p w14:paraId="41359497">
      <w:pPr>
        <w:autoSpaceDE w:val="0"/>
        <w:snapToGrid w:val="0"/>
        <w:spacing w:line="288" w:lineRule="auto"/>
        <w:ind w:firstLine="420"/>
        <w:rPr>
          <w:sz w:val="28"/>
          <w:szCs w:val="36"/>
        </w:rPr>
      </w:pPr>
      <w:r>
        <w:rPr>
          <w:rFonts w:hint="eastAsia"/>
          <w:sz w:val="28"/>
          <w:szCs w:val="36"/>
        </w:rPr>
        <w:t>从投资规模看，美国正加速构建算力城墙。中国在</w:t>
      </w:r>
      <w:r>
        <w:rPr>
          <w:sz w:val="28"/>
          <w:szCs w:val="36"/>
        </w:rPr>
        <w:t>AI</w:t>
      </w:r>
      <w:r>
        <w:rPr>
          <w:rFonts w:hint="eastAsia"/>
          <w:sz w:val="28"/>
          <w:szCs w:val="36"/>
        </w:rPr>
        <w:t>基础层的所有细分领域都落后于美国，尤其是在云计算及算力服务领域，美国投资力度远超中国，美国正加紧大力修筑算力城墙，以巩固人工智能竞争优势，如美国云基础设施供应商CoreWeave获得两次近百亿美元的大额投资。</w:t>
      </w:r>
    </w:p>
    <w:p w14:paraId="6A0D8241">
      <w:pPr>
        <w:widowControl/>
        <w:jc w:val="center"/>
        <w:rPr>
          <w:sz w:val="28"/>
          <w:szCs w:val="36"/>
        </w:rPr>
      </w:pPr>
      <w:r>
        <w:drawing>
          <wp:inline distT="0" distB="0" distL="0" distR="0">
            <wp:extent cx="5274310" cy="2543810"/>
            <wp:effectExtent l="0" t="0" r="2540" b="889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52A1E">
      <w:pPr>
        <w:widowControl/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t>图7 2024年以来中美两国在</w:t>
      </w:r>
      <w:r>
        <w:rPr>
          <w:sz w:val="28"/>
          <w:szCs w:val="36"/>
        </w:rPr>
        <w:t>AI</w:t>
      </w:r>
      <w:r>
        <w:rPr>
          <w:rFonts w:hint="eastAsia"/>
          <w:sz w:val="28"/>
          <w:szCs w:val="36"/>
        </w:rPr>
        <w:t>基础层各细分领域投资规模</w:t>
      </w:r>
    </w:p>
    <w:p w14:paraId="5D4A15BD">
      <w:pPr>
        <w:pStyle w:val="4"/>
        <w:keepNext/>
        <w:keepLines w:val="0"/>
        <w:pageBreakBefore w:val="0"/>
        <w:widowControl w:val="0"/>
        <w:kinsoku/>
        <w:wordWrap/>
        <w:overflowPunct/>
        <w:topLinePunct w:val="0"/>
        <w:autoSpaceDE w:val="0"/>
        <w:autoSpaceDN/>
        <w:bidi w:val="0"/>
        <w:adjustRightInd/>
        <w:snapToGrid w:val="0"/>
        <w:spacing w:before="0" w:after="0" w:line="288" w:lineRule="auto"/>
        <w:textAlignment w:val="auto"/>
        <w:outlineLvl w:val="2"/>
        <w:rPr>
          <w:rFonts w:hint="eastAsia" w:ascii="Calibri" w:hAnsi="Calibri" w:eastAsia="宋体" w:cs="Times New Roman"/>
          <w:sz w:val="28"/>
          <w:szCs w:val="24"/>
        </w:rPr>
      </w:pPr>
      <w:bookmarkStart w:id="9" w:name="_Toc989"/>
      <w:r>
        <w:rPr>
          <w:rFonts w:hint="eastAsia" w:ascii="Calibri" w:hAnsi="Calibri" w:eastAsia="宋体" w:cs="Times New Roman"/>
          <w:sz w:val="28"/>
          <w:szCs w:val="24"/>
        </w:rPr>
        <w:t>2.4 AI应用层：除自动驾驶和无人设备外，中国热衷医疗及机器人应用赛道，美国偏好安全服务和编程开发</w:t>
      </w:r>
      <w:bookmarkEnd w:id="9"/>
    </w:p>
    <w:p w14:paraId="607DC534">
      <w:pPr>
        <w:autoSpaceDE w:val="0"/>
        <w:snapToGrid w:val="0"/>
        <w:spacing w:line="288" w:lineRule="auto"/>
        <w:ind w:firstLine="420"/>
        <w:rPr>
          <w:sz w:val="28"/>
          <w:szCs w:val="36"/>
        </w:rPr>
      </w:pPr>
      <w:r>
        <w:rPr>
          <w:rFonts w:hint="eastAsia"/>
          <w:sz w:val="28"/>
          <w:szCs w:val="36"/>
        </w:rPr>
        <w:t>在</w:t>
      </w:r>
      <w:r>
        <w:rPr>
          <w:sz w:val="28"/>
          <w:szCs w:val="36"/>
        </w:rPr>
        <w:t>AI</w:t>
      </w:r>
      <w:r>
        <w:rPr>
          <w:rFonts w:hint="eastAsia"/>
          <w:sz w:val="28"/>
          <w:szCs w:val="36"/>
        </w:rPr>
        <w:t>应用领域，自动驾驶和无人设备获得中美两国共同青睐。美国在AI技术研发和创新方面的积累深厚，为自动驾驶和无人设备提供技术基础，如2024年10月</w:t>
      </w:r>
      <w:r>
        <w:rPr>
          <w:sz w:val="28"/>
          <w:szCs w:val="36"/>
        </w:rPr>
        <w:t>汽车自动驾驶技术研发商</w:t>
      </w:r>
      <w:r>
        <w:rPr>
          <w:rFonts w:hint="eastAsia"/>
          <w:sz w:val="28"/>
          <w:szCs w:val="36"/>
        </w:rPr>
        <w:t>Waymo公司获得了由其母公司Alphabet领投的一笔达56亿美元的融资。中国则在政策支持和市场需求的双轮驱动下，快速推进技术产业化应用，如2025年2月中国的新石器无人车公司获得10亿元投资。</w:t>
      </w:r>
    </w:p>
    <w:p w14:paraId="2F56A0D1">
      <w:pPr>
        <w:jc w:val="center"/>
      </w:pPr>
      <w:r>
        <w:rPr>
          <w:rFonts w:hint="eastAsia"/>
        </w:rPr>
        <w:drawing>
          <wp:inline distT="0" distB="0" distL="114300" distR="114300">
            <wp:extent cx="4535805" cy="2012950"/>
            <wp:effectExtent l="0" t="0" r="5715" b="6350"/>
            <wp:docPr id="1" name="图片 1" descr="图片10-中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10-中国"/>
                    <pic:cNvPicPr>
                      <a:picLocks noChangeAspect="1"/>
                    </pic:cNvPicPr>
                  </pic:nvPicPr>
                  <pic:blipFill>
                    <a:blip r:embed="rId12"/>
                    <a:srcRect l="578" t="1020" r="891" b="1610"/>
                    <a:stretch>
                      <a:fillRect/>
                    </a:stretch>
                  </pic:blipFill>
                  <pic:spPr>
                    <a:xfrm>
                      <a:off x="0" y="0"/>
                      <a:ext cx="4535805" cy="20129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24108">
      <w:pPr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t>图8 中国在</w:t>
      </w:r>
      <w:r>
        <w:rPr>
          <w:sz w:val="28"/>
          <w:szCs w:val="36"/>
        </w:rPr>
        <w:t>AI</w:t>
      </w:r>
      <w:r>
        <w:rPr>
          <w:rFonts w:hint="eastAsia"/>
          <w:sz w:val="28"/>
          <w:szCs w:val="36"/>
        </w:rPr>
        <w:t>应用层各领域投资规模占比情况</w:t>
      </w:r>
    </w:p>
    <w:p w14:paraId="3C1F7AFD">
      <w:pPr>
        <w:jc w:val="center"/>
      </w:pPr>
      <w:r>
        <w:rPr>
          <w:rFonts w:hint="eastAsia"/>
        </w:rPr>
        <w:drawing>
          <wp:inline distT="0" distB="0" distL="114300" distR="114300">
            <wp:extent cx="4459605" cy="2134235"/>
            <wp:effectExtent l="0" t="0" r="5715" b="6985"/>
            <wp:docPr id="16" name="图片 16" descr="图片11-美国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图片11-美国"/>
                    <pic:cNvPicPr>
                      <a:picLocks noChangeAspect="1"/>
                    </pic:cNvPicPr>
                  </pic:nvPicPr>
                  <pic:blipFill>
                    <a:blip r:embed="rId13"/>
                    <a:srcRect l="578" t="12489" r="867" b="1494"/>
                    <a:stretch>
                      <a:fillRect/>
                    </a:stretch>
                  </pic:blipFill>
                  <pic:spPr>
                    <a:xfrm>
                      <a:off x="0" y="0"/>
                      <a:ext cx="4459605" cy="213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9F993">
      <w:pPr>
        <w:jc w:val="center"/>
        <w:rPr>
          <w:sz w:val="28"/>
          <w:szCs w:val="36"/>
        </w:rPr>
      </w:pPr>
      <w:r>
        <w:rPr>
          <w:rFonts w:hint="eastAsia"/>
          <w:sz w:val="28"/>
          <w:szCs w:val="36"/>
        </w:rPr>
        <w:t>图9 美国在</w:t>
      </w:r>
      <w:r>
        <w:rPr>
          <w:sz w:val="28"/>
          <w:szCs w:val="36"/>
        </w:rPr>
        <w:t>AI</w:t>
      </w:r>
      <w:r>
        <w:rPr>
          <w:rFonts w:hint="eastAsia"/>
          <w:sz w:val="28"/>
          <w:szCs w:val="36"/>
        </w:rPr>
        <w:t>应用层各领域投资规模占比情况</w:t>
      </w:r>
    </w:p>
    <w:p w14:paraId="4BF5077F">
      <w:pPr>
        <w:autoSpaceDE w:val="0"/>
        <w:snapToGrid w:val="0"/>
        <w:spacing w:line="288" w:lineRule="auto"/>
        <w:ind w:firstLine="420"/>
      </w:pPr>
      <w:r>
        <w:rPr>
          <w:rFonts w:hint="eastAsia"/>
          <w:sz w:val="28"/>
          <w:szCs w:val="28"/>
        </w:rPr>
        <w:t>除自动驾驶及无人设备外，中国更热衷于医疗健康和机器人赛道，而美国则更偏好安全服务和编程及开发领域。反映出两国在AI应用领域的不同侧重和发展路径，同时也塑造两国AI应用层不同的发展格局和创新重点。</w:t>
      </w:r>
    </w:p>
    <w:p w14:paraId="0D960B87">
      <w:pPr>
        <w:pStyle w:val="3"/>
        <w:keepNext/>
        <w:keepLines w:val="0"/>
        <w:pageBreakBefore w:val="0"/>
        <w:widowControl w:val="0"/>
        <w:numPr>
          <w:ilvl w:val="0"/>
          <w:numId w:val="1"/>
        </w:numPr>
        <w:kinsoku/>
        <w:wordWrap/>
        <w:overflowPunct/>
        <w:topLinePunct w:val="0"/>
        <w:autoSpaceDE w:val="0"/>
        <w:autoSpaceDN/>
        <w:bidi w:val="0"/>
        <w:adjustRightInd/>
        <w:snapToGrid w:val="0"/>
        <w:spacing w:line="288" w:lineRule="auto"/>
        <w:textAlignment w:val="auto"/>
        <w:outlineLvl w:val="1"/>
        <w:rPr>
          <w:rFonts w:hint="eastAsia" w:ascii="Times New Roman" w:hAnsi="Times New Roman" w:cs="Times New Roman"/>
          <w:sz w:val="28"/>
          <w:szCs w:val="28"/>
        </w:rPr>
      </w:pPr>
      <w:bookmarkStart w:id="10" w:name="_Toc9884"/>
      <w:r>
        <w:rPr>
          <w:rFonts w:hint="eastAsia" w:ascii="Times New Roman" w:hAnsi="Times New Roman" w:cs="Times New Roman"/>
          <w:sz w:val="28"/>
          <w:szCs w:val="28"/>
        </w:rPr>
        <w:t>未来发展趋势</w:t>
      </w:r>
      <w:bookmarkEnd w:id="10"/>
    </w:p>
    <w:p w14:paraId="2177DC74">
      <w:pPr>
        <w:autoSpaceDE w:val="0"/>
        <w:snapToGrid w:val="0"/>
        <w:spacing w:line="288" w:lineRule="auto"/>
        <w:ind w:firstLine="420"/>
        <w:rPr>
          <w:sz w:val="28"/>
          <w:szCs w:val="28"/>
        </w:rPr>
      </w:pPr>
      <w:r>
        <w:rPr>
          <w:rFonts w:hint="eastAsia"/>
          <w:sz w:val="28"/>
          <w:szCs w:val="28"/>
        </w:rPr>
        <w:t>2024年，全球人工智能竞争格局呈现出“美国控技术、中国抢场景”的二元态势。美国致力于巩固其在全链条创新中的霸权地位，而中国则通过在垂直领域的渗透，实现了局部突破。进入2025年第一季度（截至3月23日），全球人工智能领域融资额达到1448.5亿元，同比增长率高达314%。通过对该季度融资事件的深入分析，总结国内人工智能投融资市场的三大发展趋势。</w:t>
      </w:r>
    </w:p>
    <w:p w14:paraId="2F903893">
      <w:pPr>
        <w:autoSpaceDE w:val="0"/>
        <w:snapToGrid w:val="0"/>
        <w:spacing w:line="288" w:lineRule="auto"/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趋势一：国资接棒成为AI产业发展重要驱动力。</w:t>
      </w:r>
      <w:r>
        <w:rPr>
          <w:rFonts w:hint="eastAsia"/>
          <w:sz w:val="28"/>
          <w:szCs w:val="28"/>
        </w:rPr>
        <w:t>数字经济背景下，“国有资本+产业资源+AI技术”的战略协同有望成为科技创新领域的合作常态。国务院办公厅2025年1号文件出台《关于促进政府投资基金高质量发展的指导意见》，3月国家发改委主任表示将设立创投基金，带动地方资金、社会资本近1万亿资本，加速人工智能等前沿技术创新发展。</w:t>
      </w:r>
    </w:p>
    <w:p w14:paraId="7D294379">
      <w:pPr>
        <w:autoSpaceDE w:val="0"/>
        <w:snapToGrid w:val="0"/>
        <w:spacing w:line="288" w:lineRule="auto"/>
        <w:ind w:firstLine="420"/>
        <w:rPr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趋势二：中国芯片技术突破和大模型技术创新引发算力需求持续增长。</w:t>
      </w:r>
      <w:r>
        <w:rPr>
          <w:rFonts w:hint="eastAsia"/>
          <w:sz w:val="28"/>
          <w:szCs w:val="28"/>
        </w:rPr>
        <w:t>一方面，随着中国在芯片研发领域投资力度加大，中国在高端芯片的研发以及先进制程芯片制造技术的突破，被压制的算力需求逐渐释放。另一方面，D</w:t>
      </w:r>
      <w:r>
        <w:rPr>
          <w:sz w:val="28"/>
          <w:szCs w:val="28"/>
        </w:rPr>
        <w:t>eep</w:t>
      </w:r>
      <w:r>
        <w:rPr>
          <w:rFonts w:hint="eastAsia"/>
          <w:sz w:val="28"/>
          <w:szCs w:val="28"/>
        </w:rPr>
        <w:t>S</w:t>
      </w:r>
      <w:r>
        <w:rPr>
          <w:sz w:val="28"/>
          <w:szCs w:val="28"/>
        </w:rPr>
        <w:t>eek</w:t>
      </w:r>
      <w:r>
        <w:rPr>
          <w:rFonts w:hint="eastAsia"/>
          <w:sz w:val="28"/>
          <w:szCs w:val="28"/>
        </w:rPr>
        <w:t>开源模型高性能、低成本的优势，大大降低大模型技术的应用门槛，将有效扩大算力市场需求。目前，头部大模型厂商已经开始加大算力投入。2025年3月，OpenAI与云服务提供商CoreWeave达成价值近120亿美元的合作协议，并计划入股该公司。</w:t>
      </w:r>
    </w:p>
    <w:p w14:paraId="4A82FA59">
      <w:pPr>
        <w:autoSpaceDE w:val="0"/>
        <w:snapToGrid w:val="0"/>
        <w:spacing w:line="288" w:lineRule="auto"/>
        <w:ind w:firstLine="420"/>
        <w:rPr>
          <w:rFonts w:hint="eastAsia"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趋势三：应用层面新兴的AI技术将持续推动行业创新。</w:t>
      </w:r>
      <w:r>
        <w:rPr>
          <w:rFonts w:hint="eastAsia"/>
          <w:sz w:val="28"/>
          <w:szCs w:val="28"/>
        </w:rPr>
        <w:t>随着AI技术的不断发展演进，智能体等技术创新将不断推动各行业应用创新，在交通、制造业、医疗、安全等高确定性赛道形成新的商业模式和业态。例如，在交通领域，智能体可以实现智能调度和自动驾驶等，为行业带来新的发展机遇。</w:t>
      </w:r>
    </w:p>
    <w:bookmarkEnd w:id="1"/>
    <w:p w14:paraId="46B604C7">
      <w:pPr>
        <w:rPr>
          <w:rFonts w:hint="eastAsia"/>
        </w:rPr>
      </w:pPr>
      <w:r>
        <w:rPr>
          <w:rFonts w:hint="eastAsia"/>
        </w:rPr>
        <w:br w:type="page"/>
      </w:r>
    </w:p>
    <w:tbl>
      <w:tblPr>
        <w:tblStyle w:val="18"/>
        <w:tblpPr w:leftFromText="180" w:rightFromText="180" w:vertAnchor="text" w:horzAnchor="page" w:tblpX="1811" w:tblpY="464"/>
        <w:tblOverlap w:val="never"/>
        <w:tblW w:w="4997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55"/>
        <w:gridCol w:w="1175"/>
        <w:gridCol w:w="893"/>
        <w:gridCol w:w="1176"/>
        <w:gridCol w:w="1444"/>
        <w:gridCol w:w="1343"/>
        <w:gridCol w:w="1231"/>
      </w:tblGrid>
      <w:tr w14:paraId="3DB8F6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4F17FDA1">
            <w:pPr>
              <w:jc w:val="center"/>
              <w:rPr>
                <w:rFonts w:ascii="Times New Roman" w:hAnsi="Times New Roman" w:eastAsia="宋体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融资公司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3DEAE890">
            <w:pPr>
              <w:jc w:val="center"/>
              <w:rPr>
                <w:rFonts w:ascii="Times New Roman" w:hAnsi="Times New Roman" w:eastAsia="宋体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AI领域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2A0E587A">
            <w:pPr>
              <w:jc w:val="center"/>
              <w:rPr>
                <w:rFonts w:ascii="Times New Roman" w:hAnsi="Times New Roman" w:eastAsia="宋体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国家</w:t>
            </w:r>
          </w:p>
        </w:tc>
        <w:tc>
          <w:tcPr>
            <w:tcW w:w="6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0B9F9610">
            <w:pPr>
              <w:jc w:val="center"/>
              <w:rPr>
                <w:rFonts w:ascii="Times New Roman" w:hAnsi="Times New Roman" w:eastAsia="宋体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融资阶段</w:t>
            </w:r>
          </w:p>
        </w:tc>
        <w:tc>
          <w:tcPr>
            <w:tcW w:w="8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46460870">
            <w:pPr>
              <w:jc w:val="center"/>
              <w:rPr>
                <w:rFonts w:ascii="Times New Roman" w:hAnsi="Times New Roman" w:eastAsia="宋体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融资金额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479D40F6">
            <w:pPr>
              <w:jc w:val="center"/>
              <w:rPr>
                <w:rFonts w:ascii="Times New Roman" w:hAnsi="Times New Roman" w:eastAsia="宋体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融资日期</w:t>
            </w:r>
          </w:p>
        </w:tc>
        <w:tc>
          <w:tcPr>
            <w:tcW w:w="7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78C036A5">
            <w:pPr>
              <w:jc w:val="center"/>
              <w:rPr>
                <w:rFonts w:ascii="Times New Roman" w:hAnsi="Times New Roman" w:eastAsia="宋体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eastAsia="宋体"/>
                <w:b/>
                <w:bCs/>
                <w:sz w:val="22"/>
                <w:szCs w:val="22"/>
              </w:rPr>
              <w:t>成立日期</w:t>
            </w:r>
          </w:p>
        </w:tc>
      </w:tr>
      <w:tr w14:paraId="6C0FDE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198D6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CoreWeave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051162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AI基础层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F79CD8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美国</w:t>
            </w:r>
          </w:p>
        </w:tc>
        <w:tc>
          <w:tcPr>
            <w:tcW w:w="6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3CAFA2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战略投资</w:t>
            </w:r>
          </w:p>
        </w:tc>
        <w:tc>
          <w:tcPr>
            <w:tcW w:w="8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763E69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75亿美元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FE1B57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2024/5/20</w:t>
            </w:r>
          </w:p>
        </w:tc>
        <w:tc>
          <w:tcPr>
            <w:tcW w:w="7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650794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2017/1/1</w:t>
            </w:r>
          </w:p>
        </w:tc>
      </w:tr>
      <w:tr w14:paraId="4742DF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3CC7F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OpenAI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5AC9054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AIGC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6D9AE1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美国</w:t>
            </w:r>
          </w:p>
        </w:tc>
        <w:tc>
          <w:tcPr>
            <w:tcW w:w="6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7C1386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战略投资</w:t>
            </w:r>
          </w:p>
        </w:tc>
        <w:tc>
          <w:tcPr>
            <w:tcW w:w="8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9CD17D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66亿美元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D62CBC4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2024/10/3</w:t>
            </w:r>
          </w:p>
        </w:tc>
        <w:tc>
          <w:tcPr>
            <w:tcW w:w="7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7F71D3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2015/12/1</w:t>
            </w:r>
          </w:p>
        </w:tc>
      </w:tr>
      <w:tr w14:paraId="68B8D6B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FDD5D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xAI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4EABAB9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AIGC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97E1D4F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美国</w:t>
            </w:r>
          </w:p>
        </w:tc>
        <w:tc>
          <w:tcPr>
            <w:tcW w:w="6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300EE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C轮</w:t>
            </w:r>
          </w:p>
        </w:tc>
        <w:tc>
          <w:tcPr>
            <w:tcW w:w="8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489016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60亿美元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22F0D1D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2024/12/24</w:t>
            </w:r>
          </w:p>
        </w:tc>
        <w:tc>
          <w:tcPr>
            <w:tcW w:w="7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D83D0AE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2023/7/1</w:t>
            </w:r>
          </w:p>
        </w:tc>
      </w:tr>
      <w:tr w14:paraId="18B059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671BE5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xAI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B5C691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AIGC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769368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美国</w:t>
            </w:r>
          </w:p>
        </w:tc>
        <w:tc>
          <w:tcPr>
            <w:tcW w:w="6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34C558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B轮</w:t>
            </w:r>
          </w:p>
        </w:tc>
        <w:tc>
          <w:tcPr>
            <w:tcW w:w="8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62EE11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60亿美元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E0071F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2024/5/27</w:t>
            </w:r>
          </w:p>
        </w:tc>
        <w:tc>
          <w:tcPr>
            <w:tcW w:w="7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6FB8D4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2023/7/1</w:t>
            </w:r>
          </w:p>
        </w:tc>
      </w:tr>
      <w:tr w14:paraId="1654CF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1600C1F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Waymo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3A7917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AI应用层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4FCC8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美国</w:t>
            </w:r>
          </w:p>
        </w:tc>
        <w:tc>
          <w:tcPr>
            <w:tcW w:w="6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0D69B7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战略投资</w:t>
            </w:r>
          </w:p>
        </w:tc>
        <w:tc>
          <w:tcPr>
            <w:tcW w:w="8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8C0C54E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56亿美元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290747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2024/10/25</w:t>
            </w:r>
          </w:p>
        </w:tc>
        <w:tc>
          <w:tcPr>
            <w:tcW w:w="7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B4F9BC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2009/1/1</w:t>
            </w:r>
          </w:p>
        </w:tc>
      </w:tr>
      <w:tr w14:paraId="5BE410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E0ABCF4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xAI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5F9EACC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AIGC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E53D5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美国</w:t>
            </w:r>
          </w:p>
        </w:tc>
        <w:tc>
          <w:tcPr>
            <w:tcW w:w="6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4F9072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战略投资</w:t>
            </w:r>
          </w:p>
        </w:tc>
        <w:tc>
          <w:tcPr>
            <w:tcW w:w="8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E720F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50亿美元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F039A0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2024/11/21</w:t>
            </w:r>
          </w:p>
        </w:tc>
        <w:tc>
          <w:tcPr>
            <w:tcW w:w="7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7574DED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2023/7/1</w:t>
            </w:r>
          </w:p>
        </w:tc>
      </w:tr>
      <w:tr w14:paraId="3737B5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F3A3A9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Anthropic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6A904C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AIGC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3B2F32D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美国</w:t>
            </w:r>
          </w:p>
        </w:tc>
        <w:tc>
          <w:tcPr>
            <w:tcW w:w="6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759010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战略投资</w:t>
            </w:r>
          </w:p>
        </w:tc>
        <w:tc>
          <w:tcPr>
            <w:tcW w:w="8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6AFDF3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40亿美元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B9856C6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2024/11/22</w:t>
            </w:r>
          </w:p>
        </w:tc>
        <w:tc>
          <w:tcPr>
            <w:tcW w:w="7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33B676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2019/2/1</w:t>
            </w:r>
          </w:p>
        </w:tc>
      </w:tr>
      <w:tr w14:paraId="5F1DC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755CF29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Anthropic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7870F61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AIGC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2DF592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美国</w:t>
            </w:r>
          </w:p>
        </w:tc>
        <w:tc>
          <w:tcPr>
            <w:tcW w:w="6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F00FC8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战略投资</w:t>
            </w:r>
          </w:p>
        </w:tc>
        <w:tc>
          <w:tcPr>
            <w:tcW w:w="8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612A59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27.5亿美元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0D61DA1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2024/3/28</w:t>
            </w:r>
          </w:p>
        </w:tc>
        <w:tc>
          <w:tcPr>
            <w:tcW w:w="7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590C47B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2019/2/1</w:t>
            </w:r>
          </w:p>
        </w:tc>
      </w:tr>
      <w:tr w14:paraId="1BEE5F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B6865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OpenAI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E489E4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AIGC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FA659DF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美国</w:t>
            </w:r>
          </w:p>
        </w:tc>
        <w:tc>
          <w:tcPr>
            <w:tcW w:w="6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8EB40D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战略投资</w:t>
            </w:r>
          </w:p>
        </w:tc>
        <w:tc>
          <w:tcPr>
            <w:tcW w:w="8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0C7797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15亿美元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39C68B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2024/11/27</w:t>
            </w:r>
          </w:p>
        </w:tc>
        <w:tc>
          <w:tcPr>
            <w:tcW w:w="7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ADA067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2015/12/1</w:t>
            </w:r>
          </w:p>
        </w:tc>
      </w:tr>
      <w:tr w14:paraId="2A213D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8" w:hRule="atLeast"/>
        </w:trPr>
        <w:tc>
          <w:tcPr>
            <w:tcW w:w="73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0C13D1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G42</w:t>
            </w:r>
          </w:p>
        </w:tc>
        <w:tc>
          <w:tcPr>
            <w:tcW w:w="68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7A9F39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AI基础层</w:t>
            </w:r>
          </w:p>
        </w:tc>
        <w:tc>
          <w:tcPr>
            <w:tcW w:w="52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A0F7FC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阿联酋</w:t>
            </w:r>
          </w:p>
        </w:tc>
        <w:tc>
          <w:tcPr>
            <w:tcW w:w="69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4A5CA5A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战略投资</w:t>
            </w:r>
          </w:p>
        </w:tc>
        <w:tc>
          <w:tcPr>
            <w:tcW w:w="8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EB4537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15亿美元</w:t>
            </w:r>
          </w:p>
        </w:tc>
        <w:tc>
          <w:tcPr>
            <w:tcW w:w="78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623CC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2024/4/16</w:t>
            </w:r>
          </w:p>
        </w:tc>
        <w:tc>
          <w:tcPr>
            <w:tcW w:w="72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66815">
            <w:pPr>
              <w:jc w:val="center"/>
              <w:rPr>
                <w:rFonts w:ascii="Times New Roman" w:hAnsi="Times New Roman" w:eastAsia="宋体"/>
                <w:sz w:val="22"/>
                <w:szCs w:val="22"/>
              </w:rPr>
            </w:pPr>
            <w:r>
              <w:rPr>
                <w:rFonts w:ascii="Times New Roman" w:hAnsi="Times New Roman" w:eastAsia="宋体"/>
                <w:sz w:val="22"/>
                <w:szCs w:val="22"/>
              </w:rPr>
              <w:t>2018</w:t>
            </w:r>
            <w:r>
              <w:rPr>
                <w:rFonts w:hint="eastAsia" w:ascii="Times New Roman" w:hAnsi="Times New Roman" w:eastAsia="宋体"/>
                <w:sz w:val="22"/>
                <w:szCs w:val="22"/>
              </w:rPr>
              <w:t>/</w:t>
            </w:r>
            <w:r>
              <w:rPr>
                <w:rFonts w:ascii="Times New Roman" w:hAnsi="Times New Roman" w:eastAsia="宋体"/>
                <w:sz w:val="22"/>
                <w:szCs w:val="22"/>
              </w:rPr>
              <w:t>1</w:t>
            </w:r>
            <w:r>
              <w:rPr>
                <w:rFonts w:hint="eastAsia" w:ascii="Times New Roman" w:hAnsi="Times New Roman" w:eastAsia="宋体"/>
                <w:sz w:val="22"/>
                <w:szCs w:val="22"/>
              </w:rPr>
              <w:t>/1</w:t>
            </w:r>
          </w:p>
        </w:tc>
      </w:tr>
    </w:tbl>
    <w:p w14:paraId="7331A3F8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left="584" w:hanging="584"/>
        <w:textAlignment w:val="auto"/>
        <w:outlineLvl w:val="0"/>
        <w:rPr>
          <w:rFonts w:hint="eastAsia" w:ascii="Times New Roman" w:hAnsi="Times New Roman" w:eastAsia="宋体" w:cs="Times New Roman"/>
          <w:sz w:val="28"/>
          <w:szCs w:val="28"/>
        </w:rPr>
      </w:pPr>
      <w:bookmarkStart w:id="11" w:name="_Toc23679"/>
      <w:r>
        <w:rPr>
          <w:rFonts w:hint="eastAsia" w:ascii="Times New Roman" w:hAnsi="Times New Roman" w:eastAsia="宋体" w:cs="Times New Roman"/>
          <w:sz w:val="28"/>
          <w:szCs w:val="28"/>
        </w:rPr>
        <w:t>附录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1</w:t>
      </w:r>
      <w:r>
        <w:rPr>
          <w:rFonts w:hint="eastAsia" w:ascii="Times New Roman" w:hAnsi="Times New Roman" w:eastAsia="宋体" w:cs="Times New Roman"/>
          <w:sz w:val="28"/>
          <w:szCs w:val="28"/>
        </w:rPr>
        <w:t>：2024年全球AI领域TOP10融资事件</w:t>
      </w:r>
      <w:bookmarkEnd w:id="11"/>
    </w:p>
    <w:p w14:paraId="6FE5646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beforeAutospacing="0" w:afterAutospacing="0" w:line="288" w:lineRule="auto"/>
        <w:ind w:left="584" w:hanging="584"/>
        <w:textAlignment w:val="auto"/>
        <w:outlineLvl w:val="0"/>
        <w:rPr>
          <w:rFonts w:hint="eastAsia" w:ascii="Times New Roman" w:hAnsi="Times New Roman" w:eastAsia="宋体" w:cs="Times New Roman"/>
          <w:sz w:val="28"/>
          <w:szCs w:val="28"/>
        </w:rPr>
      </w:pPr>
      <w:bookmarkStart w:id="12" w:name="_Toc9819"/>
      <w:r>
        <w:rPr>
          <w:rFonts w:hint="eastAsia" w:ascii="Times New Roman" w:hAnsi="Times New Roman" w:eastAsia="宋体" w:cs="Times New Roman"/>
          <w:sz w:val="28"/>
          <w:szCs w:val="28"/>
        </w:rPr>
        <w:t>附录</w:t>
      </w:r>
      <w:r>
        <w:rPr>
          <w:rFonts w:hint="eastAsia" w:ascii="Times New Roman" w:hAnsi="Times New Roman" w:cs="Times New Roman"/>
          <w:sz w:val="28"/>
          <w:szCs w:val="28"/>
          <w:lang w:val="en-US" w:eastAsia="zh-CN"/>
        </w:rPr>
        <w:t>2</w:t>
      </w:r>
      <w:bookmarkStart w:id="13" w:name="_GoBack"/>
      <w:bookmarkEnd w:id="13"/>
      <w:r>
        <w:rPr>
          <w:rFonts w:hint="eastAsia" w:ascii="Times New Roman" w:hAnsi="Times New Roman" w:eastAsia="宋体" w:cs="Times New Roman"/>
          <w:sz w:val="28"/>
          <w:szCs w:val="28"/>
        </w:rPr>
        <w:t>：全球500强人工智能独角兽企业2024-2025年融资事件</w:t>
      </w:r>
      <w:bookmarkEnd w:id="12"/>
    </w:p>
    <w:tbl>
      <w:tblPr>
        <w:tblStyle w:val="18"/>
        <w:tblW w:w="5038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30"/>
        <w:gridCol w:w="1176"/>
        <w:gridCol w:w="936"/>
        <w:gridCol w:w="1194"/>
        <w:gridCol w:w="1446"/>
        <w:gridCol w:w="1242"/>
        <w:gridCol w:w="1164"/>
      </w:tblGrid>
      <w:tr w14:paraId="51D751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2F00979D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融资公司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1278DE05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AI领域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4E383039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国家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3DD1A247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融资阶段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590D05C6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融资金额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6D20DBC0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融资日期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91ABDF" w:themeFill="accent1" w:themeFillTint="99"/>
            <w:noWrap/>
            <w:vAlign w:val="center"/>
          </w:tcPr>
          <w:p w14:paraId="1C21539F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b/>
                <w:bCs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b/>
                <w:bCs/>
                <w:color w:val="000000"/>
                <w:kern w:val="0"/>
                <w:sz w:val="22"/>
                <w:szCs w:val="22"/>
                <w:lang w:bidi="ar"/>
              </w:rPr>
              <w:t>成立日期</w:t>
            </w:r>
          </w:p>
        </w:tc>
      </w:tr>
      <w:tr w14:paraId="27FD00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A014D9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OpenAI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EE6BC8F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AIGC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A04CA1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美国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6546D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股权融资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D5BFAA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66亿美元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DA64E81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2024/10/2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4580DEC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2015/12/1</w:t>
            </w:r>
          </w:p>
        </w:tc>
      </w:tr>
      <w:tr w14:paraId="7F606AF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BABA63B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OpenAI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EED6CB9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AIGC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B9138E7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美国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A7B11FD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战略投资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2103E1E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数十亿美元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8D6C16B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2024/8/30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621254A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2015/12/1</w:t>
            </w:r>
          </w:p>
        </w:tc>
      </w:tr>
      <w:tr w14:paraId="33B7BC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F31A259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OpenAI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3D655D2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AIGC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144CE9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美国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9822C6D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股权融资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624DD51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15亿美元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D0DF436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2024/11/27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97E7BE0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2015/12/1</w:t>
            </w:r>
          </w:p>
        </w:tc>
      </w:tr>
      <w:tr w14:paraId="397AAD6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3AE0A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G42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2AAEF5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AI基础层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F4D1E8E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阿联酋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8B06C4C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战略投资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730236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15亿美元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A7C3073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2024/4/16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7B14C07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2018/1/1</w:t>
            </w:r>
          </w:p>
        </w:tc>
      </w:tr>
      <w:tr w14:paraId="0E867E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9824E56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Flock Safety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B516F5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AI技术层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BDAFF5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美国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DEC543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后期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898A82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2.75亿美元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1468F96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2025/3/13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67A5A0C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2017/1/1</w:t>
            </w:r>
          </w:p>
        </w:tc>
      </w:tr>
      <w:tr w14:paraId="44F3C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CF56B94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Cohere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B7928A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AIGC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35DB56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美国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BD0C9CB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战略投资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69BB57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5亿美元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BA9453A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2024/3/22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E263C0D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2021/1/1</w:t>
            </w:r>
          </w:p>
        </w:tc>
      </w:tr>
      <w:tr w14:paraId="03388E8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AD4DC08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Cohere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4D4229C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AIGC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F0B0135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美国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16DB2C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D轮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CFA6D6D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5亿美元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C965F4D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2024/7/23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9E9657E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2021/1/1</w:t>
            </w:r>
          </w:p>
        </w:tc>
      </w:tr>
      <w:tr w14:paraId="7C0B95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F60FCE3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Cohere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5354C5F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AIGC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C7CCA5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美国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38BCCA4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C+轮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19F72E0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4.5亿美元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CCAAE4F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2024/6/5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E137F45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2021/1/1</w:t>
            </w:r>
          </w:p>
        </w:tc>
      </w:tr>
      <w:tr w14:paraId="1DCDA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67E939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Anthropic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8157165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AIGC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3CC7F4F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美国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8AF36A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战略投资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3150BDB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40亿美元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C23667D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2024/11/22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0AA2639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2019/2/1</w:t>
            </w:r>
          </w:p>
        </w:tc>
      </w:tr>
      <w:tr w14:paraId="0EC3A9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768ABB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Anthropic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1D49299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AIGC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7C508B1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美国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2CAEA31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战略投资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0F5232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35亿美元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9834353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2025/2/25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FB54087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2019/2/1</w:t>
            </w:r>
          </w:p>
        </w:tc>
      </w:tr>
      <w:tr w14:paraId="51CC06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A69A629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Anthropic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136154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AIGC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D910E2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美国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BECB7E3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战略投资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B423B7A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27.5亿美元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3B99F80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2024/3/28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F202B26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2019/2/1</w:t>
            </w:r>
          </w:p>
        </w:tc>
      </w:tr>
      <w:tr w14:paraId="0BF407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D8A32E2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Anthropic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85A0851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AIGC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544FCC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美国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65D8AEB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战略投资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49AFC8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20亿美元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9198944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2025/1/13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EEFD31E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2019/2/1</w:t>
            </w:r>
          </w:p>
        </w:tc>
      </w:tr>
      <w:tr w14:paraId="218909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9E6247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Anthropic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85EA4D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AIGC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F5EFB83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美国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6233EAF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战略投资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65CC49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数亿美元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35236A2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2024/2/18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1BBFCD3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2019/2/1</w:t>
            </w:r>
          </w:p>
        </w:tc>
      </w:tr>
      <w:tr w14:paraId="78EAD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DBEB303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智谱AI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F931AEB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AIGC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C77F326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中国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DDABFBB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D轮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CD25CE3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30亿元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5C0FF70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2024/12/17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5BBBC6D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2019/6/11</w:t>
            </w:r>
          </w:p>
        </w:tc>
      </w:tr>
      <w:tr w14:paraId="68A5E7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F753E9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智谱AI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2CE576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AIGC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2701BEB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中国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1035F3B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C轮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4585ED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4亿美元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1B970201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2024/5/31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65AD4E9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2019/6/11</w:t>
            </w:r>
          </w:p>
        </w:tc>
      </w:tr>
      <w:tr w14:paraId="656022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ECEAE39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智谱AI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2F1FD30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AIGC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055EB80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中国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8ECEF1C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D轮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C80DCA6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数十亿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E5D811F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2024/9/5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046C348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2019/6/11</w:t>
            </w:r>
          </w:p>
        </w:tc>
      </w:tr>
      <w:tr w14:paraId="734CB4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82C954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智谱AI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99E3342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AIGC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0FE6C66E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中国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124501E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D轮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533ABC5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超10亿元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429E4876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2025/3/3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51169843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2019/6/11</w:t>
            </w:r>
          </w:p>
        </w:tc>
      </w:tr>
      <w:tr w14:paraId="6CC933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C043B9B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智谱AI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476961C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AIGC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43FFBCF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中国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A3EDFD3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战略投资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769D0F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数亿人民币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9CB9ECA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2024/3/14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EF60DA1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2019/6/11</w:t>
            </w:r>
          </w:p>
        </w:tc>
      </w:tr>
      <w:tr w14:paraId="33DB59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909D0C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智谱AI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0ABFAA9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AIGC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73D8485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中国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561468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D轮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506EE60C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3亿人民币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32C2BFF3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2024/3/19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E6C8AF5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2019/6/11</w:t>
            </w:r>
          </w:p>
        </w:tc>
      </w:tr>
      <w:tr w14:paraId="444316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8C82C43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特斯联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81A4F71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AI应用层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C786F97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中国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399F657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D轮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52C652A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20亿人民币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54A8BFD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2024/4/9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0FFC3FB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2015/12/1</w:t>
            </w:r>
          </w:p>
        </w:tc>
      </w:tr>
      <w:tr w14:paraId="0F9641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C52B8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特斯联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DFF5008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AI应用层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0866522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中国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6E95022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D+轮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EF476E3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0.5</w:t>
            </w: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亿人民币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6B9686E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2024/8/30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6C05A88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2015/12/1</w:t>
            </w:r>
          </w:p>
        </w:tc>
      </w:tr>
      <w:tr w14:paraId="287DF08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0C646E6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摩尔线程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227BC8D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AI技术层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A2AAD35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中国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6824F1F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C轮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7A1FB08D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未透露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75D939B6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2025/2/26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63C5118C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2020/6/20</w:t>
            </w:r>
          </w:p>
        </w:tc>
      </w:tr>
      <w:tr w14:paraId="33669D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2" w:hRule="atLeast"/>
        </w:trPr>
        <w:tc>
          <w:tcPr>
            <w:tcW w:w="8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3BCDA40B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地平线机器人</w:t>
            </w:r>
          </w:p>
        </w:tc>
        <w:tc>
          <w:tcPr>
            <w:tcW w:w="68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176B6114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AI应用层</w:t>
            </w:r>
          </w:p>
        </w:tc>
        <w:tc>
          <w:tcPr>
            <w:tcW w:w="5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247DB606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中国</w:t>
            </w:r>
          </w:p>
        </w:tc>
        <w:tc>
          <w:tcPr>
            <w:tcW w:w="6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6085FC67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IPO</w:t>
            </w:r>
          </w:p>
        </w:tc>
        <w:tc>
          <w:tcPr>
            <w:tcW w:w="8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 w14:paraId="402C2F65">
            <w:pPr>
              <w:widowControl/>
              <w:jc w:val="left"/>
              <w:textAlignment w:val="center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54.07亿港币</w:t>
            </w:r>
          </w:p>
        </w:tc>
        <w:tc>
          <w:tcPr>
            <w:tcW w:w="72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253AA71B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2024/10/24</w:t>
            </w:r>
          </w:p>
        </w:tc>
        <w:tc>
          <w:tcPr>
            <w:tcW w:w="6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bottom"/>
          </w:tcPr>
          <w:p w14:paraId="05229404">
            <w:pPr>
              <w:widowControl/>
              <w:textAlignment w:val="bottom"/>
              <w:rPr>
                <w:rFonts w:ascii="Times New Roman" w:hAnsi="Times New Roman" w:eastAsia="宋体" w:cs="仿宋"/>
                <w:color w:val="000000"/>
                <w:sz w:val="22"/>
                <w:szCs w:val="22"/>
              </w:rPr>
            </w:pPr>
            <w:r>
              <w:rPr>
                <w:rFonts w:hint="eastAsia" w:ascii="Times New Roman" w:hAnsi="Times New Roman" w:eastAsia="宋体" w:cs="仿宋"/>
                <w:color w:val="000000"/>
                <w:kern w:val="0"/>
                <w:sz w:val="22"/>
                <w:szCs w:val="22"/>
                <w:lang w:bidi="ar"/>
              </w:rPr>
              <w:t>2015/7/14</w:t>
            </w:r>
          </w:p>
        </w:tc>
      </w:tr>
    </w:tbl>
    <w:p w14:paraId="7FCBA1B2">
      <w:pPr>
        <w:rPr>
          <w:rFonts w:ascii="Times New Roman" w:hAnsi="Times New Roman"/>
        </w:rPr>
      </w:pPr>
    </w:p>
    <w:sectPr>
      <w:footerReference r:id="rId4" w:type="default"/>
      <w:pgSz w:w="11906" w:h="16838"/>
      <w:pgMar w:top="1440" w:right="1800" w:bottom="1440" w:left="1800" w:header="851" w:footer="992" w:gutter="0"/>
      <w:pgNumType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1" w:fontKey="{12E012BE-9702-4427-A787-8B55481570FF}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  <w:embedRegular r:id="rId2" w:fontKey="{4D882941-1EFB-4E7A-B1E0-D89F314B21E6}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CA1996">
    <w:pPr>
      <w:pStyle w:val="11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D9CEC9">
                          <w:pPr>
                            <w:pStyle w:val="11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17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D9CEC9">
                    <w:pPr>
                      <w:pStyle w:val="11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17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12">
    <w:p>
      <w:r>
        <w:separator/>
      </w:r>
    </w:p>
  </w:footnote>
  <w:footnote w:type="continuationSeparator" w:id="13">
    <w:p>
      <w:r>
        <w:continuationSeparator/>
      </w:r>
    </w:p>
  </w:footnote>
  <w:footnote w:id="0">
    <w:p w14:paraId="136A15BC">
      <w:pPr>
        <w:pStyle w:val="14"/>
        <w:rPr>
          <w:rFonts w:eastAsia="仿宋"/>
        </w:rPr>
      </w:pPr>
      <w:r>
        <w:rPr>
          <w:rStyle w:val="24"/>
        </w:rPr>
        <w:footnoteRef/>
      </w:r>
      <w:r>
        <w:t xml:space="preserve"> </w:t>
      </w:r>
      <w:r>
        <w:rPr>
          <w:rFonts w:hint="eastAsia"/>
        </w:rPr>
        <w:t>数据来源：天翼智库根据公开资料整理</w:t>
      </w:r>
    </w:p>
  </w:footnote>
  <w:footnote w:id="1">
    <w:p w14:paraId="7D46AE51">
      <w:pPr>
        <w:pStyle w:val="14"/>
        <w:rPr>
          <w:rFonts w:eastAsia="仿宋"/>
        </w:rPr>
      </w:pPr>
      <w:r>
        <w:rPr>
          <w:rStyle w:val="24"/>
        </w:rPr>
        <w:footnoteRef/>
      </w:r>
      <w:r>
        <w:rPr>
          <w:rFonts w:hint="eastAsia"/>
        </w:rPr>
        <w:t xml:space="preserve"> 沙特公共投资基金（PIF）计划在2024年下半年向AI领域注资超100亿美元，占全年科技预算的75%；微软2024年Q3财报显示资本支出（CapEx）同比激增79%，其中87%用于AI算力建设；Alphabet CFO表示“2024年AI相关支出将集中在下半年”，尤其是Gemini Ultra模型迭代与DeepMind研发投入（Q3-Q4支出占比达全年73%）。</w:t>
      </w:r>
    </w:p>
  </w:footnote>
  <w:footnote w:id="2">
    <w:p w14:paraId="10AB5631">
      <w:pPr>
        <w:pStyle w:val="14"/>
        <w:rPr>
          <w:rFonts w:eastAsia="仿宋"/>
        </w:rPr>
      </w:pPr>
      <w:r>
        <w:rPr>
          <w:rStyle w:val="24"/>
        </w:rPr>
        <w:footnoteRef/>
      </w:r>
      <w:r>
        <w:t xml:space="preserve"> 红杉资本《2024年AI初创企业生存指南》</w:t>
      </w:r>
      <w:r>
        <w:rPr>
          <w:rFonts w:hint="eastAsia"/>
        </w:rPr>
        <w:t>：2024年AI企业B轮融资的ARR门槛均值为4800万美元（2023年为1900万美元），仅头部企业达标。</w:t>
      </w:r>
    </w:p>
  </w:footnote>
  <w:footnote w:id="3">
    <w:p w14:paraId="5AEA98E5">
      <w:pPr>
        <w:pStyle w:val="14"/>
        <w:rPr>
          <w:rFonts w:eastAsia="仿宋"/>
        </w:rPr>
      </w:pPr>
      <w:r>
        <w:rPr>
          <w:rStyle w:val="24"/>
        </w:rPr>
        <w:footnoteRef/>
      </w:r>
      <w:r>
        <w:t xml:space="preserve"> </w:t>
      </w:r>
      <w:r>
        <w:rPr>
          <w:rFonts w:hint="eastAsia"/>
        </w:rPr>
        <w:t>PitchBook《2024年主权基金投资趋势报告》：2024年主权基金参与全球种子轮融资事件占比达27%（2023年为12%）。</w:t>
      </w:r>
    </w:p>
  </w:footnote>
  <w:footnote w:id="4">
    <w:p w14:paraId="65EFD1B5">
      <w:pPr>
        <w:pStyle w:val="14"/>
        <w:rPr>
          <w:rFonts w:eastAsia="仿宋"/>
        </w:rPr>
      </w:pPr>
      <w:r>
        <w:rPr>
          <w:rStyle w:val="24"/>
        </w:rPr>
        <w:footnoteRef/>
      </w:r>
      <w:r>
        <w:t xml:space="preserve"> </w:t>
      </w:r>
      <w:r>
        <w:rPr>
          <w:rFonts w:hint="eastAsia"/>
        </w:rPr>
        <w:t>早期一般指天使轮种子轮到A轮；成长期指B轮和C轮；后期指D轮到Pre-IPO。</w:t>
      </w:r>
    </w:p>
  </w:footnote>
  <w:footnote w:id="5">
    <w:p w14:paraId="51A783EE">
      <w:pPr>
        <w:pStyle w:val="14"/>
        <w:rPr>
          <w:rFonts w:eastAsia="仿宋"/>
        </w:rPr>
      </w:pPr>
      <w:r>
        <w:rPr>
          <w:rStyle w:val="24"/>
        </w:rPr>
        <w:footnoteRef/>
      </w:r>
      <w:r>
        <w:t xml:space="preserve"> </w:t>
      </w:r>
      <w:r>
        <w:rPr>
          <w:rFonts w:hint="eastAsia"/>
        </w:rPr>
        <w:t>创业邦《2024全球独角兽企业观察报告》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5ADB80"/>
    <w:multiLevelType w:val="multilevel"/>
    <w:tmpl w:val="455ADB80"/>
    <w:lvl w:ilvl="0" w:tentative="0">
      <w:start w:val="1"/>
      <w:numFmt w:val="decimal"/>
      <w:suff w:val="space"/>
      <w:lvlText w:val="%1."/>
      <w:lvlJc w:val="left"/>
      <w:pPr>
        <w:ind w:left="0" w:firstLine="0"/>
      </w:pPr>
      <w:rPr>
        <w:rFonts w:hint="default" w:ascii="Times New Roman" w:hAnsi="Times New Roman" w:cs="Times New Roman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footnotePr>
    <w:footnote w:id="12"/>
    <w:footnote w:id="13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OTlmOWQzYWIzZjg0MDA5YTQ3NWM2NjNhOTg4OTUyNTQifQ=="/>
    <w:docVar w:name="KSO_WPS_MARK_KEY" w:val="3faff029-ccbb-4094-920a-db7cb60b979d"/>
  </w:docVars>
  <w:rsids>
    <w:rsidRoot w:val="DEFE3C25"/>
    <w:rsid w:val="00001366"/>
    <w:rsid w:val="00007A53"/>
    <w:rsid w:val="00010ED1"/>
    <w:rsid w:val="000222BB"/>
    <w:rsid w:val="00022FFE"/>
    <w:rsid w:val="00032BA9"/>
    <w:rsid w:val="00033874"/>
    <w:rsid w:val="00044ECD"/>
    <w:rsid w:val="00057B7A"/>
    <w:rsid w:val="0007158A"/>
    <w:rsid w:val="00073729"/>
    <w:rsid w:val="0007603B"/>
    <w:rsid w:val="000935EB"/>
    <w:rsid w:val="000942B7"/>
    <w:rsid w:val="00097348"/>
    <w:rsid w:val="000A3A9E"/>
    <w:rsid w:val="000A5129"/>
    <w:rsid w:val="000B50DA"/>
    <w:rsid w:val="000B6251"/>
    <w:rsid w:val="000C1F41"/>
    <w:rsid w:val="000E2511"/>
    <w:rsid w:val="000E5844"/>
    <w:rsid w:val="000E7F81"/>
    <w:rsid w:val="0010038A"/>
    <w:rsid w:val="00103977"/>
    <w:rsid w:val="00103ADA"/>
    <w:rsid w:val="00115FBB"/>
    <w:rsid w:val="00117726"/>
    <w:rsid w:val="0012228D"/>
    <w:rsid w:val="00125441"/>
    <w:rsid w:val="00125552"/>
    <w:rsid w:val="00130B5E"/>
    <w:rsid w:val="00130E2B"/>
    <w:rsid w:val="00137087"/>
    <w:rsid w:val="001432C5"/>
    <w:rsid w:val="00154947"/>
    <w:rsid w:val="00155250"/>
    <w:rsid w:val="001555A7"/>
    <w:rsid w:val="00156047"/>
    <w:rsid w:val="001625FE"/>
    <w:rsid w:val="001633C0"/>
    <w:rsid w:val="00167AF3"/>
    <w:rsid w:val="00173807"/>
    <w:rsid w:val="0019368E"/>
    <w:rsid w:val="00195FBC"/>
    <w:rsid w:val="00196B49"/>
    <w:rsid w:val="00197BB7"/>
    <w:rsid w:val="001B1726"/>
    <w:rsid w:val="001B3DE4"/>
    <w:rsid w:val="001B72D3"/>
    <w:rsid w:val="001B77AB"/>
    <w:rsid w:val="001C2688"/>
    <w:rsid w:val="001C637E"/>
    <w:rsid w:val="001C6430"/>
    <w:rsid w:val="001D34DB"/>
    <w:rsid w:val="001E0B29"/>
    <w:rsid w:val="001E2282"/>
    <w:rsid w:val="001F0788"/>
    <w:rsid w:val="001F4C97"/>
    <w:rsid w:val="002042ED"/>
    <w:rsid w:val="00222FFE"/>
    <w:rsid w:val="0022385A"/>
    <w:rsid w:val="00223FC0"/>
    <w:rsid w:val="00231646"/>
    <w:rsid w:val="002337D0"/>
    <w:rsid w:val="002372D9"/>
    <w:rsid w:val="00243046"/>
    <w:rsid w:val="00247965"/>
    <w:rsid w:val="00253EFC"/>
    <w:rsid w:val="00262EBF"/>
    <w:rsid w:val="00263FFF"/>
    <w:rsid w:val="00270FC1"/>
    <w:rsid w:val="00272871"/>
    <w:rsid w:val="0027799B"/>
    <w:rsid w:val="00284342"/>
    <w:rsid w:val="00287D5C"/>
    <w:rsid w:val="0029466E"/>
    <w:rsid w:val="00295CFE"/>
    <w:rsid w:val="00297BD5"/>
    <w:rsid w:val="002A0018"/>
    <w:rsid w:val="002A622C"/>
    <w:rsid w:val="002C4184"/>
    <w:rsid w:val="002D46ED"/>
    <w:rsid w:val="002D5EAB"/>
    <w:rsid w:val="002D6996"/>
    <w:rsid w:val="002E3478"/>
    <w:rsid w:val="002F4E86"/>
    <w:rsid w:val="00305132"/>
    <w:rsid w:val="00311802"/>
    <w:rsid w:val="0031689C"/>
    <w:rsid w:val="0032175D"/>
    <w:rsid w:val="003220D1"/>
    <w:rsid w:val="003225AE"/>
    <w:rsid w:val="003233FE"/>
    <w:rsid w:val="00345AB4"/>
    <w:rsid w:val="0035012F"/>
    <w:rsid w:val="00350433"/>
    <w:rsid w:val="00352187"/>
    <w:rsid w:val="00361FBB"/>
    <w:rsid w:val="003621EC"/>
    <w:rsid w:val="0038193D"/>
    <w:rsid w:val="00393B8D"/>
    <w:rsid w:val="0039537A"/>
    <w:rsid w:val="003A47BD"/>
    <w:rsid w:val="003B0DBB"/>
    <w:rsid w:val="003B4EB9"/>
    <w:rsid w:val="003B5358"/>
    <w:rsid w:val="003B729A"/>
    <w:rsid w:val="003C0394"/>
    <w:rsid w:val="003C7390"/>
    <w:rsid w:val="003D36FF"/>
    <w:rsid w:val="003D3C8B"/>
    <w:rsid w:val="003E0A75"/>
    <w:rsid w:val="003E4358"/>
    <w:rsid w:val="00402741"/>
    <w:rsid w:val="004048C4"/>
    <w:rsid w:val="004174D0"/>
    <w:rsid w:val="00420B2A"/>
    <w:rsid w:val="00437841"/>
    <w:rsid w:val="00446469"/>
    <w:rsid w:val="004513D8"/>
    <w:rsid w:val="00463F11"/>
    <w:rsid w:val="0048036A"/>
    <w:rsid w:val="00480B10"/>
    <w:rsid w:val="00481793"/>
    <w:rsid w:val="00482537"/>
    <w:rsid w:val="00492AC0"/>
    <w:rsid w:val="0049520C"/>
    <w:rsid w:val="004960D3"/>
    <w:rsid w:val="004A4524"/>
    <w:rsid w:val="004B3CB2"/>
    <w:rsid w:val="004B3FA2"/>
    <w:rsid w:val="004B6AE9"/>
    <w:rsid w:val="004C4CB2"/>
    <w:rsid w:val="004C5F42"/>
    <w:rsid w:val="004D2F58"/>
    <w:rsid w:val="004D4E14"/>
    <w:rsid w:val="004D5FE6"/>
    <w:rsid w:val="004E3BF4"/>
    <w:rsid w:val="004E3C8E"/>
    <w:rsid w:val="004E583C"/>
    <w:rsid w:val="004F6354"/>
    <w:rsid w:val="00502008"/>
    <w:rsid w:val="0050273C"/>
    <w:rsid w:val="005062BD"/>
    <w:rsid w:val="00506B77"/>
    <w:rsid w:val="005076A6"/>
    <w:rsid w:val="00514A56"/>
    <w:rsid w:val="00517360"/>
    <w:rsid w:val="005240EE"/>
    <w:rsid w:val="00542084"/>
    <w:rsid w:val="00546CA2"/>
    <w:rsid w:val="00550880"/>
    <w:rsid w:val="005739D7"/>
    <w:rsid w:val="00575CFC"/>
    <w:rsid w:val="00576787"/>
    <w:rsid w:val="0058253A"/>
    <w:rsid w:val="00585243"/>
    <w:rsid w:val="00590146"/>
    <w:rsid w:val="00593C9E"/>
    <w:rsid w:val="005A1625"/>
    <w:rsid w:val="005A6741"/>
    <w:rsid w:val="005A78B0"/>
    <w:rsid w:val="005B4C97"/>
    <w:rsid w:val="005B66B2"/>
    <w:rsid w:val="005C1981"/>
    <w:rsid w:val="005E3DE0"/>
    <w:rsid w:val="005E6606"/>
    <w:rsid w:val="005F36BA"/>
    <w:rsid w:val="005F36C0"/>
    <w:rsid w:val="00602BB5"/>
    <w:rsid w:val="00603FB3"/>
    <w:rsid w:val="00613540"/>
    <w:rsid w:val="00614098"/>
    <w:rsid w:val="00615CA6"/>
    <w:rsid w:val="00630122"/>
    <w:rsid w:val="00632615"/>
    <w:rsid w:val="006416B2"/>
    <w:rsid w:val="00644B76"/>
    <w:rsid w:val="00662941"/>
    <w:rsid w:val="00670378"/>
    <w:rsid w:val="00670F00"/>
    <w:rsid w:val="006722B9"/>
    <w:rsid w:val="00686D46"/>
    <w:rsid w:val="006919CC"/>
    <w:rsid w:val="00692B89"/>
    <w:rsid w:val="006A764C"/>
    <w:rsid w:val="006B1C12"/>
    <w:rsid w:val="006C179E"/>
    <w:rsid w:val="006E3C67"/>
    <w:rsid w:val="006F31E4"/>
    <w:rsid w:val="006F4D23"/>
    <w:rsid w:val="007025E6"/>
    <w:rsid w:val="0071276B"/>
    <w:rsid w:val="00730D4F"/>
    <w:rsid w:val="00735799"/>
    <w:rsid w:val="00736A04"/>
    <w:rsid w:val="00737CD6"/>
    <w:rsid w:val="0074137F"/>
    <w:rsid w:val="00741FF6"/>
    <w:rsid w:val="007461A1"/>
    <w:rsid w:val="00752FC2"/>
    <w:rsid w:val="0077413B"/>
    <w:rsid w:val="00774685"/>
    <w:rsid w:val="0077501B"/>
    <w:rsid w:val="007805FE"/>
    <w:rsid w:val="0078516B"/>
    <w:rsid w:val="00792376"/>
    <w:rsid w:val="007B2B66"/>
    <w:rsid w:val="007C2F69"/>
    <w:rsid w:val="007C340E"/>
    <w:rsid w:val="007C6440"/>
    <w:rsid w:val="007D1687"/>
    <w:rsid w:val="007E4769"/>
    <w:rsid w:val="007F0A91"/>
    <w:rsid w:val="007F53B4"/>
    <w:rsid w:val="0080124A"/>
    <w:rsid w:val="00801C7D"/>
    <w:rsid w:val="0081378E"/>
    <w:rsid w:val="00821600"/>
    <w:rsid w:val="008225EC"/>
    <w:rsid w:val="00827560"/>
    <w:rsid w:val="00835A98"/>
    <w:rsid w:val="00845E27"/>
    <w:rsid w:val="00847223"/>
    <w:rsid w:val="00847645"/>
    <w:rsid w:val="00856369"/>
    <w:rsid w:val="00863378"/>
    <w:rsid w:val="00864816"/>
    <w:rsid w:val="00865AE4"/>
    <w:rsid w:val="00871178"/>
    <w:rsid w:val="008835C5"/>
    <w:rsid w:val="008B6DFF"/>
    <w:rsid w:val="008B7778"/>
    <w:rsid w:val="008C47F8"/>
    <w:rsid w:val="008D43D6"/>
    <w:rsid w:val="008D4FF3"/>
    <w:rsid w:val="008D7A02"/>
    <w:rsid w:val="008E11CB"/>
    <w:rsid w:val="00905003"/>
    <w:rsid w:val="009074CA"/>
    <w:rsid w:val="009118B8"/>
    <w:rsid w:val="00920E6C"/>
    <w:rsid w:val="00926A82"/>
    <w:rsid w:val="00942D67"/>
    <w:rsid w:val="00955796"/>
    <w:rsid w:val="00956DEA"/>
    <w:rsid w:val="00960D38"/>
    <w:rsid w:val="00963C93"/>
    <w:rsid w:val="00965850"/>
    <w:rsid w:val="009B1BBE"/>
    <w:rsid w:val="009B3100"/>
    <w:rsid w:val="009B44BA"/>
    <w:rsid w:val="009B4BF4"/>
    <w:rsid w:val="009C2DDF"/>
    <w:rsid w:val="009C2EC2"/>
    <w:rsid w:val="009D3023"/>
    <w:rsid w:val="009D4466"/>
    <w:rsid w:val="009E0E1F"/>
    <w:rsid w:val="009F057D"/>
    <w:rsid w:val="009F1ADE"/>
    <w:rsid w:val="009F6C8A"/>
    <w:rsid w:val="00A11215"/>
    <w:rsid w:val="00A245FE"/>
    <w:rsid w:val="00A368A9"/>
    <w:rsid w:val="00A41CDC"/>
    <w:rsid w:val="00A54370"/>
    <w:rsid w:val="00A60F30"/>
    <w:rsid w:val="00A807BE"/>
    <w:rsid w:val="00A80E18"/>
    <w:rsid w:val="00A81A61"/>
    <w:rsid w:val="00A83910"/>
    <w:rsid w:val="00A978EA"/>
    <w:rsid w:val="00AA35B2"/>
    <w:rsid w:val="00AA486C"/>
    <w:rsid w:val="00AA77A5"/>
    <w:rsid w:val="00AB39C2"/>
    <w:rsid w:val="00AC15B2"/>
    <w:rsid w:val="00AC7F75"/>
    <w:rsid w:val="00AD2E8A"/>
    <w:rsid w:val="00AD75CE"/>
    <w:rsid w:val="00AE34CB"/>
    <w:rsid w:val="00AE3DAB"/>
    <w:rsid w:val="00AE4357"/>
    <w:rsid w:val="00AF5BB0"/>
    <w:rsid w:val="00B035AF"/>
    <w:rsid w:val="00B17F96"/>
    <w:rsid w:val="00B400DF"/>
    <w:rsid w:val="00B5174D"/>
    <w:rsid w:val="00B537ED"/>
    <w:rsid w:val="00B55B3E"/>
    <w:rsid w:val="00B57569"/>
    <w:rsid w:val="00B576B1"/>
    <w:rsid w:val="00B6619D"/>
    <w:rsid w:val="00B90227"/>
    <w:rsid w:val="00B96FCD"/>
    <w:rsid w:val="00B9770D"/>
    <w:rsid w:val="00B97DCB"/>
    <w:rsid w:val="00BA3A3E"/>
    <w:rsid w:val="00BB0B1F"/>
    <w:rsid w:val="00BD37FE"/>
    <w:rsid w:val="00BF0962"/>
    <w:rsid w:val="00C0486F"/>
    <w:rsid w:val="00C12A7B"/>
    <w:rsid w:val="00C207F9"/>
    <w:rsid w:val="00C35F63"/>
    <w:rsid w:val="00C3721C"/>
    <w:rsid w:val="00C50023"/>
    <w:rsid w:val="00C51EB2"/>
    <w:rsid w:val="00C53428"/>
    <w:rsid w:val="00C60E31"/>
    <w:rsid w:val="00C70BA2"/>
    <w:rsid w:val="00C71BE3"/>
    <w:rsid w:val="00C72211"/>
    <w:rsid w:val="00C8692C"/>
    <w:rsid w:val="00C871B2"/>
    <w:rsid w:val="00C93CF9"/>
    <w:rsid w:val="00C96902"/>
    <w:rsid w:val="00CA6638"/>
    <w:rsid w:val="00CC2520"/>
    <w:rsid w:val="00CE0307"/>
    <w:rsid w:val="00CE054C"/>
    <w:rsid w:val="00CE5961"/>
    <w:rsid w:val="00D27512"/>
    <w:rsid w:val="00D47D66"/>
    <w:rsid w:val="00D548C9"/>
    <w:rsid w:val="00D54B84"/>
    <w:rsid w:val="00D55DC8"/>
    <w:rsid w:val="00D6045D"/>
    <w:rsid w:val="00D748C0"/>
    <w:rsid w:val="00D77596"/>
    <w:rsid w:val="00D93CDC"/>
    <w:rsid w:val="00DA20E6"/>
    <w:rsid w:val="00DA6A97"/>
    <w:rsid w:val="00DB04E2"/>
    <w:rsid w:val="00DB588E"/>
    <w:rsid w:val="00DC7584"/>
    <w:rsid w:val="00DD6780"/>
    <w:rsid w:val="00E03BD3"/>
    <w:rsid w:val="00E1011A"/>
    <w:rsid w:val="00E75F91"/>
    <w:rsid w:val="00E8384A"/>
    <w:rsid w:val="00E85D15"/>
    <w:rsid w:val="00E95E8D"/>
    <w:rsid w:val="00EB0C22"/>
    <w:rsid w:val="00EB21A1"/>
    <w:rsid w:val="00ED1293"/>
    <w:rsid w:val="00ED401B"/>
    <w:rsid w:val="00EE218D"/>
    <w:rsid w:val="00F01CDA"/>
    <w:rsid w:val="00F12A98"/>
    <w:rsid w:val="00F13462"/>
    <w:rsid w:val="00F25D6C"/>
    <w:rsid w:val="00F31298"/>
    <w:rsid w:val="00F33313"/>
    <w:rsid w:val="00F46B9D"/>
    <w:rsid w:val="00F529BD"/>
    <w:rsid w:val="00F534D9"/>
    <w:rsid w:val="00F572B0"/>
    <w:rsid w:val="00F66CA6"/>
    <w:rsid w:val="00F76AA9"/>
    <w:rsid w:val="00F97100"/>
    <w:rsid w:val="00F97981"/>
    <w:rsid w:val="00FA595A"/>
    <w:rsid w:val="00FB068E"/>
    <w:rsid w:val="00FB57EA"/>
    <w:rsid w:val="00FC458D"/>
    <w:rsid w:val="00FD47C3"/>
    <w:rsid w:val="00FD4DCE"/>
    <w:rsid w:val="00FE4205"/>
    <w:rsid w:val="01B823FD"/>
    <w:rsid w:val="01EC2CF0"/>
    <w:rsid w:val="029A6F1D"/>
    <w:rsid w:val="02AF6FD3"/>
    <w:rsid w:val="02B04EBD"/>
    <w:rsid w:val="02C663CC"/>
    <w:rsid w:val="03365429"/>
    <w:rsid w:val="034321D6"/>
    <w:rsid w:val="03531195"/>
    <w:rsid w:val="035F6E0B"/>
    <w:rsid w:val="03F971C7"/>
    <w:rsid w:val="042B7682"/>
    <w:rsid w:val="04390EE3"/>
    <w:rsid w:val="04531FA4"/>
    <w:rsid w:val="04537C44"/>
    <w:rsid w:val="046706E3"/>
    <w:rsid w:val="04683920"/>
    <w:rsid w:val="047C7CBC"/>
    <w:rsid w:val="04CB33B9"/>
    <w:rsid w:val="053E4A03"/>
    <w:rsid w:val="054305F2"/>
    <w:rsid w:val="05504457"/>
    <w:rsid w:val="055902F4"/>
    <w:rsid w:val="05787226"/>
    <w:rsid w:val="05852631"/>
    <w:rsid w:val="05882122"/>
    <w:rsid w:val="05B70322"/>
    <w:rsid w:val="05C87D10"/>
    <w:rsid w:val="05ED37A4"/>
    <w:rsid w:val="05F23A3F"/>
    <w:rsid w:val="05F82070"/>
    <w:rsid w:val="06020F05"/>
    <w:rsid w:val="065E549B"/>
    <w:rsid w:val="067D77AC"/>
    <w:rsid w:val="06AA2D07"/>
    <w:rsid w:val="06B70F2C"/>
    <w:rsid w:val="06C5087C"/>
    <w:rsid w:val="06DF7A1F"/>
    <w:rsid w:val="06E17D3B"/>
    <w:rsid w:val="071661B3"/>
    <w:rsid w:val="073A0A71"/>
    <w:rsid w:val="073E2FFF"/>
    <w:rsid w:val="076411DC"/>
    <w:rsid w:val="07A60B77"/>
    <w:rsid w:val="07AD1C2A"/>
    <w:rsid w:val="07C37441"/>
    <w:rsid w:val="08195317"/>
    <w:rsid w:val="082C1ADF"/>
    <w:rsid w:val="083656B3"/>
    <w:rsid w:val="084A7B62"/>
    <w:rsid w:val="08664F75"/>
    <w:rsid w:val="08D10EE5"/>
    <w:rsid w:val="08D938E8"/>
    <w:rsid w:val="08FB0871"/>
    <w:rsid w:val="092775FD"/>
    <w:rsid w:val="0930288B"/>
    <w:rsid w:val="094A5796"/>
    <w:rsid w:val="0975766B"/>
    <w:rsid w:val="097C2FDB"/>
    <w:rsid w:val="09CA2BFF"/>
    <w:rsid w:val="09ED18B2"/>
    <w:rsid w:val="09F8698D"/>
    <w:rsid w:val="0A062677"/>
    <w:rsid w:val="0A2D721E"/>
    <w:rsid w:val="0A4E65AD"/>
    <w:rsid w:val="0A5872C5"/>
    <w:rsid w:val="0A85596B"/>
    <w:rsid w:val="0A951D06"/>
    <w:rsid w:val="0AB172C5"/>
    <w:rsid w:val="0B06640F"/>
    <w:rsid w:val="0B48456F"/>
    <w:rsid w:val="0B5F3C6D"/>
    <w:rsid w:val="0B9A495D"/>
    <w:rsid w:val="0BEA317F"/>
    <w:rsid w:val="0BF16C73"/>
    <w:rsid w:val="0BF96B9F"/>
    <w:rsid w:val="0BFE6C9A"/>
    <w:rsid w:val="0C215555"/>
    <w:rsid w:val="0CAD6809"/>
    <w:rsid w:val="0CB92CEF"/>
    <w:rsid w:val="0D1A5890"/>
    <w:rsid w:val="0D682F64"/>
    <w:rsid w:val="0D707906"/>
    <w:rsid w:val="0D711827"/>
    <w:rsid w:val="0D886A7D"/>
    <w:rsid w:val="0D940896"/>
    <w:rsid w:val="0DA6583B"/>
    <w:rsid w:val="0DAD6FD6"/>
    <w:rsid w:val="0DB31059"/>
    <w:rsid w:val="0DB558E3"/>
    <w:rsid w:val="0E2844A2"/>
    <w:rsid w:val="0E607EB8"/>
    <w:rsid w:val="0E6F20D1"/>
    <w:rsid w:val="0E8F74A2"/>
    <w:rsid w:val="0EAA5418"/>
    <w:rsid w:val="0EE54141"/>
    <w:rsid w:val="0EEC6FEF"/>
    <w:rsid w:val="0EF6634E"/>
    <w:rsid w:val="0F12703B"/>
    <w:rsid w:val="0FCD4A3E"/>
    <w:rsid w:val="0FD05BAA"/>
    <w:rsid w:val="0FEB7193"/>
    <w:rsid w:val="10070644"/>
    <w:rsid w:val="102F2417"/>
    <w:rsid w:val="104444E2"/>
    <w:rsid w:val="104A03F4"/>
    <w:rsid w:val="106179D9"/>
    <w:rsid w:val="108B0E85"/>
    <w:rsid w:val="10927A29"/>
    <w:rsid w:val="10991687"/>
    <w:rsid w:val="10B169D0"/>
    <w:rsid w:val="10D946FC"/>
    <w:rsid w:val="10EA3337"/>
    <w:rsid w:val="11064F20"/>
    <w:rsid w:val="110B3FD0"/>
    <w:rsid w:val="118303ED"/>
    <w:rsid w:val="118E564E"/>
    <w:rsid w:val="121416B2"/>
    <w:rsid w:val="123F625E"/>
    <w:rsid w:val="12C968B9"/>
    <w:rsid w:val="12D50B1E"/>
    <w:rsid w:val="133F383B"/>
    <w:rsid w:val="13586A75"/>
    <w:rsid w:val="137103E8"/>
    <w:rsid w:val="1373178C"/>
    <w:rsid w:val="142F4B74"/>
    <w:rsid w:val="1458051E"/>
    <w:rsid w:val="147F2D9D"/>
    <w:rsid w:val="1489710A"/>
    <w:rsid w:val="14BC7226"/>
    <w:rsid w:val="14CE6EE4"/>
    <w:rsid w:val="14EA54DA"/>
    <w:rsid w:val="151A3F56"/>
    <w:rsid w:val="153C38BA"/>
    <w:rsid w:val="15963E4E"/>
    <w:rsid w:val="15AC6516"/>
    <w:rsid w:val="15B13A10"/>
    <w:rsid w:val="16440EF3"/>
    <w:rsid w:val="1695469E"/>
    <w:rsid w:val="16986D47"/>
    <w:rsid w:val="16E80B41"/>
    <w:rsid w:val="1735378C"/>
    <w:rsid w:val="176A49A2"/>
    <w:rsid w:val="17C92852"/>
    <w:rsid w:val="17FF6D90"/>
    <w:rsid w:val="18050918"/>
    <w:rsid w:val="181C076B"/>
    <w:rsid w:val="18591525"/>
    <w:rsid w:val="1890336F"/>
    <w:rsid w:val="194B1354"/>
    <w:rsid w:val="195B1BCF"/>
    <w:rsid w:val="195D0432"/>
    <w:rsid w:val="196FC48D"/>
    <w:rsid w:val="19830A92"/>
    <w:rsid w:val="19DF5378"/>
    <w:rsid w:val="19E87522"/>
    <w:rsid w:val="1A16539E"/>
    <w:rsid w:val="1A1B310D"/>
    <w:rsid w:val="1A590ADD"/>
    <w:rsid w:val="1A7F4799"/>
    <w:rsid w:val="1AA5120A"/>
    <w:rsid w:val="1AB23D3C"/>
    <w:rsid w:val="1B2A130E"/>
    <w:rsid w:val="1B324C1D"/>
    <w:rsid w:val="1BBB4257"/>
    <w:rsid w:val="1BC94E1B"/>
    <w:rsid w:val="1BEB10C9"/>
    <w:rsid w:val="1BF241CC"/>
    <w:rsid w:val="1C735BDD"/>
    <w:rsid w:val="1C7A236C"/>
    <w:rsid w:val="1C916D96"/>
    <w:rsid w:val="1CC17F9B"/>
    <w:rsid w:val="1CC61A56"/>
    <w:rsid w:val="1CE83F65"/>
    <w:rsid w:val="1D0936F0"/>
    <w:rsid w:val="1D0D567D"/>
    <w:rsid w:val="1D474B64"/>
    <w:rsid w:val="1D79484E"/>
    <w:rsid w:val="1D886CA1"/>
    <w:rsid w:val="1D895894"/>
    <w:rsid w:val="1DAB6AB9"/>
    <w:rsid w:val="1DBB50CA"/>
    <w:rsid w:val="1DEF162F"/>
    <w:rsid w:val="1E893F5A"/>
    <w:rsid w:val="1EC30049"/>
    <w:rsid w:val="1F0217F7"/>
    <w:rsid w:val="1F282ABC"/>
    <w:rsid w:val="1F4153C3"/>
    <w:rsid w:val="1F466DC3"/>
    <w:rsid w:val="1F5F4111"/>
    <w:rsid w:val="1F8308F5"/>
    <w:rsid w:val="1FB34E14"/>
    <w:rsid w:val="1FBD59CA"/>
    <w:rsid w:val="1FD71563"/>
    <w:rsid w:val="1FF53E42"/>
    <w:rsid w:val="1FFD1AC0"/>
    <w:rsid w:val="201900EE"/>
    <w:rsid w:val="203B0065"/>
    <w:rsid w:val="204B33C7"/>
    <w:rsid w:val="206779FF"/>
    <w:rsid w:val="20A71427"/>
    <w:rsid w:val="20B14FC9"/>
    <w:rsid w:val="20E601F2"/>
    <w:rsid w:val="210448FA"/>
    <w:rsid w:val="210F6ACF"/>
    <w:rsid w:val="21520E8A"/>
    <w:rsid w:val="21897A7B"/>
    <w:rsid w:val="21AF53DA"/>
    <w:rsid w:val="21B77424"/>
    <w:rsid w:val="21E579BE"/>
    <w:rsid w:val="22263AC9"/>
    <w:rsid w:val="2232170D"/>
    <w:rsid w:val="224F73A8"/>
    <w:rsid w:val="228952B8"/>
    <w:rsid w:val="22A721B0"/>
    <w:rsid w:val="23244DE0"/>
    <w:rsid w:val="2349376D"/>
    <w:rsid w:val="23700E6E"/>
    <w:rsid w:val="23796D29"/>
    <w:rsid w:val="23FF33DD"/>
    <w:rsid w:val="247D3812"/>
    <w:rsid w:val="24A361D8"/>
    <w:rsid w:val="24AE6179"/>
    <w:rsid w:val="24C56B1E"/>
    <w:rsid w:val="24CE6A0D"/>
    <w:rsid w:val="24E76E19"/>
    <w:rsid w:val="250F02DD"/>
    <w:rsid w:val="25485291"/>
    <w:rsid w:val="255A051B"/>
    <w:rsid w:val="256F255E"/>
    <w:rsid w:val="258B383C"/>
    <w:rsid w:val="25B74631"/>
    <w:rsid w:val="26261778"/>
    <w:rsid w:val="26325A66"/>
    <w:rsid w:val="263D14C7"/>
    <w:rsid w:val="267A5FE7"/>
    <w:rsid w:val="26D53B9E"/>
    <w:rsid w:val="26ED4AA4"/>
    <w:rsid w:val="27616DA3"/>
    <w:rsid w:val="2797667A"/>
    <w:rsid w:val="27A96EC8"/>
    <w:rsid w:val="27D55F47"/>
    <w:rsid w:val="27EE7E59"/>
    <w:rsid w:val="28265BDF"/>
    <w:rsid w:val="28642929"/>
    <w:rsid w:val="28787368"/>
    <w:rsid w:val="28B51839"/>
    <w:rsid w:val="290D12D5"/>
    <w:rsid w:val="290D1354"/>
    <w:rsid w:val="29352718"/>
    <w:rsid w:val="294D4FBE"/>
    <w:rsid w:val="297D60CC"/>
    <w:rsid w:val="29946B21"/>
    <w:rsid w:val="29AC3D81"/>
    <w:rsid w:val="29AE5D4B"/>
    <w:rsid w:val="29FB1288"/>
    <w:rsid w:val="2A241B69"/>
    <w:rsid w:val="2A7B0204"/>
    <w:rsid w:val="2AD410C5"/>
    <w:rsid w:val="2AE92993"/>
    <w:rsid w:val="2AFE0959"/>
    <w:rsid w:val="2B6C39C0"/>
    <w:rsid w:val="2B6F4A8D"/>
    <w:rsid w:val="2B7A1BD5"/>
    <w:rsid w:val="2B866549"/>
    <w:rsid w:val="2BAE22DA"/>
    <w:rsid w:val="2BFE64D6"/>
    <w:rsid w:val="2C25598C"/>
    <w:rsid w:val="2C2D3F3C"/>
    <w:rsid w:val="2C9141F4"/>
    <w:rsid w:val="2CBA5515"/>
    <w:rsid w:val="2CC22E30"/>
    <w:rsid w:val="2D4401DD"/>
    <w:rsid w:val="2D6052E2"/>
    <w:rsid w:val="2DCA641A"/>
    <w:rsid w:val="2DDF2372"/>
    <w:rsid w:val="2DE45595"/>
    <w:rsid w:val="2F191E58"/>
    <w:rsid w:val="2F4960B7"/>
    <w:rsid w:val="2F9B61AA"/>
    <w:rsid w:val="2FC174CE"/>
    <w:rsid w:val="2FC54DD2"/>
    <w:rsid w:val="2FD50250"/>
    <w:rsid w:val="300C7328"/>
    <w:rsid w:val="302B680E"/>
    <w:rsid w:val="306B70E9"/>
    <w:rsid w:val="306C5FDC"/>
    <w:rsid w:val="30712F66"/>
    <w:rsid w:val="30D35497"/>
    <w:rsid w:val="312B755A"/>
    <w:rsid w:val="313D4F53"/>
    <w:rsid w:val="314B3E80"/>
    <w:rsid w:val="31505248"/>
    <w:rsid w:val="315A0567"/>
    <w:rsid w:val="315D3515"/>
    <w:rsid w:val="3176461F"/>
    <w:rsid w:val="3199108F"/>
    <w:rsid w:val="31B53264"/>
    <w:rsid w:val="31B5579D"/>
    <w:rsid w:val="31CA2165"/>
    <w:rsid w:val="31D04385"/>
    <w:rsid w:val="32051470"/>
    <w:rsid w:val="320B19D8"/>
    <w:rsid w:val="32C45280"/>
    <w:rsid w:val="32CE61B4"/>
    <w:rsid w:val="332C2451"/>
    <w:rsid w:val="333F6177"/>
    <w:rsid w:val="336376A2"/>
    <w:rsid w:val="336656DF"/>
    <w:rsid w:val="33847C57"/>
    <w:rsid w:val="33B5208A"/>
    <w:rsid w:val="33D74935"/>
    <w:rsid w:val="3402712B"/>
    <w:rsid w:val="343E1A7A"/>
    <w:rsid w:val="344A2B14"/>
    <w:rsid w:val="3452461E"/>
    <w:rsid w:val="345D2848"/>
    <w:rsid w:val="3467430D"/>
    <w:rsid w:val="34747C4C"/>
    <w:rsid w:val="349C16A8"/>
    <w:rsid w:val="34A1773A"/>
    <w:rsid w:val="34C06933"/>
    <w:rsid w:val="34C156E0"/>
    <w:rsid w:val="34E11315"/>
    <w:rsid w:val="35060887"/>
    <w:rsid w:val="351F7C8A"/>
    <w:rsid w:val="352670DE"/>
    <w:rsid w:val="35305866"/>
    <w:rsid w:val="35673C9F"/>
    <w:rsid w:val="35D34B8F"/>
    <w:rsid w:val="360C23A9"/>
    <w:rsid w:val="362F5B1E"/>
    <w:rsid w:val="36581519"/>
    <w:rsid w:val="36703B69"/>
    <w:rsid w:val="36A66732"/>
    <w:rsid w:val="36A9649C"/>
    <w:rsid w:val="36C1742D"/>
    <w:rsid w:val="37074160"/>
    <w:rsid w:val="3733163E"/>
    <w:rsid w:val="376C68FE"/>
    <w:rsid w:val="37841E99"/>
    <w:rsid w:val="37A15CAF"/>
    <w:rsid w:val="37C14E9C"/>
    <w:rsid w:val="37CC7825"/>
    <w:rsid w:val="380B4369"/>
    <w:rsid w:val="38156F95"/>
    <w:rsid w:val="381F3366"/>
    <w:rsid w:val="38471A2C"/>
    <w:rsid w:val="385D3898"/>
    <w:rsid w:val="385E0E1F"/>
    <w:rsid w:val="389205E6"/>
    <w:rsid w:val="38B92017"/>
    <w:rsid w:val="38C9516C"/>
    <w:rsid w:val="38D95293"/>
    <w:rsid w:val="390D345A"/>
    <w:rsid w:val="393271E7"/>
    <w:rsid w:val="39981C2C"/>
    <w:rsid w:val="399C4F17"/>
    <w:rsid w:val="39C42A21"/>
    <w:rsid w:val="39D2513E"/>
    <w:rsid w:val="39DE7F87"/>
    <w:rsid w:val="3A17493F"/>
    <w:rsid w:val="3A23599A"/>
    <w:rsid w:val="3A2B16AE"/>
    <w:rsid w:val="3A378548"/>
    <w:rsid w:val="3A3C54EB"/>
    <w:rsid w:val="3A43479E"/>
    <w:rsid w:val="3A577D39"/>
    <w:rsid w:val="3A5D37E8"/>
    <w:rsid w:val="3A7867B6"/>
    <w:rsid w:val="3AB1777F"/>
    <w:rsid w:val="3B223EA3"/>
    <w:rsid w:val="3B451940"/>
    <w:rsid w:val="3B555C61"/>
    <w:rsid w:val="3B7346FF"/>
    <w:rsid w:val="3B78076B"/>
    <w:rsid w:val="3BB048EC"/>
    <w:rsid w:val="3BDA6648"/>
    <w:rsid w:val="3BDC68D2"/>
    <w:rsid w:val="3C033CD5"/>
    <w:rsid w:val="3C396536"/>
    <w:rsid w:val="3C451CCE"/>
    <w:rsid w:val="3C586481"/>
    <w:rsid w:val="3C6127A9"/>
    <w:rsid w:val="3C98442D"/>
    <w:rsid w:val="3CDC39A1"/>
    <w:rsid w:val="3CFC6F12"/>
    <w:rsid w:val="3D0C5DF2"/>
    <w:rsid w:val="3D110F27"/>
    <w:rsid w:val="3D3B2FFA"/>
    <w:rsid w:val="3D3C38AD"/>
    <w:rsid w:val="3D4A148F"/>
    <w:rsid w:val="3D6C7EA5"/>
    <w:rsid w:val="3D8778EE"/>
    <w:rsid w:val="3DB014E7"/>
    <w:rsid w:val="3DED39AB"/>
    <w:rsid w:val="3DF24914"/>
    <w:rsid w:val="3E001634"/>
    <w:rsid w:val="3E2B3602"/>
    <w:rsid w:val="3E58094B"/>
    <w:rsid w:val="3E5A36E0"/>
    <w:rsid w:val="3EA8373C"/>
    <w:rsid w:val="3EDB3CFF"/>
    <w:rsid w:val="3EF13485"/>
    <w:rsid w:val="3F0013BC"/>
    <w:rsid w:val="3F250D36"/>
    <w:rsid w:val="3F28099A"/>
    <w:rsid w:val="3F7941EB"/>
    <w:rsid w:val="3FAA4467"/>
    <w:rsid w:val="3FB04CA3"/>
    <w:rsid w:val="3FB3B5D2"/>
    <w:rsid w:val="3FB934FA"/>
    <w:rsid w:val="3FBD3AE8"/>
    <w:rsid w:val="3FCB6178"/>
    <w:rsid w:val="3FCFB94C"/>
    <w:rsid w:val="3FF83E76"/>
    <w:rsid w:val="401A5433"/>
    <w:rsid w:val="40221906"/>
    <w:rsid w:val="40414C6F"/>
    <w:rsid w:val="405C4927"/>
    <w:rsid w:val="40786313"/>
    <w:rsid w:val="409C74A8"/>
    <w:rsid w:val="40A84E4B"/>
    <w:rsid w:val="40C02459"/>
    <w:rsid w:val="40E57C3D"/>
    <w:rsid w:val="41125982"/>
    <w:rsid w:val="411701C3"/>
    <w:rsid w:val="415E5E79"/>
    <w:rsid w:val="419D6D4A"/>
    <w:rsid w:val="41AF3821"/>
    <w:rsid w:val="41C871F3"/>
    <w:rsid w:val="423955B0"/>
    <w:rsid w:val="42445E8F"/>
    <w:rsid w:val="4270093A"/>
    <w:rsid w:val="427C4FD3"/>
    <w:rsid w:val="42A638A3"/>
    <w:rsid w:val="42A67A9D"/>
    <w:rsid w:val="42A85A56"/>
    <w:rsid w:val="42BE66AE"/>
    <w:rsid w:val="42C9569F"/>
    <w:rsid w:val="430C350C"/>
    <w:rsid w:val="434F5A51"/>
    <w:rsid w:val="434F7E75"/>
    <w:rsid w:val="43843A68"/>
    <w:rsid w:val="439B2A45"/>
    <w:rsid w:val="440459D0"/>
    <w:rsid w:val="443A7A8B"/>
    <w:rsid w:val="44615A3C"/>
    <w:rsid w:val="44643CC2"/>
    <w:rsid w:val="44A42688"/>
    <w:rsid w:val="44A616A1"/>
    <w:rsid w:val="44C50FE3"/>
    <w:rsid w:val="44CE74A2"/>
    <w:rsid w:val="450E1A35"/>
    <w:rsid w:val="451A4427"/>
    <w:rsid w:val="454D6577"/>
    <w:rsid w:val="455C6204"/>
    <w:rsid w:val="456115CB"/>
    <w:rsid w:val="45796DB6"/>
    <w:rsid w:val="457C2FEA"/>
    <w:rsid w:val="458C0143"/>
    <w:rsid w:val="4596107E"/>
    <w:rsid w:val="46C4652A"/>
    <w:rsid w:val="46DD3819"/>
    <w:rsid w:val="46FA5CD4"/>
    <w:rsid w:val="471843AC"/>
    <w:rsid w:val="473C332E"/>
    <w:rsid w:val="475EF387"/>
    <w:rsid w:val="477D29CB"/>
    <w:rsid w:val="478758D4"/>
    <w:rsid w:val="479C59B0"/>
    <w:rsid w:val="47BC5B72"/>
    <w:rsid w:val="47CB7671"/>
    <w:rsid w:val="47DE5D05"/>
    <w:rsid w:val="47EB4B00"/>
    <w:rsid w:val="483376F0"/>
    <w:rsid w:val="48457F19"/>
    <w:rsid w:val="485E15E9"/>
    <w:rsid w:val="48614D4E"/>
    <w:rsid w:val="48671147"/>
    <w:rsid w:val="48730524"/>
    <w:rsid w:val="48AC6670"/>
    <w:rsid w:val="48D04F3E"/>
    <w:rsid w:val="48E60A88"/>
    <w:rsid w:val="49057492"/>
    <w:rsid w:val="495B4CB4"/>
    <w:rsid w:val="49870263"/>
    <w:rsid w:val="499956ED"/>
    <w:rsid w:val="499C4BA1"/>
    <w:rsid w:val="49A40179"/>
    <w:rsid w:val="49A75727"/>
    <w:rsid w:val="49FE675C"/>
    <w:rsid w:val="4A484439"/>
    <w:rsid w:val="4A555CFD"/>
    <w:rsid w:val="4A564FA1"/>
    <w:rsid w:val="4ADF4045"/>
    <w:rsid w:val="4B26353C"/>
    <w:rsid w:val="4B2F0475"/>
    <w:rsid w:val="4B340B06"/>
    <w:rsid w:val="4B421A12"/>
    <w:rsid w:val="4B4F448B"/>
    <w:rsid w:val="4B6667B4"/>
    <w:rsid w:val="4B7E1D99"/>
    <w:rsid w:val="4B8263F2"/>
    <w:rsid w:val="4BA24FCF"/>
    <w:rsid w:val="4BB424CE"/>
    <w:rsid w:val="4BCC70B0"/>
    <w:rsid w:val="4C15710C"/>
    <w:rsid w:val="4C235CCD"/>
    <w:rsid w:val="4C253FB2"/>
    <w:rsid w:val="4C513297"/>
    <w:rsid w:val="4CEB500C"/>
    <w:rsid w:val="4D1D621F"/>
    <w:rsid w:val="4D5F117A"/>
    <w:rsid w:val="4E686959"/>
    <w:rsid w:val="4EA35156"/>
    <w:rsid w:val="4EF456FF"/>
    <w:rsid w:val="4F1F04E9"/>
    <w:rsid w:val="4F27672C"/>
    <w:rsid w:val="4F4164C3"/>
    <w:rsid w:val="4F4A1E9C"/>
    <w:rsid w:val="4F756840"/>
    <w:rsid w:val="4FAB2139"/>
    <w:rsid w:val="4FE15AE0"/>
    <w:rsid w:val="4FEC1DF7"/>
    <w:rsid w:val="4FED424E"/>
    <w:rsid w:val="4FEE65F2"/>
    <w:rsid w:val="4FF03AE1"/>
    <w:rsid w:val="500343F5"/>
    <w:rsid w:val="500E1D1A"/>
    <w:rsid w:val="50280C66"/>
    <w:rsid w:val="502D784C"/>
    <w:rsid w:val="50336321"/>
    <w:rsid w:val="50514A35"/>
    <w:rsid w:val="506E5C81"/>
    <w:rsid w:val="50A3063C"/>
    <w:rsid w:val="50B36B51"/>
    <w:rsid w:val="51031418"/>
    <w:rsid w:val="5112250A"/>
    <w:rsid w:val="51223359"/>
    <w:rsid w:val="51327193"/>
    <w:rsid w:val="5147578D"/>
    <w:rsid w:val="51643BC8"/>
    <w:rsid w:val="51BA6B9E"/>
    <w:rsid w:val="51E2298B"/>
    <w:rsid w:val="51FF4BC6"/>
    <w:rsid w:val="52473B44"/>
    <w:rsid w:val="52CB326A"/>
    <w:rsid w:val="5312166A"/>
    <w:rsid w:val="53146245"/>
    <w:rsid w:val="531C4901"/>
    <w:rsid w:val="537C054F"/>
    <w:rsid w:val="539F4C8A"/>
    <w:rsid w:val="542A0FD3"/>
    <w:rsid w:val="54300F87"/>
    <w:rsid w:val="549F5A14"/>
    <w:rsid w:val="54B40859"/>
    <w:rsid w:val="54E51D72"/>
    <w:rsid w:val="55010E98"/>
    <w:rsid w:val="551D2A05"/>
    <w:rsid w:val="55240BCB"/>
    <w:rsid w:val="55971CB6"/>
    <w:rsid w:val="559B23FE"/>
    <w:rsid w:val="55B673E8"/>
    <w:rsid w:val="55FD758F"/>
    <w:rsid w:val="55FE20C0"/>
    <w:rsid w:val="562E2E5F"/>
    <w:rsid w:val="563F392E"/>
    <w:rsid w:val="564A68CA"/>
    <w:rsid w:val="566E7EE2"/>
    <w:rsid w:val="5671294F"/>
    <w:rsid w:val="56850FC1"/>
    <w:rsid w:val="56B066E6"/>
    <w:rsid w:val="56C4466C"/>
    <w:rsid w:val="56F02C50"/>
    <w:rsid w:val="56F67CF1"/>
    <w:rsid w:val="56FA5D6C"/>
    <w:rsid w:val="575F2317"/>
    <w:rsid w:val="57634A84"/>
    <w:rsid w:val="57803FD4"/>
    <w:rsid w:val="57804F3A"/>
    <w:rsid w:val="57BF2D4E"/>
    <w:rsid w:val="57E502DB"/>
    <w:rsid w:val="58045B99"/>
    <w:rsid w:val="58321C50"/>
    <w:rsid w:val="586A4AFB"/>
    <w:rsid w:val="58BD16A4"/>
    <w:rsid w:val="58DD073C"/>
    <w:rsid w:val="58E17BBF"/>
    <w:rsid w:val="58E42607"/>
    <w:rsid w:val="58F9381B"/>
    <w:rsid w:val="592F41CC"/>
    <w:rsid w:val="59305585"/>
    <w:rsid w:val="594B23BF"/>
    <w:rsid w:val="5952700C"/>
    <w:rsid w:val="597A0D44"/>
    <w:rsid w:val="59B5677A"/>
    <w:rsid w:val="59C83A10"/>
    <w:rsid w:val="59C96E47"/>
    <w:rsid w:val="59CA7788"/>
    <w:rsid w:val="5A1B7FE4"/>
    <w:rsid w:val="5A2518E1"/>
    <w:rsid w:val="5A2C0443"/>
    <w:rsid w:val="5A38496F"/>
    <w:rsid w:val="5A390967"/>
    <w:rsid w:val="5A3B5EB4"/>
    <w:rsid w:val="5A3F2AAB"/>
    <w:rsid w:val="5A6E3C60"/>
    <w:rsid w:val="5AB3646E"/>
    <w:rsid w:val="5ABB160F"/>
    <w:rsid w:val="5ADF54B5"/>
    <w:rsid w:val="5B0E4C40"/>
    <w:rsid w:val="5B106A89"/>
    <w:rsid w:val="5B5419FF"/>
    <w:rsid w:val="5B6B27B4"/>
    <w:rsid w:val="5B772C21"/>
    <w:rsid w:val="5BCA1926"/>
    <w:rsid w:val="5BCD464D"/>
    <w:rsid w:val="5BE2627F"/>
    <w:rsid w:val="5C0351D3"/>
    <w:rsid w:val="5C03524B"/>
    <w:rsid w:val="5C5679F9"/>
    <w:rsid w:val="5C8D0B16"/>
    <w:rsid w:val="5C8E6EF8"/>
    <w:rsid w:val="5CA93F11"/>
    <w:rsid w:val="5CBF5E0C"/>
    <w:rsid w:val="5CD41043"/>
    <w:rsid w:val="5CDB2D73"/>
    <w:rsid w:val="5CE768A3"/>
    <w:rsid w:val="5D6179FB"/>
    <w:rsid w:val="5D751A7B"/>
    <w:rsid w:val="5D867E6A"/>
    <w:rsid w:val="5DC8192D"/>
    <w:rsid w:val="5DD46FD6"/>
    <w:rsid w:val="5DE33AA5"/>
    <w:rsid w:val="5DE47831"/>
    <w:rsid w:val="5E0349F2"/>
    <w:rsid w:val="5E9C37CB"/>
    <w:rsid w:val="5EA93E10"/>
    <w:rsid w:val="5ECC270A"/>
    <w:rsid w:val="5ED209A8"/>
    <w:rsid w:val="5F070FBA"/>
    <w:rsid w:val="5F2B6F1B"/>
    <w:rsid w:val="5F626D3B"/>
    <w:rsid w:val="5F6C2A77"/>
    <w:rsid w:val="5FAE5590"/>
    <w:rsid w:val="5FBDF93E"/>
    <w:rsid w:val="5FCC7C28"/>
    <w:rsid w:val="5FD814AB"/>
    <w:rsid w:val="5FEA46E0"/>
    <w:rsid w:val="5FF84013"/>
    <w:rsid w:val="5FFFFC4D"/>
    <w:rsid w:val="600A282B"/>
    <w:rsid w:val="606E3563"/>
    <w:rsid w:val="60D70747"/>
    <w:rsid w:val="60EC6236"/>
    <w:rsid w:val="60F777F8"/>
    <w:rsid w:val="61135AF9"/>
    <w:rsid w:val="611469B0"/>
    <w:rsid w:val="61197614"/>
    <w:rsid w:val="61723E5C"/>
    <w:rsid w:val="618A3087"/>
    <w:rsid w:val="61BA074F"/>
    <w:rsid w:val="61C53DFA"/>
    <w:rsid w:val="61CD312A"/>
    <w:rsid w:val="61CE3398"/>
    <w:rsid w:val="61D04FF8"/>
    <w:rsid w:val="61F6547D"/>
    <w:rsid w:val="61F756D0"/>
    <w:rsid w:val="62067AEC"/>
    <w:rsid w:val="62456545"/>
    <w:rsid w:val="624905E7"/>
    <w:rsid w:val="625835B1"/>
    <w:rsid w:val="625B3673"/>
    <w:rsid w:val="626E7A15"/>
    <w:rsid w:val="62841E4A"/>
    <w:rsid w:val="628C3EDD"/>
    <w:rsid w:val="62CF1717"/>
    <w:rsid w:val="62E00E1C"/>
    <w:rsid w:val="63014140"/>
    <w:rsid w:val="63E35FEB"/>
    <w:rsid w:val="63EB0A27"/>
    <w:rsid w:val="63FC0E86"/>
    <w:rsid w:val="64086AF6"/>
    <w:rsid w:val="644F4A85"/>
    <w:rsid w:val="64623FFC"/>
    <w:rsid w:val="64772AB5"/>
    <w:rsid w:val="647D17D3"/>
    <w:rsid w:val="648A6492"/>
    <w:rsid w:val="64AE38D2"/>
    <w:rsid w:val="64C125FF"/>
    <w:rsid w:val="64D23C7A"/>
    <w:rsid w:val="65354E1B"/>
    <w:rsid w:val="653D776C"/>
    <w:rsid w:val="658B7653"/>
    <w:rsid w:val="65A52E95"/>
    <w:rsid w:val="65AE4595"/>
    <w:rsid w:val="65C32895"/>
    <w:rsid w:val="66052568"/>
    <w:rsid w:val="661278AD"/>
    <w:rsid w:val="66246472"/>
    <w:rsid w:val="666D5048"/>
    <w:rsid w:val="66B22619"/>
    <w:rsid w:val="66C05D7C"/>
    <w:rsid w:val="671376C4"/>
    <w:rsid w:val="6716400D"/>
    <w:rsid w:val="6787409E"/>
    <w:rsid w:val="67C5303F"/>
    <w:rsid w:val="67F9777D"/>
    <w:rsid w:val="68115D32"/>
    <w:rsid w:val="684C33CF"/>
    <w:rsid w:val="68555008"/>
    <w:rsid w:val="689C2D1B"/>
    <w:rsid w:val="68BA6B24"/>
    <w:rsid w:val="68D11397"/>
    <w:rsid w:val="68F241F9"/>
    <w:rsid w:val="694C01BA"/>
    <w:rsid w:val="695E539C"/>
    <w:rsid w:val="69790883"/>
    <w:rsid w:val="69927C1C"/>
    <w:rsid w:val="69946598"/>
    <w:rsid w:val="69A00505"/>
    <w:rsid w:val="69EB2192"/>
    <w:rsid w:val="69FA7C16"/>
    <w:rsid w:val="69FB70D1"/>
    <w:rsid w:val="6A024B78"/>
    <w:rsid w:val="6A333603"/>
    <w:rsid w:val="6A962FC7"/>
    <w:rsid w:val="6AA80907"/>
    <w:rsid w:val="6AFA6C24"/>
    <w:rsid w:val="6B014FD4"/>
    <w:rsid w:val="6B07083C"/>
    <w:rsid w:val="6B4E2486"/>
    <w:rsid w:val="6B8A2CCA"/>
    <w:rsid w:val="6B964723"/>
    <w:rsid w:val="6BB350EB"/>
    <w:rsid w:val="6BC4136B"/>
    <w:rsid w:val="6BE67846"/>
    <w:rsid w:val="6C327B3B"/>
    <w:rsid w:val="6CBE1DC9"/>
    <w:rsid w:val="6CD46A99"/>
    <w:rsid w:val="6CDB6426"/>
    <w:rsid w:val="6CE532C0"/>
    <w:rsid w:val="6CE68DC4"/>
    <w:rsid w:val="6D0A1788"/>
    <w:rsid w:val="6D0A1B87"/>
    <w:rsid w:val="6D48799D"/>
    <w:rsid w:val="6D4910E0"/>
    <w:rsid w:val="6D6B7E5D"/>
    <w:rsid w:val="6D755C13"/>
    <w:rsid w:val="6D800432"/>
    <w:rsid w:val="6D9013C4"/>
    <w:rsid w:val="6DAA0062"/>
    <w:rsid w:val="6DEF46D0"/>
    <w:rsid w:val="6E8201DA"/>
    <w:rsid w:val="6E89388A"/>
    <w:rsid w:val="6EA42846"/>
    <w:rsid w:val="6EA6211A"/>
    <w:rsid w:val="6EDA17F8"/>
    <w:rsid w:val="6EE1644B"/>
    <w:rsid w:val="6F1950AF"/>
    <w:rsid w:val="6F2F66BB"/>
    <w:rsid w:val="6F666B1C"/>
    <w:rsid w:val="6F7108D2"/>
    <w:rsid w:val="6F7DA447"/>
    <w:rsid w:val="6F8F0F85"/>
    <w:rsid w:val="6FA60640"/>
    <w:rsid w:val="6FE803FB"/>
    <w:rsid w:val="6FF548E9"/>
    <w:rsid w:val="6FF674E3"/>
    <w:rsid w:val="70025A76"/>
    <w:rsid w:val="70260054"/>
    <w:rsid w:val="70423DB8"/>
    <w:rsid w:val="704F12E5"/>
    <w:rsid w:val="706C1106"/>
    <w:rsid w:val="706D5B69"/>
    <w:rsid w:val="70BD2693"/>
    <w:rsid w:val="70C509F0"/>
    <w:rsid w:val="70F22704"/>
    <w:rsid w:val="7101033F"/>
    <w:rsid w:val="710A45F9"/>
    <w:rsid w:val="71236A03"/>
    <w:rsid w:val="71257C6E"/>
    <w:rsid w:val="713E7CD2"/>
    <w:rsid w:val="716A1537"/>
    <w:rsid w:val="71864400"/>
    <w:rsid w:val="71984F41"/>
    <w:rsid w:val="71A46A1C"/>
    <w:rsid w:val="71D36D6B"/>
    <w:rsid w:val="71E70F6B"/>
    <w:rsid w:val="71EB0B34"/>
    <w:rsid w:val="72342CF2"/>
    <w:rsid w:val="72435ED2"/>
    <w:rsid w:val="7274394A"/>
    <w:rsid w:val="72775222"/>
    <w:rsid w:val="728A58AF"/>
    <w:rsid w:val="729A1E5F"/>
    <w:rsid w:val="72E177C2"/>
    <w:rsid w:val="730452C2"/>
    <w:rsid w:val="737160C5"/>
    <w:rsid w:val="73B21561"/>
    <w:rsid w:val="73D46C4E"/>
    <w:rsid w:val="73ED4347"/>
    <w:rsid w:val="73F549DE"/>
    <w:rsid w:val="74212BA9"/>
    <w:rsid w:val="743326A2"/>
    <w:rsid w:val="745EE53E"/>
    <w:rsid w:val="74732A9E"/>
    <w:rsid w:val="74A821D6"/>
    <w:rsid w:val="74AE0CDD"/>
    <w:rsid w:val="75022074"/>
    <w:rsid w:val="751B7B14"/>
    <w:rsid w:val="75281D35"/>
    <w:rsid w:val="75417AF4"/>
    <w:rsid w:val="754A5BDC"/>
    <w:rsid w:val="756909D8"/>
    <w:rsid w:val="75B80536"/>
    <w:rsid w:val="75CC1551"/>
    <w:rsid w:val="75D73F66"/>
    <w:rsid w:val="75D87F4A"/>
    <w:rsid w:val="76007F82"/>
    <w:rsid w:val="76031717"/>
    <w:rsid w:val="7613461F"/>
    <w:rsid w:val="761D5F76"/>
    <w:rsid w:val="76357BB6"/>
    <w:rsid w:val="764E244A"/>
    <w:rsid w:val="76AF3B36"/>
    <w:rsid w:val="76B208BC"/>
    <w:rsid w:val="76B70608"/>
    <w:rsid w:val="76BA6FD4"/>
    <w:rsid w:val="76EE2563"/>
    <w:rsid w:val="770D3445"/>
    <w:rsid w:val="77297D8C"/>
    <w:rsid w:val="775E5656"/>
    <w:rsid w:val="776CBFC4"/>
    <w:rsid w:val="777C610E"/>
    <w:rsid w:val="77A07074"/>
    <w:rsid w:val="77A17922"/>
    <w:rsid w:val="780454EB"/>
    <w:rsid w:val="782D65C2"/>
    <w:rsid w:val="7855746C"/>
    <w:rsid w:val="78E35D19"/>
    <w:rsid w:val="78F50C83"/>
    <w:rsid w:val="797C74C0"/>
    <w:rsid w:val="798A6E4E"/>
    <w:rsid w:val="7A0F34A0"/>
    <w:rsid w:val="7A256345"/>
    <w:rsid w:val="7A3B22B0"/>
    <w:rsid w:val="7A806ABE"/>
    <w:rsid w:val="7AA0779E"/>
    <w:rsid w:val="7AD01F98"/>
    <w:rsid w:val="7ADD0275"/>
    <w:rsid w:val="7ADE2C3C"/>
    <w:rsid w:val="7AE438C7"/>
    <w:rsid w:val="7B324450"/>
    <w:rsid w:val="7B7F7497"/>
    <w:rsid w:val="7B8F25AC"/>
    <w:rsid w:val="7BBFDB44"/>
    <w:rsid w:val="7BCF0F6B"/>
    <w:rsid w:val="7BFF5C43"/>
    <w:rsid w:val="7C3915A5"/>
    <w:rsid w:val="7C3C2310"/>
    <w:rsid w:val="7C445342"/>
    <w:rsid w:val="7C870D8D"/>
    <w:rsid w:val="7CB2073C"/>
    <w:rsid w:val="7CCD1206"/>
    <w:rsid w:val="7D840904"/>
    <w:rsid w:val="7DB9728F"/>
    <w:rsid w:val="7DCF3FD4"/>
    <w:rsid w:val="7DE44422"/>
    <w:rsid w:val="7DF90343"/>
    <w:rsid w:val="7E17309F"/>
    <w:rsid w:val="7E535250"/>
    <w:rsid w:val="7E8942FA"/>
    <w:rsid w:val="7EC16994"/>
    <w:rsid w:val="7EF04537"/>
    <w:rsid w:val="7F5573F7"/>
    <w:rsid w:val="7F7A259C"/>
    <w:rsid w:val="7F8B58B6"/>
    <w:rsid w:val="7F9E727C"/>
    <w:rsid w:val="7F9F8077"/>
    <w:rsid w:val="7FAF2ADA"/>
    <w:rsid w:val="7FB82ABA"/>
    <w:rsid w:val="7FCF8ED1"/>
    <w:rsid w:val="7FED9C7D"/>
    <w:rsid w:val="7FF76723"/>
    <w:rsid w:val="7FF7E4C2"/>
    <w:rsid w:val="8AEEE3B9"/>
    <w:rsid w:val="913A675B"/>
    <w:rsid w:val="97FEA601"/>
    <w:rsid w:val="9AF9E5D3"/>
    <w:rsid w:val="9FE786F2"/>
    <w:rsid w:val="9FF7F711"/>
    <w:rsid w:val="9FFC8E84"/>
    <w:rsid w:val="ADF701A7"/>
    <w:rsid w:val="B1711C72"/>
    <w:rsid w:val="BF8D2418"/>
    <w:rsid w:val="BFBE3B66"/>
    <w:rsid w:val="BFDBA9DC"/>
    <w:rsid w:val="CB7B75A5"/>
    <w:rsid w:val="CD434782"/>
    <w:rsid w:val="CF1D378C"/>
    <w:rsid w:val="D5DFF535"/>
    <w:rsid w:val="DEDF8E91"/>
    <w:rsid w:val="DEFE3C25"/>
    <w:rsid w:val="DF5F8F8E"/>
    <w:rsid w:val="DF97DFEF"/>
    <w:rsid w:val="DFBBD840"/>
    <w:rsid w:val="DFEF0B5C"/>
    <w:rsid w:val="E3DF5E98"/>
    <w:rsid w:val="E7B14C4E"/>
    <w:rsid w:val="E7B32D8D"/>
    <w:rsid w:val="EAFF98FF"/>
    <w:rsid w:val="EE768D3A"/>
    <w:rsid w:val="EF7DC021"/>
    <w:rsid w:val="EFF41EA9"/>
    <w:rsid w:val="EFFDC9E7"/>
    <w:rsid w:val="F7BB6055"/>
    <w:rsid w:val="F7C732A4"/>
    <w:rsid w:val="F7EE9F04"/>
    <w:rsid w:val="FAF76E59"/>
    <w:rsid w:val="FB9E3EDE"/>
    <w:rsid w:val="FBBB77C0"/>
    <w:rsid w:val="FBF4689C"/>
    <w:rsid w:val="FBF6FAA3"/>
    <w:rsid w:val="FBFFDD50"/>
    <w:rsid w:val="FCF7C9FF"/>
    <w:rsid w:val="FDEE245F"/>
    <w:rsid w:val="FDEE4DA2"/>
    <w:rsid w:val="FE9E5A5A"/>
    <w:rsid w:val="FF7BB085"/>
    <w:rsid w:val="FF838101"/>
    <w:rsid w:val="FFAEBD41"/>
    <w:rsid w:val="FFBEF4B0"/>
    <w:rsid w:val="FFD58245"/>
    <w:rsid w:val="FFFF4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99" w:semiHidden="0" w:name="heading 2"/>
    <w:lsdException w:qFormat="1" w:unhideWhenUsed="0" w:uiPriority="99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Autospacing="1" w:afterAutospacing="1"/>
      <w:jc w:val="left"/>
      <w:outlineLvl w:val="0"/>
    </w:pPr>
    <w:rPr>
      <w:rFonts w:hint="eastAsia" w:ascii="宋体" w:hAnsi="宋体" w:eastAsia="宋体" w:cs="Times New Roman"/>
      <w:b/>
      <w:bCs/>
      <w:kern w:val="44"/>
      <w:sz w:val="48"/>
      <w:szCs w:val="48"/>
    </w:rPr>
  </w:style>
  <w:style w:type="paragraph" w:styleId="3">
    <w:name w:val="heading 2"/>
    <w:basedOn w:val="1"/>
    <w:next w:val="1"/>
    <w:link w:val="26"/>
    <w:qFormat/>
    <w:uiPriority w:val="99"/>
    <w:pPr>
      <w:keepNext/>
      <w:keepLines/>
      <w:spacing w:line="412" w:lineRule="auto"/>
      <w:outlineLvl w:val="1"/>
    </w:pPr>
    <w:rPr>
      <w:rFonts w:ascii="Arial" w:hAnsi="Arial" w:eastAsia="黑体" w:cs="Times New Roman"/>
      <w:b/>
      <w:sz w:val="32"/>
      <w:szCs w:val="32"/>
    </w:rPr>
  </w:style>
  <w:style w:type="paragraph" w:styleId="4">
    <w:name w:val="heading 3"/>
    <w:basedOn w:val="1"/>
    <w:next w:val="1"/>
    <w:link w:val="27"/>
    <w:qFormat/>
    <w:uiPriority w:val="99"/>
    <w:pPr>
      <w:keepNext/>
      <w:keepLines/>
      <w:spacing w:line="412" w:lineRule="auto"/>
      <w:outlineLvl w:val="2"/>
    </w:pPr>
    <w:rPr>
      <w:rFonts w:ascii="Calibri" w:hAnsi="Calibri" w:eastAsia="宋体" w:cs="Times New Roman"/>
      <w:b/>
      <w:sz w:val="32"/>
      <w:szCs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link w:val="40"/>
    <w:unhideWhenUsed/>
    <w:qFormat/>
    <w:uiPriority w:val="0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7">
    <w:name w:val="heading 6"/>
    <w:basedOn w:val="1"/>
    <w:next w:val="1"/>
    <w:link w:val="41"/>
    <w:unhideWhenUsed/>
    <w:qFormat/>
    <w:uiPriority w:val="0"/>
    <w:pPr>
      <w:keepNext/>
      <w:keepLines/>
      <w:spacing w:before="240" w:after="64" w:line="320" w:lineRule="auto"/>
      <w:outlineLvl w:val="5"/>
    </w:pPr>
    <w:rPr>
      <w:rFonts w:asciiTheme="majorHAnsi" w:hAnsiTheme="majorHAnsi" w:eastAsiaTheme="majorEastAsia" w:cstheme="majorBidi"/>
      <w:b/>
      <w:bCs/>
      <w:sz w:val="24"/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toc 3"/>
    <w:basedOn w:val="1"/>
    <w:next w:val="1"/>
    <w:qFormat/>
    <w:uiPriority w:val="39"/>
    <w:pPr>
      <w:ind w:left="840" w:leftChars="400"/>
    </w:pPr>
  </w:style>
  <w:style w:type="paragraph" w:styleId="10">
    <w:name w:val="Balloon Text"/>
    <w:basedOn w:val="1"/>
    <w:link w:val="33"/>
    <w:qFormat/>
    <w:uiPriority w:val="0"/>
    <w:rPr>
      <w:sz w:val="18"/>
      <w:szCs w:val="18"/>
    </w:rPr>
  </w:style>
  <w:style w:type="paragraph" w:styleId="11">
    <w:name w:val="footer"/>
    <w:basedOn w:val="1"/>
    <w:link w:val="3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2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13">
    <w:name w:val="toc 1"/>
    <w:basedOn w:val="1"/>
    <w:next w:val="1"/>
    <w:qFormat/>
    <w:uiPriority w:val="39"/>
  </w:style>
  <w:style w:type="paragraph" w:styleId="14">
    <w:name w:val="footnote text"/>
    <w:basedOn w:val="1"/>
    <w:link w:val="29"/>
    <w:qFormat/>
    <w:uiPriority w:val="0"/>
    <w:pPr>
      <w:snapToGrid w:val="0"/>
      <w:jc w:val="left"/>
    </w:pPr>
    <w:rPr>
      <w:sz w:val="18"/>
      <w:szCs w:val="18"/>
    </w:rPr>
  </w:style>
  <w:style w:type="paragraph" w:styleId="15">
    <w:name w:val="toc 2"/>
    <w:basedOn w:val="1"/>
    <w:next w:val="1"/>
    <w:qFormat/>
    <w:uiPriority w:val="39"/>
    <w:pPr>
      <w:ind w:left="420" w:leftChars="200"/>
    </w:pPr>
  </w:style>
  <w:style w:type="paragraph" w:styleId="16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7">
    <w:name w:val="Title"/>
    <w:basedOn w:val="1"/>
    <w:next w:val="1"/>
    <w:link w:val="39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9">
    <w:name w:val="Table Grid"/>
    <w:basedOn w:val="18"/>
    <w:qFormat/>
    <w:uiPriority w:val="0"/>
    <w:rPr>
      <w:szCs w:val="24"/>
    </w:rPr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character" w:styleId="21">
    <w:name w:val="Strong"/>
    <w:basedOn w:val="20"/>
    <w:qFormat/>
    <w:uiPriority w:val="22"/>
    <w:rPr>
      <w:b/>
    </w:rPr>
  </w:style>
  <w:style w:type="character" w:styleId="22">
    <w:name w:val="Emphasis"/>
    <w:basedOn w:val="20"/>
    <w:qFormat/>
    <w:uiPriority w:val="0"/>
    <w:rPr>
      <w:i/>
    </w:rPr>
  </w:style>
  <w:style w:type="character" w:styleId="23">
    <w:name w:val="Hyperlink"/>
    <w:basedOn w:val="20"/>
    <w:unhideWhenUsed/>
    <w:qFormat/>
    <w:uiPriority w:val="99"/>
    <w:rPr>
      <w:color w:val="0000FF"/>
      <w:u w:val="single"/>
    </w:rPr>
  </w:style>
  <w:style w:type="character" w:styleId="24">
    <w:name w:val="footnote reference"/>
    <w:basedOn w:val="20"/>
    <w:qFormat/>
    <w:uiPriority w:val="0"/>
    <w:rPr>
      <w:vertAlign w:val="superscript"/>
    </w:rPr>
  </w:style>
  <w:style w:type="paragraph" w:customStyle="1" w:styleId="25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26">
    <w:name w:val="标题 2 字符"/>
    <w:basedOn w:val="20"/>
    <w:link w:val="3"/>
    <w:qFormat/>
    <w:uiPriority w:val="99"/>
    <w:rPr>
      <w:rFonts w:ascii="Arial" w:hAnsi="Arial" w:eastAsia="黑体" w:cs="Times New Roman"/>
      <w:b/>
      <w:kern w:val="2"/>
      <w:sz w:val="32"/>
      <w:szCs w:val="32"/>
    </w:rPr>
  </w:style>
  <w:style w:type="character" w:customStyle="1" w:styleId="27">
    <w:name w:val="标题 3 字符"/>
    <w:basedOn w:val="20"/>
    <w:link w:val="4"/>
    <w:qFormat/>
    <w:uiPriority w:val="99"/>
    <w:rPr>
      <w:rFonts w:ascii="Calibri" w:hAnsi="Calibri" w:eastAsia="宋体" w:cs="Times New Roman"/>
      <w:b/>
      <w:kern w:val="2"/>
      <w:sz w:val="32"/>
      <w:szCs w:val="32"/>
    </w:rPr>
  </w:style>
  <w:style w:type="paragraph" w:styleId="28">
    <w:name w:val="List Paragraph"/>
    <w:basedOn w:val="1"/>
    <w:qFormat/>
    <w:uiPriority w:val="99"/>
    <w:pPr>
      <w:ind w:firstLine="420" w:firstLineChars="200"/>
    </w:pPr>
  </w:style>
  <w:style w:type="character" w:customStyle="1" w:styleId="29">
    <w:name w:val="脚注文本 字符"/>
    <w:basedOn w:val="20"/>
    <w:link w:val="14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paragraph" w:customStyle="1" w:styleId="30">
    <w:name w:val="WPSOffice手动目录 1"/>
    <w:qFormat/>
    <w:uiPriority w:val="0"/>
    <w:rPr>
      <w:rFonts w:ascii="Times New Roman" w:hAnsi="Times New Roman" w:eastAsia="宋体" w:cs="Times New Roman"/>
      <w:lang w:val="en-US" w:eastAsia="zh-CN" w:bidi="ar-SA"/>
    </w:rPr>
  </w:style>
  <w:style w:type="paragraph" w:customStyle="1" w:styleId="31">
    <w:name w:val="WPSOffice手动目录 2"/>
    <w:qFormat/>
    <w:uiPriority w:val="0"/>
    <w:pPr>
      <w:ind w:left="200" w:leftChars="200"/>
    </w:pPr>
    <w:rPr>
      <w:rFonts w:ascii="Times New Roman" w:hAnsi="Times New Roman" w:eastAsia="宋体" w:cs="Times New Roman"/>
      <w:lang w:val="en-US" w:eastAsia="zh-CN" w:bidi="ar-SA"/>
    </w:rPr>
  </w:style>
  <w:style w:type="paragraph" w:customStyle="1" w:styleId="32">
    <w:name w:val="WPSOffice手动目录 3"/>
    <w:qFormat/>
    <w:uiPriority w:val="0"/>
    <w:pPr>
      <w:ind w:left="400" w:leftChars="400"/>
    </w:pPr>
    <w:rPr>
      <w:rFonts w:ascii="Times New Roman" w:hAnsi="Times New Roman" w:eastAsia="宋体" w:cs="Times New Roman"/>
      <w:lang w:val="en-US" w:eastAsia="zh-CN" w:bidi="ar-SA"/>
    </w:rPr>
  </w:style>
  <w:style w:type="character" w:customStyle="1" w:styleId="33">
    <w:name w:val="批注框文本 字符"/>
    <w:basedOn w:val="20"/>
    <w:link w:val="10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  <w:style w:type="character" w:customStyle="1" w:styleId="34">
    <w:name w:val="font21"/>
    <w:basedOn w:val="20"/>
    <w:qFormat/>
    <w:uiPriority w:val="0"/>
    <w:rPr>
      <w:rFonts w:hint="eastAsia" w:ascii="宋体" w:hAnsi="宋体" w:eastAsia="宋体" w:cs="宋体"/>
      <w:color w:val="060607"/>
      <w:sz w:val="21"/>
      <w:szCs w:val="21"/>
      <w:u w:val="none"/>
    </w:rPr>
  </w:style>
  <w:style w:type="character" w:customStyle="1" w:styleId="35">
    <w:name w:val="font11"/>
    <w:basedOn w:val="20"/>
    <w:qFormat/>
    <w:uiPriority w:val="0"/>
    <w:rPr>
      <w:rFonts w:hint="eastAsia" w:ascii="宋体" w:hAnsi="宋体" w:eastAsia="宋体" w:cs="宋体"/>
      <w:b/>
      <w:bCs/>
      <w:color w:val="060607"/>
      <w:sz w:val="21"/>
      <w:szCs w:val="21"/>
      <w:u w:val="none"/>
    </w:rPr>
  </w:style>
  <w:style w:type="paragraph" w:customStyle="1" w:styleId="36">
    <w:name w:val="正文1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szCs w:val="21"/>
      <w:lang w:val="en-US" w:eastAsia="zh-CN" w:bidi="ar-SA"/>
    </w:rPr>
  </w:style>
  <w:style w:type="character" w:customStyle="1" w:styleId="37">
    <w:name w:val="页脚 字符"/>
    <w:basedOn w:val="20"/>
    <w:link w:val="11"/>
    <w:qFormat/>
    <w:uiPriority w:val="0"/>
    <w:rPr>
      <w:rFonts w:asciiTheme="minorHAnsi" w:hAnsiTheme="minorHAnsi" w:eastAsiaTheme="minorEastAsia" w:cstheme="minorBidi"/>
      <w:kern w:val="2"/>
      <w:sz w:val="18"/>
      <w:szCs w:val="24"/>
    </w:rPr>
  </w:style>
  <w:style w:type="character" w:customStyle="1" w:styleId="38">
    <w:name w:val="bjh-strong"/>
    <w:basedOn w:val="20"/>
    <w:qFormat/>
    <w:uiPriority w:val="0"/>
  </w:style>
  <w:style w:type="character" w:customStyle="1" w:styleId="39">
    <w:name w:val="标题 字符"/>
    <w:basedOn w:val="20"/>
    <w:link w:val="17"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  <w:style w:type="character" w:customStyle="1" w:styleId="40">
    <w:name w:val="标题 5 字符"/>
    <w:basedOn w:val="20"/>
    <w:link w:val="6"/>
    <w:qFormat/>
    <w:uiPriority w:val="0"/>
    <w:rPr>
      <w:rFonts w:asciiTheme="minorHAnsi" w:hAnsiTheme="minorHAnsi" w:eastAsiaTheme="minorEastAsia" w:cstheme="minorBidi"/>
      <w:b/>
      <w:bCs/>
      <w:kern w:val="2"/>
      <w:sz w:val="28"/>
      <w:szCs w:val="28"/>
    </w:rPr>
  </w:style>
  <w:style w:type="character" w:customStyle="1" w:styleId="41">
    <w:name w:val="标题 6 字符"/>
    <w:basedOn w:val="20"/>
    <w:link w:val="7"/>
    <w:qFormat/>
    <w:uiPriority w:val="0"/>
    <w:rPr>
      <w:rFonts w:asciiTheme="majorHAnsi" w:hAnsiTheme="majorHAnsi" w:eastAsiaTheme="majorEastAsia" w:cstheme="majorBidi"/>
      <w:b/>
      <w:bCs/>
      <w:kern w:val="2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emf"/><Relationship Id="rId8" Type="http://schemas.openxmlformats.org/officeDocument/2006/relationships/image" Target="media/image3.emf"/><Relationship Id="rId7" Type="http://schemas.openxmlformats.org/officeDocument/2006/relationships/image" Target="media/image2.emf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customXml" Target="../customXml/item2.xml"/><Relationship Id="rId15" Type="http://schemas.openxmlformats.org/officeDocument/2006/relationships/numbering" Target="numbering.xml"/><Relationship Id="rId14" Type="http://schemas.openxmlformats.org/officeDocument/2006/relationships/customXml" Target="../customXml/item1.xml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8C64497-9202-4FB3-BF43-74605A4420F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3429</Words>
  <Characters>3910</Characters>
  <Lines>590</Lines>
  <Paragraphs>567</Paragraphs>
  <TotalTime>8</TotalTime>
  <ScaleCrop>false</ScaleCrop>
  <LinksUpToDate>false</LinksUpToDate>
  <CharactersWithSpaces>3929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2025-01-09T08:53:00Z</dcterms:created>
  <dc:creator>lh</dc:creator>
  <cp:lastModifiedBy>lh</cp:lastModifiedBy>
  <cp:lastPrinted>2025-01-23T03:12:00Z</cp:lastPrinted>
  <dcterms:modified xsi:type="dcterms:W3CDTF">2025-03-27T06:09:37Z</dcterms:modified>
  <cp:revision>48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1981723748474F2B92B2FDFF160ED913_13</vt:lpwstr>
  </property>
  <property fmtid="{D5CDD505-2E9C-101B-9397-08002B2CF9AE}" pid="4" name="KSOTemplateDocerSaveRecord">
    <vt:lpwstr>eyJoZGlkIjoiOTE4Mzk2YjliNTc0M2Q5NTQwNjc5MmQxYThhYjkyNTciLCJ1c2VySWQiOiIyNzk4OTQ5NjUifQ==</vt:lpwstr>
  </property>
</Properties>
</file>