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251CF">
      <w:pPr>
        <w:autoSpaceDE w:val="0"/>
        <w:snapToGrid w:val="0"/>
        <w:spacing w:line="288" w:lineRule="auto"/>
        <w:ind w:firstLine="562" w:firstLineChars="200"/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MWC2025观察之一：Agentic AI发展四大趋势和两大挑战</w:t>
      </w:r>
    </w:p>
    <w:p w14:paraId="5A07D1FE">
      <w:pPr>
        <w:autoSpaceDE w:val="0"/>
        <w:snapToGrid w:val="0"/>
        <w:spacing w:line="288" w:lineRule="auto"/>
        <w:ind w:firstLine="562" w:firstLineChars="200"/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</w:pPr>
    </w:p>
    <w:p w14:paraId="7ED2ADBA">
      <w:pPr>
        <w:autoSpaceDE w:val="0"/>
        <w:snapToGrid w:val="0"/>
        <w:spacing w:line="288" w:lineRule="auto"/>
        <w:ind w:firstLine="560" w:firstLineChars="200"/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在人工智能技术从辅助工具向价值创造者跃迁的关键节点，代理式人工智能（</w:t>
      </w: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Agentic AI</w:t>
      </w:r>
      <w:r>
        <w:rPr>
          <w:rFonts w:hint="default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）正以颠覆性姿态重塑行业格局</w:t>
      </w: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，</w:t>
      </w:r>
      <w:r>
        <w:rPr>
          <w:rFonts w:hint="default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Gartner将</w:t>
      </w: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Agentic AI</w:t>
      </w:r>
      <w:r>
        <w:rPr>
          <w:rFonts w:hint="default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列为2025年十大技术趋势之首，并预测其将重构生产力范式——到2028年，全球15%的日常工作决策将由具备自主决策能力的AI代理完成</w:t>
      </w: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（这一比例在2024年尚为0%）。</w:t>
      </w:r>
      <w:r>
        <w:rPr>
          <w:rFonts w:hint="default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2025年6月18日，MWC上海2025代理式人工智能峰会现场，来自高通、华为</w:t>
      </w: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、信通院、联想、蚂蚁集团</w:t>
      </w:r>
      <w:r>
        <w:rPr>
          <w:rFonts w:hint="default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等企业的技术领袖与行业专家，围绕</w:t>
      </w: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Agentic AI的应用前景展开深入探讨，为这一新兴技术的未来发展勾勒出清晰的轮廓。</w:t>
      </w:r>
    </w:p>
    <w:p w14:paraId="6045DFD0">
      <w:pPr>
        <w:pStyle w:val="3"/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before="157" w:beforeLines="50" w:after="157" w:afterLines="50" w:line="288" w:lineRule="auto"/>
        <w:ind w:leftChars="0" w:firstLine="562" w:firstLineChars="200"/>
        <w:textAlignment w:val="auto"/>
        <w:rPr>
          <w:rFonts w:hint="eastAsia" w:ascii="Times New Roman" w:hAnsi="Times New Roman"/>
          <w:b/>
          <w:bCs w:val="0"/>
          <w:sz w:val="28"/>
          <w:szCs w:val="28"/>
          <w:highlight w:val="none"/>
          <w:lang w:val="en-US" w:eastAsia="zh-CN"/>
        </w:rPr>
      </w:pPr>
      <w:bookmarkStart w:id="0" w:name="_Toc20300"/>
      <w:r>
        <w:rPr>
          <w:rFonts w:hint="eastAsia" w:ascii="Times New Roman" w:hAnsi="Times New Roman"/>
          <w:b/>
          <w:bCs w:val="0"/>
          <w:sz w:val="28"/>
          <w:szCs w:val="28"/>
          <w:highlight w:val="none"/>
          <w:lang w:val="en-US" w:eastAsia="zh-CN"/>
        </w:rPr>
        <w:t>发展趋势</w:t>
      </w:r>
      <w:bookmarkEnd w:id="0"/>
    </w:p>
    <w:p w14:paraId="4A46E1B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outlineLvl w:val="2"/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</w:pPr>
      <w:bookmarkStart w:id="1" w:name="_Toc27072"/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市场发展呈“规模指数级增长+多元主体共建繁荣”​</w:t>
      </w:r>
      <w:bookmarkEnd w:id="1"/>
    </w:p>
    <w:p w14:paraId="146168A3">
      <w:pPr>
        <w:numPr>
          <w:ilvl w:val="-1"/>
          <w:numId w:val="0"/>
        </w:numPr>
        <w:autoSpaceDE w:val="0"/>
        <w:snapToGrid w:val="0"/>
        <w:spacing w:line="288" w:lineRule="auto"/>
        <w:ind w:firstLine="560" w:firstLineChars="200"/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一是Agentic AI市场规模呈指数级增长，短期爆发与长期潜力兼具。2024年全球AI Agents市场规模达52.9亿美元</w:t>
      </w:r>
      <w:r>
        <w:rPr>
          <w:rStyle w:val="7"/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footnoteReference w:id="0"/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，进入商业化加速期。2035年预计增长至2168亿美元，复合年增长率（CAGR）达40.15%，远超传统AI市场增速。企业数字化转型需求、降本增效诉求及智能办公、客服、数据分析等多场景落地，叠加技术成熟与商业化闭环，共同拉动市场扩容。二是玩家生态分层清晰、多元主体协同构建繁荣格局。金字塔顶端的企业级平台巨头（如字节跳动、智谱等）依托大模型与算力优势，打造全栈式智能体解决方案，聚焦于政企复杂场景；中间开发工具链玩家（如LangChain、CrewAI等）提供标准化框架，降低开发门槛，推动“全民开发”；金字塔底部的垂直领域工具商（如Semantic Kernel、AutoGen等）深耕金融、医疗等场景，提供轻量化工具。Agentic生态协同正从“单点工具”向“平台化协作”进化，通过API开放、插件生态等模式联动，行成“技术底座-开发工具-应用场景”的完整闭环。</w:t>
      </w:r>
    </w:p>
    <w:p w14:paraId="512E9C34">
      <w:pPr>
        <w:numPr>
          <w:ilvl w:val="-1"/>
          <w:numId w:val="0"/>
        </w:numPr>
        <w:autoSpaceDE w:val="0"/>
        <w:snapToGrid w:val="0"/>
        <w:spacing w:line="288" w:lineRule="auto"/>
        <w:ind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271770" cy="2117725"/>
            <wp:effectExtent l="0" t="0" r="1143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EE2E">
      <w:pPr>
        <w:autoSpaceDE w:val="0"/>
        <w:snapToGrid w:val="0"/>
        <w:spacing w:line="288" w:lineRule="auto"/>
        <w:jc w:val="center"/>
        <w:rPr>
          <w:rFonts w:hint="default" w:ascii="Times New Roman" w:hAnsi="Times New Roman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Cs/>
          <w:sz w:val="28"/>
          <w:szCs w:val="28"/>
          <w:lang w:val="en-US" w:eastAsia="zh-CN"/>
        </w:rPr>
        <w:t>图2 全球AI Agents市场规模</w:t>
      </w:r>
    </w:p>
    <w:p w14:paraId="42113B4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outlineLvl w:val="2"/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</w:pPr>
      <w:bookmarkStart w:id="2" w:name="_Toc3165"/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技术架构向“多智能体协同+算力互联”演进</w:t>
      </w:r>
      <w:bookmarkEnd w:id="2"/>
    </w:p>
    <w:p w14:paraId="615F0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288" w:lineRule="auto"/>
        <w:ind w:firstLine="560" w:firstLineChars="200"/>
        <w:textAlignment w:val="auto"/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一是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Agentic AI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正从单一智能体向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多智能体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协作升级。技术架构上，沿大模型、智能体、多智能体协同路径演进，多智能体在任务处理效率（并行分解复杂问题）、灵活性（分布式架构适应环境变化）、资源利用率（优配置降低冗余）和容错性（部分失效不影响整体）上全面超越单智能体，构建高效协作的智能群体。例如，通过MCP（模型上下文协议）和A2A（智能体间通信）协议，实现智能体间的任务拆解与资源调度。二是算力基础设施互联互通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，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算力资源的整合成为关键。中国信通院已构建国家算力互联网公共服务平台，汇聚96万条算力标识、90.9EFLOPS算力资源，通过统一标识和接口实现算力的高效调度，为多智能体协作提供底层支撑，解决算力消耗大、资源分散等问题。</w:t>
      </w:r>
    </w:p>
    <w:p w14:paraId="7DB6767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outlineLvl w:val="2"/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</w:pPr>
      <w:bookmarkStart w:id="3" w:name="_Toc29381"/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行业应用聚焦“场景落地+流程重构”</w:t>
      </w:r>
      <w:bookmarkEnd w:id="3"/>
    </w:p>
    <w:p w14:paraId="560E1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288" w:lineRule="auto"/>
        <w:ind w:firstLine="560" w:firstLineChars="200"/>
        <w:textAlignment w:val="auto"/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一是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向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垂直领域深度渗透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，Agentic AI成为行业价值创新引擎。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华为提出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“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AItoX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”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战略，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实现C/H/V/B全场景覆盖，重塑用户生活与产业形态。C端（AItoC）品牌焕新，“基础通信”升级为“随身AI助理”，推进“人人拥有随身AI助理”的智能生活；H端（AItoH）服务焕新，“家庭网络”进阶为“智家陪伴”，构建“家家有智慧管家”场景；V端（AItoV）需求焕新，跳出“车载娱乐”，打造“移动第三空间”；B端（AItoB）能力焕新，从“企业通信”转型“生产作业核心场景应用”，通过硬件优化、AI算力调度，让“行行都有高效的AI算力</w:t>
      </w:r>
      <w:r>
        <w:rPr>
          <w:rFonts w:hint="default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”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。二是价值重构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，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多智能体协同重塑企业“业务流程DNA”。传统“人驱动流程”需人工协调多系统，而多智能体凭借“工具集成+业务融入”，实现“智能体驱动流程”。制造场景中，研发、供应链等智能体共享数据，动态调生产计划，交付周期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缩减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；通信行业借智能体运维，故障定位从小时级降至分钟级，全面激活业务效率。</w:t>
      </w:r>
    </w:p>
    <w:p w14:paraId="6F291CD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outlineLvl w:val="2"/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</w:pPr>
      <w:bookmarkStart w:id="4" w:name="_Toc10308"/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交互体验侧重“终端侧渗透+多模态融合”</w:t>
      </w:r>
      <w:bookmarkEnd w:id="4"/>
    </w:p>
    <w:p w14:paraId="31ACB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288" w:lineRule="auto"/>
        <w:ind w:firstLine="560" w:firstLineChars="200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Agentic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AI正加速向终端侧渗透，驱动技术架构与用户体验的深度变革。一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是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终端侧小模型智能水平显著提升，Llama 2、Mistral等模型的进化使AI推理更贴近用户设备，在保障推理性能的同时，兼顾隐私安全与个性化需求，高效覆盖文本创作、音视频处理、代码生成等多元场景，重塑人机交互体验。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二是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AI突破语音、触控、视觉等传统交互边界，成为“新UI”，通过多模态融合与“中心云-边缘-终端”协同架构，构建跨终端的自然智能交互体系，实现从单一功能辅助到全链路智能服务的跨越。未来，Agentic AI将持续深化端侧部署，在推理效率与场景适配性上实现突破，同时强化跨终端、跨模态的深度融合，全面融入生产生活流程，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提升人机交互体验。</w:t>
      </w:r>
    </w:p>
    <w:p w14:paraId="63AEC992">
      <w:pPr>
        <w:pStyle w:val="3"/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288" w:lineRule="auto"/>
        <w:ind w:leftChars="0" w:firstLine="562" w:firstLineChars="200"/>
        <w:textAlignment w:val="auto"/>
        <w:rPr>
          <w:rFonts w:hint="default" w:ascii="Times New Roman" w:hAnsi="Times New Roman"/>
          <w:b/>
          <w:bCs w:val="0"/>
          <w:sz w:val="28"/>
          <w:szCs w:val="28"/>
          <w:highlight w:val="none"/>
          <w:lang w:val="en-US" w:eastAsia="zh-CN"/>
        </w:rPr>
      </w:pPr>
      <w:bookmarkStart w:id="5" w:name="_Toc4949"/>
      <w:r>
        <w:rPr>
          <w:rFonts w:hint="eastAsia" w:ascii="Times New Roman" w:hAnsi="Times New Roman"/>
          <w:b/>
          <w:bCs w:val="0"/>
          <w:sz w:val="28"/>
          <w:szCs w:val="28"/>
          <w:highlight w:val="none"/>
          <w:lang w:val="en-US" w:eastAsia="zh-CN"/>
        </w:rPr>
        <w:t>（二）面临挑战</w:t>
      </w:r>
      <w:bookmarkEnd w:id="5"/>
    </w:p>
    <w:p w14:paraId="2C960D0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outlineLvl w:val="2"/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</w:pPr>
      <w:bookmarkStart w:id="6" w:name="_Toc7781"/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安全与伦理挑战：限制Agentic AI健康发展的关键问题</w:t>
      </w:r>
      <w:bookmarkEnd w:id="6"/>
    </w:p>
    <w:p w14:paraId="0CA6F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288" w:lineRule="auto"/>
        <w:ind w:firstLine="560" w:firstLineChars="200"/>
        <w:textAlignment w:val="auto"/>
        <w:rPr>
          <w:rFonts w:hint="eastAsia" w:ascii="Times New Roman" w:hAnsi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安全与伦理问题是Agentic AI发展过程中不容忽视的关键障碍，对可持续发展构成严重威胁。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一方面，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Agent需要访问、处理和存储大量用户数据，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若遭受攻击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存在数据泄露风险。如近期首个Agent零点击漏洞曝光，攻击者只需发送一封带隐藏指令的邮件，微软的365 Copilot在后台扫描邮件时就会执行恶意指令，遵从要求访问权限内的敏感数据并对外泄露。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另一方面，A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gent依赖的“黑箱模型”使得决策过程不透明，难以向用户解释决策的依据和逻辑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，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在法律、医疗等专业领域的应用中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可能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受到极大限制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，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Agent执行任务出现不当行为时，责任归属也难以界定。</w:t>
      </w:r>
    </w:p>
    <w:p w14:paraId="7D71E93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outlineLvl w:val="2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bookmarkStart w:id="7" w:name="_Toc2973"/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协同与应用挑战：阻碍Agentic AI价值转化的现实难题</w:t>
      </w:r>
      <w:bookmarkEnd w:id="7"/>
    </w:p>
    <w:p w14:paraId="123A4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288" w:lineRule="auto"/>
        <w:ind w:firstLine="560" w:firstLineChars="200"/>
        <w:textAlignment w:val="auto"/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一是</w:t>
      </w:r>
      <w:r>
        <w:rPr>
          <w:rFonts w:hint="default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Agent通常以长文本形式输出内容，这种方式使得用户获取信息的效率低下，交互过程不够简洁直观，影响用户体验感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。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二是</w:t>
      </w:r>
      <w:r>
        <w:rPr>
          <w:rFonts w:hint="default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多智能体协同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受限，</w:t>
      </w:r>
      <w:r>
        <w:rPr>
          <w:rFonts w:hint="default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缺乏标准化的通信协议，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可能</w:t>
      </w:r>
      <w:r>
        <w:rPr>
          <w:rFonts w:hint="default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导致异构智能体在协同过程中容易出现资源分配不合理、任务冲突等问题。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三是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多Agent</w:t>
      </w:r>
      <w:r>
        <w:rPr>
          <w:rFonts w:hint="eastAsia" w:ascii="Times New Roman" w:hAnsi="Times New Roman" w:cstheme="minorEastAsia"/>
          <w:b w:val="0"/>
          <w:bCs w:val="0"/>
          <w:sz w:val="28"/>
          <w:szCs w:val="28"/>
          <w:highlight w:val="none"/>
          <w:lang w:val="en-US" w:eastAsia="zh-CN"/>
        </w:rPr>
        <w:t>协同应用面</w:t>
      </w:r>
      <w:r>
        <w:rPr>
          <w:rFonts w:hint="eastAsia" w:ascii="Times New Roman" w:hAnsi="Times New Roman" w:eastAsiaTheme="minorEastAsia" w:cstheme="minorEastAsia"/>
          <w:b w:val="0"/>
          <w:bCs w:val="0"/>
          <w:sz w:val="28"/>
          <w:szCs w:val="28"/>
          <w:highlight w:val="none"/>
          <w:lang w:val="en-US" w:eastAsia="zh-CN"/>
        </w:rPr>
        <w:t>临“幻觉累加问题”，各个智能体对任务目标和约束的理解存在偏差，多个智能体的局部决策偏差可能通过交互被放大，导致系统级失效。2024年伯克利大学的研究表明，主流多智能体大模型在复杂任务中，最差情况下正确率仅为25%。</w:t>
      </w:r>
    </w:p>
    <w:p w14:paraId="326DE512">
      <w:pPr>
        <w:rPr>
          <w:rFonts w:hint="eastAsia" w:eastAsiaTheme="minorEastAsia"/>
          <w:lang w:val="en-US" w:eastAsia="zh-CN"/>
        </w:rPr>
      </w:pPr>
      <w:bookmarkStart w:id="8" w:name="_GoBack"/>
      <w:bookmarkEnd w:id="8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529C1790">
      <w:pPr>
        <w:pStyle w:val="4"/>
        <w:snapToGrid w:val="0"/>
        <w:rPr>
          <w:rFonts w:hint="eastAsia" w:eastAsiaTheme="minorEastAsia"/>
          <w:lang w:val="en-US" w:eastAsia="zh-CN"/>
        </w:rPr>
      </w:pPr>
      <w:r>
        <w:rPr>
          <w:rStyle w:val="7"/>
        </w:rPr>
        <w:footnoteRef/>
      </w:r>
      <w:r>
        <w:rPr>
          <w:rFonts w:hint="default"/>
          <w:b w:val="0"/>
          <w:bCs w:val="0"/>
        </w:rPr>
        <w:t>Roots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</w:rPr>
        <w:t>Analysis</w:t>
      </w:r>
      <w:r>
        <w:rPr>
          <w:rFonts w:hint="eastAsia"/>
          <w:b w:val="0"/>
          <w:bCs w:val="0"/>
          <w:lang w:val="en-US" w:eastAsia="zh-CN"/>
        </w:rPr>
        <w:t>预测数据</w:t>
      </w:r>
      <w:r>
        <w:rPr>
          <w:rFonts w:hint="default"/>
          <w:b w:val="0"/>
          <w:bCs w:val="0"/>
        </w:rPr>
        <w:t>，国信证券经济研究所</w:t>
      </w:r>
      <w:r>
        <w:rPr>
          <w:rFonts w:hint="eastAsia"/>
          <w:b w:val="0"/>
          <w:bCs w:val="0"/>
          <w:lang w:val="en-US" w:eastAsia="zh-CN"/>
        </w:rPr>
        <w:t>整理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D7B45A"/>
    <w:multiLevelType w:val="singleLevel"/>
    <w:tmpl w:val="D2D7B45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9A1454A"/>
    <w:multiLevelType w:val="singleLevel"/>
    <w:tmpl w:val="09A1454A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1400C6A2"/>
    <w:multiLevelType w:val="singleLevel"/>
    <w:tmpl w:val="1400C6A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E7503D"/>
    <w:rsid w:val="77E0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qFormat/>
    <w:uiPriority w:val="99"/>
    <w:pPr>
      <w:keepNext/>
      <w:keepLines/>
      <w:spacing w:line="412" w:lineRule="auto"/>
      <w:outlineLvl w:val="1"/>
    </w:pPr>
    <w:rPr>
      <w:rFonts w:ascii="Arial" w:hAnsi="Arial" w:eastAsia="黑体" w:cs="Times New Roman"/>
      <w:b/>
      <w:sz w:val="32"/>
      <w:szCs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character" w:styleId="7">
    <w:name w:val="footnote reference"/>
    <w:basedOn w:val="6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2158</Words>
  <Characters>2445</Characters>
  <Lines>0</Lines>
  <Paragraphs>0</Paragraphs>
  <TotalTime>6</TotalTime>
  <ScaleCrop>false</ScaleCrop>
  <LinksUpToDate>false</LinksUpToDate>
  <CharactersWithSpaces>2463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2025-06-20T00:56:00Z</dcterms:created>
  <dc:creator>zff</dc:creator>
  <cp:lastModifiedBy>夜明猪^O^</cp:lastModifiedBy>
  <dcterms:modified xsi:type="dcterms:W3CDTF">2025-06-20T01:07:30Z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eyJoZGlkIjoiYTgxYzA5NjViMmY1NjFlNjFmZDk5OGNlZTIxOWM3NWQiLCJ1c2VySWQiOiIzOTQwMDI1MzkifQ==</vt:lpwstr>
  </property>
  <property fmtid="{D5CDD505-2E9C-101B-9397-08002B2CF9AE}" pid="4" name="ICV">
    <vt:lpwstr>F8D30C16B7BA48F6857A41953A7B49BA_12</vt:lpwstr>
  </property>
</Properties>
</file>