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AA1D" w14:textId="20A87E5D" w:rsidR="00500359" w:rsidRDefault="00CE10D0">
      <w:pPr>
        <w:spacing w:after="0" w:line="240" w:lineRule="auto"/>
        <w:jc w:val="both"/>
        <w:rPr>
          <w:rFonts w:ascii="方正小标宋简体" w:eastAsia="方正小标宋简体" w:hAnsi="仿宋" w:hint="eastAsia"/>
          <w:w w:val="99"/>
          <w:sz w:val="32"/>
          <w:szCs w:val="32"/>
        </w:rPr>
      </w:pPr>
      <w:r w:rsidRPr="00CE10D0">
        <w:rPr>
          <w:rFonts w:ascii="方正小标宋简体" w:eastAsia="方正小标宋简体" w:hAnsi="仿宋" w:hint="eastAsia"/>
          <w:w w:val="99"/>
          <w:sz w:val="32"/>
          <w:szCs w:val="32"/>
        </w:rPr>
        <w:t>2025上半年数据交易所产品上新爆发，AI数据成增长引擎</w:t>
      </w:r>
    </w:p>
    <w:p w14:paraId="5B07FF3D" w14:textId="7BBB48B9" w:rsidR="00500359" w:rsidRDefault="00000000">
      <w:pPr>
        <w:spacing w:after="0" w:line="240" w:lineRule="auto"/>
        <w:ind w:firstLineChars="200" w:firstLine="560"/>
        <w:jc w:val="both"/>
        <w:rPr>
          <w:rFonts w:ascii="仿宋_GB2312" w:eastAsia="仿宋_GB2312" w:hint="eastAsia"/>
          <w:sz w:val="28"/>
          <w:szCs w:val="28"/>
        </w:rPr>
      </w:pPr>
      <w:r>
        <w:rPr>
          <w:rFonts w:ascii="仿宋_GB2312" w:eastAsia="仿宋_GB2312" w:hint="eastAsia"/>
          <w:sz w:val="28"/>
          <w:szCs w:val="28"/>
        </w:rPr>
        <w:t>数据交易场所作为落实数据流通交易政策的重要平台，推动其高质量发展、激活数据产品价值潜力尤为重要。本文收集分析国内主要数据交易场所截至2025年7月上架的52720个产品信息，从产品类型、交易情况角度，更新总结了我国数据交易场所的发展特征，为产品交易透明度</w:t>
      </w:r>
      <w:r w:rsidR="00A95C2B">
        <w:rPr>
          <w:rFonts w:ascii="仿宋_GB2312" w:eastAsia="仿宋_GB2312" w:hint="eastAsia"/>
          <w:sz w:val="28"/>
          <w:szCs w:val="28"/>
        </w:rPr>
        <w:t>及</w:t>
      </w:r>
      <w:r w:rsidR="00CE10D0">
        <w:rPr>
          <w:rFonts w:ascii="仿宋_GB2312" w:eastAsia="仿宋_GB2312" w:hint="eastAsia"/>
          <w:sz w:val="28"/>
          <w:szCs w:val="28"/>
        </w:rPr>
        <w:t>产品</w:t>
      </w:r>
      <w:r>
        <w:rPr>
          <w:rFonts w:ascii="仿宋_GB2312" w:eastAsia="仿宋_GB2312" w:hint="eastAsia"/>
          <w:sz w:val="28"/>
          <w:szCs w:val="28"/>
        </w:rPr>
        <w:t>标准统一方面提供建议。</w:t>
      </w:r>
    </w:p>
    <w:p w14:paraId="5CD7A5CB" w14:textId="77777777" w:rsidR="00500359" w:rsidRDefault="00000000">
      <w:pPr>
        <w:widowControl/>
        <w:spacing w:after="0" w:line="240" w:lineRule="auto"/>
        <w:ind w:firstLineChars="200" w:firstLine="640"/>
        <w:outlineLvl w:val="3"/>
        <w:rPr>
          <w:rFonts w:ascii="黑体" w:eastAsia="黑体" w:hAnsi="黑体" w:cs="Times New Roman" w:hint="eastAsia"/>
          <w:sz w:val="32"/>
          <w:szCs w:val="32"/>
        </w:rPr>
      </w:pPr>
      <w:r>
        <w:rPr>
          <w:rFonts w:ascii="黑体" w:eastAsia="黑体" w:hAnsi="黑体" w:cs="Times New Roman" w:hint="eastAsia"/>
          <w:sz w:val="32"/>
          <w:szCs w:val="32"/>
          <w14:ligatures w14:val="none"/>
        </w:rPr>
        <w:t>一、数据产品发展情况</w:t>
      </w:r>
    </w:p>
    <w:p w14:paraId="58004665" w14:textId="77777777" w:rsidR="00500359"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1、产品供给扩容，标签标准化待进</w:t>
      </w:r>
    </w:p>
    <w:p w14:paraId="1D996EE1" w14:textId="3200A807" w:rsidR="00500359"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宋体" w:hint="eastAsia"/>
          <w:b/>
          <w:bCs/>
          <w:kern w:val="0"/>
          <w:sz w:val="28"/>
          <w:szCs w:val="28"/>
          <w:lang w:bidi="ar"/>
        </w:rPr>
        <w:t>数据产品供给规模持续扩大，标准化水平稳步提升。</w:t>
      </w:r>
      <w:r>
        <w:rPr>
          <w:rFonts w:ascii="仿宋_GB2312" w:eastAsia="仿宋_GB2312" w:hAnsi="仿宋" w:cs="宋体" w:hint="eastAsia"/>
          <w:kern w:val="0"/>
          <w:sz w:val="28"/>
          <w:szCs w:val="28"/>
          <w:lang w:bidi="ar"/>
        </w:rPr>
        <w:t>截至2025年8月，40家数所上架52720个数据产品，较上期相比，数所数量增长1家，产品数量增长了35.4%；93%的产品标注了应用场景标签，较上期上升7.6pp；7%的产品未标注产品服务形态标签，较上期下降10.1pp。</w:t>
      </w:r>
    </w:p>
    <w:p w14:paraId="223F6D94" w14:textId="77777777" w:rsidR="00500359" w:rsidRDefault="00500359">
      <w:pPr>
        <w:spacing w:after="0" w:line="240" w:lineRule="auto"/>
        <w:jc w:val="center"/>
        <w:rPr>
          <w:rFonts w:ascii="仿宋_GB2312" w:eastAsia="仿宋_GB2312" w:hAnsi="仿宋" w:hint="eastAsia"/>
          <w:sz w:val="24"/>
        </w:rPr>
      </w:pPr>
    </w:p>
    <w:p w14:paraId="765B9750" w14:textId="77777777" w:rsidR="00500359"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noProof/>
          <w:kern w:val="0"/>
          <w:sz w:val="24"/>
          <w:lang w:bidi="ar"/>
        </w:rPr>
        <w:drawing>
          <wp:inline distT="0" distB="0" distL="0" distR="0" wp14:anchorId="5EFB2865" wp14:editId="6449A4E6">
            <wp:extent cx="5274310" cy="2521133"/>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4"/>
                    <a:stretch/>
                  </pic:blipFill>
                  <pic:spPr>
                    <a:xfrm>
                      <a:off x="0" y="0"/>
                      <a:ext cx="5274310" cy="2521133"/>
                    </a:xfrm>
                    <a:prstGeom prst="rect">
                      <a:avLst/>
                    </a:prstGeom>
                    <a:ln>
                      <a:headEnd/>
                      <a:tailEnd/>
                    </a:ln>
                  </pic:spPr>
                </pic:pic>
              </a:graphicData>
            </a:graphic>
          </wp:inline>
        </w:drawing>
      </w:r>
    </w:p>
    <w:p w14:paraId="32C8BC05" w14:textId="77777777" w:rsidR="00500359"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noProof/>
          <w:kern w:val="0"/>
          <w:sz w:val="24"/>
          <w:lang w:bidi="ar"/>
        </w:rPr>
        <w:lastRenderedPageBreak/>
        <w:drawing>
          <wp:inline distT="0" distB="0" distL="0" distR="0" wp14:anchorId="7847EF35" wp14:editId="7AB0B46B">
            <wp:extent cx="5274310" cy="2420789"/>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5"/>
                    <a:stretch/>
                  </pic:blipFill>
                  <pic:spPr>
                    <a:xfrm>
                      <a:off x="0" y="0"/>
                      <a:ext cx="5274310" cy="2420789"/>
                    </a:xfrm>
                    <a:prstGeom prst="rect">
                      <a:avLst/>
                    </a:prstGeom>
                    <a:ln>
                      <a:headEnd/>
                      <a:tailEnd/>
                    </a:ln>
                  </pic:spPr>
                </pic:pic>
              </a:graphicData>
            </a:graphic>
          </wp:inline>
        </w:drawing>
      </w:r>
    </w:p>
    <w:p w14:paraId="59E1CB48" w14:textId="77777777" w:rsidR="00500359"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kern w:val="0"/>
          <w:sz w:val="24"/>
          <w:lang w:bidi="ar"/>
          <w14:ligatures w14:val="none"/>
        </w:rPr>
        <w:t>图1 产品标签建设情况</w:t>
      </w:r>
    </w:p>
    <w:p w14:paraId="46405D3A" w14:textId="77777777" w:rsidR="00500359"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宋体" w:hint="eastAsia"/>
          <w:b/>
          <w:bCs/>
          <w:kern w:val="0"/>
          <w:sz w:val="28"/>
          <w:szCs w:val="28"/>
          <w:lang w:bidi="ar"/>
        </w:rPr>
        <w:t>产品标签体系不断丰富，标准化程度仍待提升。</w:t>
      </w:r>
      <w:r>
        <w:rPr>
          <w:rFonts w:ascii="仿宋_GB2312" w:eastAsia="仿宋_GB2312" w:hAnsi="仿宋" w:cs="宋体" w:hint="eastAsia"/>
          <w:kern w:val="0"/>
          <w:sz w:val="28"/>
          <w:szCs w:val="28"/>
          <w:lang w:bidi="ar"/>
        </w:rPr>
        <w:t>对比上期，场内给出的标签词由361种增至613种，例如生态环保场景在不同数所被划分为“绿色低碳”、“水利”、“环保”等不同颗粒度及表诉；产品服务形态标签由84种增至90种，应用数据、原始数据、数据产品等更多样的产品被纳入，分类更加精细化。</w:t>
      </w:r>
    </w:p>
    <w:p w14:paraId="2BB8F278" w14:textId="77777777" w:rsidR="00500359"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2、头部场景聚集稳定，多场景供给增强</w:t>
      </w:r>
    </w:p>
    <w:p w14:paraId="713ABF48" w14:textId="5D4DF3AB" w:rsidR="00500359"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宋体" w:hint="eastAsia"/>
          <w:b/>
          <w:bCs/>
          <w:kern w:val="0"/>
          <w:sz w:val="28"/>
          <w:szCs w:val="28"/>
          <w:lang w:bidi="ar"/>
          <w14:ligatures w14:val="none"/>
        </w:rPr>
        <w:t>Top5应用场景关联产品的聚集特征显著。</w:t>
      </w:r>
      <w:r>
        <w:rPr>
          <w:rFonts w:ascii="仿宋_GB2312" w:eastAsia="仿宋_GB2312" w:hAnsi="仿宋" w:cs="宋体" w:hint="eastAsia"/>
          <w:kern w:val="0"/>
          <w:sz w:val="28"/>
          <w:szCs w:val="28"/>
          <w:lang w:bidi="ar"/>
          <w14:ligatures w14:val="none"/>
        </w:rPr>
        <w:t>财税金融、营销商贸、航运交通、智慧城市、教育科研为本期关联产品最丰富的五大场景，其中财税金融、智慧城市长期稳居</w:t>
      </w:r>
      <w:r w:rsidR="00A20BEC">
        <w:rPr>
          <w:rFonts w:ascii="仿宋_GB2312" w:eastAsia="仿宋_GB2312" w:hAnsi="仿宋" w:cs="宋体" w:hint="eastAsia"/>
          <w:kern w:val="0"/>
          <w:sz w:val="28"/>
          <w:szCs w:val="28"/>
          <w:lang w:bidi="ar"/>
          <w14:ligatures w14:val="none"/>
        </w:rPr>
        <w:t>T</w:t>
      </w:r>
      <w:r>
        <w:rPr>
          <w:rFonts w:ascii="仿宋_GB2312" w:eastAsia="仿宋_GB2312" w:hAnsi="仿宋" w:cs="宋体" w:hint="eastAsia"/>
          <w:kern w:val="0"/>
          <w:sz w:val="28"/>
          <w:szCs w:val="28"/>
          <w:lang w:bidi="ar"/>
          <w14:ligatures w14:val="none"/>
        </w:rPr>
        <w:t>op5行列；</w:t>
      </w:r>
      <w:bookmarkStart w:id="0" w:name="OLE_LINK2"/>
      <w:r w:rsidR="00F878CA" w:rsidRPr="00F878CA">
        <w:rPr>
          <w:rFonts w:ascii="仿宋_GB2312" w:eastAsia="仿宋_GB2312" w:hAnsi="仿宋" w:cs="宋体" w:hint="eastAsia"/>
          <w:kern w:val="0"/>
          <w:sz w:val="28"/>
          <w:szCs w:val="28"/>
          <w:lang w:bidi="ar"/>
          <w14:ligatures w14:val="none"/>
        </w:rPr>
        <w:t>尽管教育科研占比低于10%，但能够进入</w:t>
      </w:r>
      <w:r w:rsidR="00AC2CD3">
        <w:rPr>
          <w:rFonts w:ascii="仿宋_GB2312" w:eastAsia="仿宋_GB2312" w:hAnsi="仿宋" w:cs="宋体" w:hint="eastAsia"/>
          <w:kern w:val="0"/>
          <w:sz w:val="28"/>
          <w:szCs w:val="28"/>
          <w:lang w:bidi="ar"/>
          <w14:ligatures w14:val="none"/>
        </w:rPr>
        <w:t>T</w:t>
      </w:r>
      <w:r w:rsidR="00F878CA" w:rsidRPr="00F878CA">
        <w:rPr>
          <w:rFonts w:ascii="仿宋_GB2312" w:eastAsia="仿宋_GB2312" w:hAnsi="仿宋" w:cs="宋体" w:hint="eastAsia"/>
          <w:kern w:val="0"/>
          <w:sz w:val="28"/>
          <w:szCs w:val="28"/>
          <w:lang w:bidi="ar"/>
          <w14:ligatures w14:val="none"/>
        </w:rPr>
        <w:t>op5，部分原因是新成立的江苏省数交所上架的产品中，教育科研应用场景占比高达1/3，从而拉高了该场景的整体排名</w:t>
      </w:r>
      <w:bookmarkEnd w:id="0"/>
      <w:r>
        <w:rPr>
          <w:rFonts w:ascii="仿宋_GB2312" w:eastAsia="仿宋_GB2312" w:hAnsi="仿宋" w:cs="宋体" w:hint="eastAsia"/>
          <w:kern w:val="0"/>
          <w:sz w:val="28"/>
          <w:szCs w:val="28"/>
          <w:lang w:bidi="ar"/>
          <w14:ligatures w14:val="none"/>
        </w:rPr>
        <w:t>。</w:t>
      </w:r>
    </w:p>
    <w:p w14:paraId="75C91740" w14:textId="77777777" w:rsidR="00500359" w:rsidRDefault="00000000">
      <w:pPr>
        <w:spacing w:after="0" w:line="240" w:lineRule="auto"/>
        <w:jc w:val="center"/>
        <w:rPr>
          <w:rFonts w:ascii="仿宋_GB2312" w:eastAsia="仿宋_GB2312" w:hAnsi="仿宋" w:hint="eastAsia"/>
          <w:sz w:val="21"/>
          <w:szCs w:val="20"/>
        </w:rPr>
      </w:pPr>
      <w:r>
        <w:rPr>
          <w:rFonts w:ascii="仿宋_GB2312" w:eastAsia="仿宋_GB2312" w:hint="eastAsia"/>
          <w:sz w:val="24"/>
          <w:szCs w:val="28"/>
        </w:rPr>
        <w:t>表1 Top5应用场景及占比近一年变化</w:t>
      </w:r>
    </w:p>
    <w:tbl>
      <w:tblPr>
        <w:tblW w:w="0" w:type="auto"/>
        <w:tblLook w:val="04A0" w:firstRow="1" w:lastRow="0" w:firstColumn="1" w:lastColumn="0" w:noHBand="0" w:noVBand="1"/>
      </w:tblPr>
      <w:tblGrid>
        <w:gridCol w:w="1313"/>
        <w:gridCol w:w="2315"/>
        <w:gridCol w:w="2348"/>
        <w:gridCol w:w="2327"/>
      </w:tblGrid>
      <w:tr w:rsidR="00500359" w14:paraId="6BE7B9FA" w14:textId="77777777">
        <w:trPr>
          <w:trHeight w:val="468"/>
        </w:trPr>
        <w:tc>
          <w:tcPr>
            <w:tcW w:w="1313" w:type="dxa"/>
            <w:tcBorders>
              <w:top w:val="single" w:sz="4" w:space="0" w:color="auto"/>
              <w:left w:val="nil"/>
              <w:bottom w:val="single" w:sz="4" w:space="0" w:color="auto"/>
              <w:right w:val="nil"/>
            </w:tcBorders>
            <w:noWrap/>
            <w:vAlign w:val="center"/>
          </w:tcPr>
          <w:p w14:paraId="3E8DFA3F" w14:textId="77777777" w:rsidR="00500359" w:rsidRDefault="00500359">
            <w:pPr>
              <w:rPr>
                <w:rFonts w:ascii="仿宋" w:eastAsia="仿宋" w:hAnsi="仿宋" w:cs="仿宋" w:hint="eastAsia"/>
                <w:szCs w:val="22"/>
              </w:rPr>
            </w:pPr>
          </w:p>
        </w:tc>
        <w:tc>
          <w:tcPr>
            <w:tcW w:w="2315" w:type="dxa"/>
            <w:tcBorders>
              <w:top w:val="single" w:sz="4" w:space="0" w:color="auto"/>
              <w:left w:val="nil"/>
              <w:bottom w:val="single" w:sz="4" w:space="0" w:color="auto"/>
              <w:right w:val="nil"/>
            </w:tcBorders>
            <w:noWrap/>
            <w:vAlign w:val="center"/>
          </w:tcPr>
          <w:p w14:paraId="67C6106F" w14:textId="77777777" w:rsidR="00500359" w:rsidRDefault="00000000">
            <w:pPr>
              <w:rPr>
                <w:rFonts w:ascii="仿宋" w:eastAsia="仿宋" w:hAnsi="仿宋" w:cs="仿宋" w:hint="eastAsia"/>
                <w:szCs w:val="22"/>
              </w:rPr>
            </w:pPr>
            <w:r>
              <w:rPr>
                <w:rFonts w:ascii="仿宋" w:eastAsia="仿宋" w:hAnsi="仿宋" w:cs="仿宋" w:hint="eastAsia"/>
                <w:szCs w:val="22"/>
              </w:rPr>
              <w:t>2024 年 8 月</w:t>
            </w:r>
          </w:p>
        </w:tc>
        <w:tc>
          <w:tcPr>
            <w:tcW w:w="2348" w:type="dxa"/>
            <w:tcBorders>
              <w:top w:val="single" w:sz="4" w:space="0" w:color="auto"/>
              <w:left w:val="nil"/>
              <w:bottom w:val="single" w:sz="4" w:space="0" w:color="auto"/>
              <w:right w:val="nil"/>
            </w:tcBorders>
            <w:noWrap/>
            <w:vAlign w:val="center"/>
          </w:tcPr>
          <w:p w14:paraId="34717274" w14:textId="77777777" w:rsidR="00500359" w:rsidRDefault="00000000">
            <w:pPr>
              <w:rPr>
                <w:rFonts w:ascii="仿宋" w:eastAsia="仿宋" w:hAnsi="仿宋" w:cs="仿宋" w:hint="eastAsia"/>
                <w:szCs w:val="22"/>
              </w:rPr>
            </w:pPr>
            <w:r>
              <w:rPr>
                <w:rFonts w:ascii="仿宋" w:eastAsia="仿宋" w:hAnsi="仿宋" w:cs="仿宋" w:hint="eastAsia"/>
                <w:szCs w:val="22"/>
              </w:rPr>
              <w:t>2025 年 1 月</w:t>
            </w:r>
          </w:p>
        </w:tc>
        <w:tc>
          <w:tcPr>
            <w:tcW w:w="2327" w:type="dxa"/>
            <w:tcBorders>
              <w:top w:val="single" w:sz="4" w:space="0" w:color="auto"/>
              <w:left w:val="nil"/>
              <w:bottom w:val="single" w:sz="4" w:space="0" w:color="auto"/>
              <w:right w:val="nil"/>
            </w:tcBorders>
            <w:noWrap/>
            <w:vAlign w:val="center"/>
          </w:tcPr>
          <w:p w14:paraId="7F4096D7" w14:textId="77777777" w:rsidR="00500359" w:rsidRDefault="00000000">
            <w:pPr>
              <w:rPr>
                <w:rFonts w:ascii="仿宋" w:eastAsia="仿宋" w:hAnsi="仿宋" w:cs="仿宋" w:hint="eastAsia"/>
                <w:szCs w:val="22"/>
              </w:rPr>
            </w:pPr>
            <w:r>
              <w:rPr>
                <w:rFonts w:ascii="仿宋" w:eastAsia="仿宋" w:hAnsi="仿宋" w:cs="仿宋" w:hint="eastAsia"/>
                <w:szCs w:val="22"/>
              </w:rPr>
              <w:t>2025 年 8 月</w:t>
            </w:r>
          </w:p>
        </w:tc>
      </w:tr>
      <w:tr w:rsidR="00500359" w14:paraId="4452DEC3" w14:textId="77777777">
        <w:trPr>
          <w:trHeight w:val="378"/>
        </w:trPr>
        <w:tc>
          <w:tcPr>
            <w:tcW w:w="1313" w:type="dxa"/>
            <w:tcBorders>
              <w:top w:val="single" w:sz="4" w:space="0" w:color="auto"/>
              <w:left w:val="nil"/>
              <w:bottom w:val="nil"/>
              <w:right w:val="nil"/>
            </w:tcBorders>
            <w:noWrap/>
            <w:vAlign w:val="center"/>
          </w:tcPr>
          <w:p w14:paraId="33D6A009" w14:textId="77777777" w:rsidR="00500359" w:rsidRDefault="00000000">
            <w:pPr>
              <w:rPr>
                <w:rFonts w:ascii="仿宋" w:eastAsia="仿宋" w:hAnsi="仿宋" w:cs="仿宋" w:hint="eastAsia"/>
                <w:szCs w:val="22"/>
              </w:rPr>
            </w:pPr>
            <w:r>
              <w:rPr>
                <w:rFonts w:ascii="仿宋" w:eastAsia="仿宋" w:hAnsi="仿宋" w:cs="仿宋" w:hint="eastAsia"/>
                <w:szCs w:val="22"/>
              </w:rPr>
              <w:t>Top1 场景</w:t>
            </w:r>
          </w:p>
        </w:tc>
        <w:tc>
          <w:tcPr>
            <w:tcW w:w="2315" w:type="dxa"/>
            <w:tcBorders>
              <w:top w:val="single" w:sz="4" w:space="0" w:color="auto"/>
              <w:left w:val="nil"/>
              <w:bottom w:val="nil"/>
              <w:right w:val="nil"/>
            </w:tcBorders>
            <w:noWrap/>
            <w:vAlign w:val="center"/>
          </w:tcPr>
          <w:p w14:paraId="4BC6489E" w14:textId="77777777" w:rsidR="00500359" w:rsidRDefault="00000000">
            <w:pPr>
              <w:rPr>
                <w:rFonts w:ascii="仿宋" w:eastAsia="仿宋" w:hAnsi="仿宋" w:cs="仿宋" w:hint="eastAsia"/>
                <w:szCs w:val="22"/>
              </w:rPr>
            </w:pPr>
            <w:r>
              <w:rPr>
                <w:rFonts w:ascii="仿宋" w:eastAsia="仿宋" w:hAnsi="仿宋" w:cs="仿宋" w:hint="eastAsia"/>
                <w:szCs w:val="22"/>
              </w:rPr>
              <w:t>财税金融 (22.2%)</w:t>
            </w:r>
            <w:r>
              <w:rPr>
                <w:rFonts w:ascii="仿宋" w:eastAsia="仿宋" w:hAnsi="仿宋" w:cs="仿宋" w:hint="eastAsia"/>
                <w:color w:val="4EA72E" w:themeColor="accent6"/>
                <w:szCs w:val="22"/>
              </w:rPr>
              <w:t>↓</w:t>
            </w:r>
          </w:p>
        </w:tc>
        <w:tc>
          <w:tcPr>
            <w:tcW w:w="2348" w:type="dxa"/>
            <w:tcBorders>
              <w:top w:val="single" w:sz="4" w:space="0" w:color="auto"/>
              <w:left w:val="nil"/>
              <w:bottom w:val="nil"/>
              <w:right w:val="nil"/>
            </w:tcBorders>
            <w:noWrap/>
            <w:vAlign w:val="center"/>
          </w:tcPr>
          <w:p w14:paraId="10DCBCF4" w14:textId="77777777" w:rsidR="00500359" w:rsidRDefault="00000000">
            <w:pPr>
              <w:rPr>
                <w:rFonts w:ascii="仿宋" w:eastAsia="仿宋" w:hAnsi="仿宋" w:cs="仿宋" w:hint="eastAsia"/>
                <w:szCs w:val="22"/>
              </w:rPr>
            </w:pPr>
            <w:r>
              <w:rPr>
                <w:rFonts w:ascii="仿宋" w:eastAsia="仿宋" w:hAnsi="仿宋" w:cs="仿宋" w:hint="eastAsia"/>
                <w:szCs w:val="22"/>
              </w:rPr>
              <w:t>财税金融 (19.6%)</w:t>
            </w:r>
            <w:r>
              <w:rPr>
                <w:rFonts w:ascii="仿宋" w:eastAsia="仿宋" w:hAnsi="仿宋" w:cs="仿宋" w:hint="eastAsia"/>
                <w:color w:val="4EA72E" w:themeColor="accent6"/>
                <w:szCs w:val="22"/>
              </w:rPr>
              <w:t>↓</w:t>
            </w:r>
          </w:p>
        </w:tc>
        <w:tc>
          <w:tcPr>
            <w:tcW w:w="2327" w:type="dxa"/>
            <w:tcBorders>
              <w:top w:val="single" w:sz="4" w:space="0" w:color="auto"/>
              <w:left w:val="nil"/>
              <w:bottom w:val="nil"/>
              <w:right w:val="nil"/>
            </w:tcBorders>
            <w:shd w:val="clear" w:color="auto" w:fill="FFFFFF"/>
            <w:vAlign w:val="center"/>
          </w:tcPr>
          <w:p w14:paraId="7F499129" w14:textId="77777777" w:rsidR="00500359" w:rsidRDefault="00000000">
            <w:pPr>
              <w:rPr>
                <w:rFonts w:ascii="仿宋" w:eastAsia="仿宋" w:hAnsi="仿宋" w:cs="仿宋" w:hint="eastAsia"/>
                <w:szCs w:val="22"/>
              </w:rPr>
            </w:pPr>
            <w:r>
              <w:rPr>
                <w:rFonts w:ascii="仿宋" w:eastAsia="仿宋" w:hAnsi="仿宋" w:cs="仿宋" w:hint="eastAsia"/>
                <w:szCs w:val="22"/>
              </w:rPr>
              <w:t>财税金融 (17.8%)</w:t>
            </w:r>
            <w:r>
              <w:rPr>
                <w:rFonts w:ascii="仿宋" w:eastAsia="仿宋" w:hAnsi="仿宋" w:cs="仿宋" w:hint="eastAsia"/>
                <w:color w:val="4EA72E" w:themeColor="accent6"/>
                <w:szCs w:val="22"/>
              </w:rPr>
              <w:t>↓</w:t>
            </w:r>
          </w:p>
        </w:tc>
      </w:tr>
      <w:tr w:rsidR="00500359" w14:paraId="61D2FD56" w14:textId="77777777">
        <w:trPr>
          <w:trHeight w:val="460"/>
        </w:trPr>
        <w:tc>
          <w:tcPr>
            <w:tcW w:w="1313" w:type="dxa"/>
            <w:tcBorders>
              <w:top w:val="nil"/>
              <w:left w:val="nil"/>
              <w:bottom w:val="nil"/>
              <w:right w:val="nil"/>
            </w:tcBorders>
            <w:noWrap/>
            <w:vAlign w:val="center"/>
          </w:tcPr>
          <w:p w14:paraId="3A38A4E6" w14:textId="77777777" w:rsidR="00500359" w:rsidRDefault="00000000">
            <w:pPr>
              <w:rPr>
                <w:rFonts w:ascii="仿宋" w:eastAsia="仿宋" w:hAnsi="仿宋" w:cs="仿宋" w:hint="eastAsia"/>
                <w:szCs w:val="22"/>
              </w:rPr>
            </w:pPr>
            <w:r>
              <w:rPr>
                <w:rFonts w:ascii="仿宋" w:eastAsia="仿宋" w:hAnsi="仿宋" w:cs="仿宋" w:hint="eastAsia"/>
                <w:szCs w:val="22"/>
              </w:rPr>
              <w:lastRenderedPageBreak/>
              <w:t>Top2 场景</w:t>
            </w:r>
          </w:p>
        </w:tc>
        <w:tc>
          <w:tcPr>
            <w:tcW w:w="2315" w:type="dxa"/>
            <w:tcBorders>
              <w:top w:val="nil"/>
              <w:left w:val="nil"/>
              <w:bottom w:val="nil"/>
              <w:right w:val="nil"/>
            </w:tcBorders>
            <w:noWrap/>
            <w:vAlign w:val="center"/>
          </w:tcPr>
          <w:p w14:paraId="2A1ADF07" w14:textId="77777777" w:rsidR="00500359" w:rsidRDefault="00000000">
            <w:pPr>
              <w:rPr>
                <w:rFonts w:ascii="仿宋" w:eastAsia="仿宋" w:hAnsi="仿宋" w:cs="仿宋" w:hint="eastAsia"/>
                <w:szCs w:val="22"/>
              </w:rPr>
            </w:pPr>
            <w:r>
              <w:rPr>
                <w:rFonts w:ascii="仿宋" w:eastAsia="仿宋" w:hAnsi="仿宋" w:cs="仿宋" w:hint="eastAsia"/>
                <w:szCs w:val="22"/>
              </w:rPr>
              <w:t>航运交通 (13.0%)</w:t>
            </w:r>
            <w:r>
              <w:rPr>
                <w:rFonts w:ascii="仿宋" w:eastAsia="仿宋" w:hAnsi="仿宋" w:cs="仿宋" w:hint="eastAsia"/>
                <w:color w:val="FF0000"/>
                <w:szCs w:val="22"/>
              </w:rPr>
              <w:t>↑</w:t>
            </w:r>
          </w:p>
        </w:tc>
        <w:tc>
          <w:tcPr>
            <w:tcW w:w="2348" w:type="dxa"/>
            <w:tcBorders>
              <w:top w:val="nil"/>
              <w:left w:val="nil"/>
              <w:bottom w:val="nil"/>
              <w:right w:val="nil"/>
            </w:tcBorders>
            <w:noWrap/>
            <w:vAlign w:val="center"/>
          </w:tcPr>
          <w:p w14:paraId="63EAD05B" w14:textId="77777777" w:rsidR="00500359" w:rsidRDefault="00000000">
            <w:pPr>
              <w:rPr>
                <w:rFonts w:ascii="仿宋" w:eastAsia="仿宋" w:hAnsi="仿宋" w:cs="仿宋" w:hint="eastAsia"/>
                <w:szCs w:val="22"/>
              </w:rPr>
            </w:pPr>
            <w:r>
              <w:rPr>
                <w:rFonts w:ascii="仿宋" w:eastAsia="仿宋" w:hAnsi="仿宋" w:cs="仿宋" w:hint="eastAsia"/>
                <w:szCs w:val="22"/>
              </w:rPr>
              <w:t>营销商贸 (16.1%)</w:t>
            </w:r>
            <w:r>
              <w:rPr>
                <w:rFonts w:ascii="仿宋" w:eastAsia="仿宋" w:hAnsi="仿宋" w:cs="仿宋" w:hint="eastAsia"/>
                <w:color w:val="FF0000"/>
                <w:szCs w:val="22"/>
              </w:rPr>
              <w:t>↑</w:t>
            </w:r>
          </w:p>
        </w:tc>
        <w:tc>
          <w:tcPr>
            <w:tcW w:w="2327" w:type="dxa"/>
            <w:tcBorders>
              <w:top w:val="nil"/>
              <w:left w:val="nil"/>
              <w:bottom w:val="nil"/>
              <w:right w:val="nil"/>
            </w:tcBorders>
            <w:shd w:val="clear" w:color="auto" w:fill="FFFFFF"/>
            <w:vAlign w:val="center"/>
          </w:tcPr>
          <w:p w14:paraId="42481178" w14:textId="77777777" w:rsidR="00500359" w:rsidRDefault="00000000">
            <w:pPr>
              <w:rPr>
                <w:rFonts w:ascii="仿宋" w:eastAsia="仿宋" w:hAnsi="仿宋" w:cs="仿宋" w:hint="eastAsia"/>
                <w:szCs w:val="22"/>
              </w:rPr>
            </w:pPr>
            <w:r>
              <w:rPr>
                <w:rFonts w:ascii="仿宋" w:eastAsia="仿宋" w:hAnsi="仿宋" w:cs="仿宋" w:hint="eastAsia"/>
                <w:szCs w:val="22"/>
              </w:rPr>
              <w:t>航运交通 (13.1%)</w:t>
            </w:r>
            <w:r>
              <w:rPr>
                <w:rFonts w:ascii="仿宋" w:eastAsia="仿宋" w:hAnsi="仿宋" w:cs="仿宋" w:hint="eastAsia"/>
                <w:color w:val="4EA72E" w:themeColor="accent6"/>
                <w:szCs w:val="22"/>
              </w:rPr>
              <w:t>↓</w:t>
            </w:r>
          </w:p>
        </w:tc>
      </w:tr>
      <w:tr w:rsidR="00500359" w14:paraId="6D0D5E04" w14:textId="77777777">
        <w:trPr>
          <w:trHeight w:val="460"/>
        </w:trPr>
        <w:tc>
          <w:tcPr>
            <w:tcW w:w="1313" w:type="dxa"/>
            <w:tcBorders>
              <w:top w:val="nil"/>
              <w:left w:val="nil"/>
              <w:bottom w:val="nil"/>
              <w:right w:val="nil"/>
            </w:tcBorders>
            <w:noWrap/>
            <w:vAlign w:val="center"/>
          </w:tcPr>
          <w:p w14:paraId="764DB6CA" w14:textId="77777777" w:rsidR="00500359" w:rsidRDefault="00000000">
            <w:pPr>
              <w:rPr>
                <w:rFonts w:ascii="仿宋" w:eastAsia="仿宋" w:hAnsi="仿宋" w:cs="仿宋" w:hint="eastAsia"/>
                <w:szCs w:val="22"/>
              </w:rPr>
            </w:pPr>
            <w:r>
              <w:rPr>
                <w:rFonts w:ascii="仿宋" w:eastAsia="仿宋" w:hAnsi="仿宋" w:cs="仿宋" w:hint="eastAsia"/>
                <w:szCs w:val="22"/>
              </w:rPr>
              <w:t>Top3 场景</w:t>
            </w:r>
          </w:p>
        </w:tc>
        <w:tc>
          <w:tcPr>
            <w:tcW w:w="2315" w:type="dxa"/>
            <w:tcBorders>
              <w:top w:val="nil"/>
              <w:left w:val="nil"/>
              <w:bottom w:val="nil"/>
              <w:right w:val="nil"/>
            </w:tcBorders>
            <w:noWrap/>
            <w:vAlign w:val="center"/>
          </w:tcPr>
          <w:p w14:paraId="1E6A4877" w14:textId="77777777" w:rsidR="00500359" w:rsidRDefault="00000000">
            <w:pPr>
              <w:rPr>
                <w:rFonts w:ascii="仿宋" w:eastAsia="仿宋" w:hAnsi="仿宋" w:cs="仿宋" w:hint="eastAsia"/>
                <w:szCs w:val="22"/>
              </w:rPr>
            </w:pPr>
            <w:r>
              <w:rPr>
                <w:rFonts w:ascii="仿宋" w:eastAsia="仿宋" w:hAnsi="仿宋" w:cs="仿宋" w:hint="eastAsia"/>
                <w:szCs w:val="22"/>
              </w:rPr>
              <w:t>生活服务 (11.4%)</w:t>
            </w:r>
            <w:r>
              <w:rPr>
                <w:rFonts w:ascii="仿宋" w:eastAsia="仿宋" w:hAnsi="仿宋" w:cs="仿宋" w:hint="eastAsia"/>
                <w:color w:val="FF0000"/>
                <w:szCs w:val="22"/>
              </w:rPr>
              <w:t>↑</w:t>
            </w:r>
          </w:p>
        </w:tc>
        <w:tc>
          <w:tcPr>
            <w:tcW w:w="2348" w:type="dxa"/>
            <w:tcBorders>
              <w:top w:val="nil"/>
              <w:left w:val="nil"/>
              <w:bottom w:val="nil"/>
              <w:right w:val="nil"/>
            </w:tcBorders>
            <w:noWrap/>
            <w:vAlign w:val="center"/>
          </w:tcPr>
          <w:p w14:paraId="6E6AB20D" w14:textId="77777777" w:rsidR="00500359" w:rsidRDefault="00000000">
            <w:pPr>
              <w:rPr>
                <w:rFonts w:ascii="仿宋" w:eastAsia="仿宋" w:hAnsi="仿宋" w:cs="仿宋" w:hint="eastAsia"/>
                <w:szCs w:val="22"/>
              </w:rPr>
            </w:pPr>
            <w:r>
              <w:rPr>
                <w:rFonts w:ascii="仿宋" w:eastAsia="仿宋" w:hAnsi="仿宋" w:cs="仿宋" w:hint="eastAsia"/>
                <w:szCs w:val="22"/>
              </w:rPr>
              <w:t>航运交通 (14.3%)</w:t>
            </w:r>
            <w:r>
              <w:rPr>
                <w:rFonts w:ascii="仿宋" w:eastAsia="仿宋" w:hAnsi="仿宋" w:cs="仿宋" w:hint="eastAsia"/>
                <w:color w:val="FF0000"/>
                <w:szCs w:val="22"/>
              </w:rPr>
              <w:t>↑</w:t>
            </w:r>
          </w:p>
        </w:tc>
        <w:tc>
          <w:tcPr>
            <w:tcW w:w="2327" w:type="dxa"/>
            <w:tcBorders>
              <w:top w:val="nil"/>
              <w:left w:val="nil"/>
              <w:bottom w:val="nil"/>
              <w:right w:val="nil"/>
            </w:tcBorders>
            <w:shd w:val="clear" w:color="auto" w:fill="FFFFFF"/>
            <w:vAlign w:val="center"/>
          </w:tcPr>
          <w:p w14:paraId="0E3D9F1A" w14:textId="77777777" w:rsidR="00500359" w:rsidRDefault="00000000">
            <w:pPr>
              <w:rPr>
                <w:rFonts w:ascii="仿宋" w:eastAsia="仿宋" w:hAnsi="仿宋" w:cs="仿宋" w:hint="eastAsia"/>
                <w:szCs w:val="22"/>
              </w:rPr>
            </w:pPr>
            <w:r>
              <w:rPr>
                <w:rFonts w:ascii="仿宋" w:eastAsia="仿宋" w:hAnsi="仿宋" w:cs="仿宋" w:hint="eastAsia"/>
                <w:szCs w:val="22"/>
              </w:rPr>
              <w:t>智慧城市 (12.0%)</w:t>
            </w:r>
            <w:r>
              <w:rPr>
                <w:rFonts w:ascii="仿宋" w:eastAsia="仿宋" w:hAnsi="仿宋" w:cs="仿宋" w:hint="eastAsia"/>
                <w:color w:val="4EA72E" w:themeColor="accent6"/>
                <w:szCs w:val="22"/>
              </w:rPr>
              <w:t>↓</w:t>
            </w:r>
          </w:p>
        </w:tc>
      </w:tr>
      <w:tr w:rsidR="00500359" w14:paraId="7A6B5046" w14:textId="77777777">
        <w:trPr>
          <w:trHeight w:val="460"/>
        </w:trPr>
        <w:tc>
          <w:tcPr>
            <w:tcW w:w="1313" w:type="dxa"/>
            <w:tcBorders>
              <w:top w:val="nil"/>
              <w:left w:val="nil"/>
              <w:bottom w:val="nil"/>
              <w:right w:val="nil"/>
            </w:tcBorders>
            <w:noWrap/>
            <w:vAlign w:val="center"/>
          </w:tcPr>
          <w:p w14:paraId="34DCBAC9" w14:textId="77777777" w:rsidR="00500359" w:rsidRDefault="00000000">
            <w:pPr>
              <w:rPr>
                <w:rFonts w:ascii="仿宋" w:eastAsia="仿宋" w:hAnsi="仿宋" w:cs="仿宋" w:hint="eastAsia"/>
                <w:szCs w:val="22"/>
              </w:rPr>
            </w:pPr>
            <w:r>
              <w:rPr>
                <w:rFonts w:ascii="仿宋" w:eastAsia="仿宋" w:hAnsi="仿宋" w:cs="仿宋" w:hint="eastAsia"/>
                <w:szCs w:val="22"/>
              </w:rPr>
              <w:t>Top4 场景</w:t>
            </w:r>
          </w:p>
        </w:tc>
        <w:tc>
          <w:tcPr>
            <w:tcW w:w="2315" w:type="dxa"/>
            <w:tcBorders>
              <w:top w:val="nil"/>
              <w:left w:val="nil"/>
              <w:bottom w:val="nil"/>
              <w:right w:val="nil"/>
            </w:tcBorders>
            <w:noWrap/>
            <w:vAlign w:val="center"/>
          </w:tcPr>
          <w:p w14:paraId="12F68A43" w14:textId="77777777" w:rsidR="00500359" w:rsidRDefault="00000000">
            <w:pPr>
              <w:rPr>
                <w:rFonts w:ascii="仿宋" w:eastAsia="仿宋" w:hAnsi="仿宋" w:cs="仿宋" w:hint="eastAsia"/>
                <w:szCs w:val="22"/>
              </w:rPr>
            </w:pPr>
            <w:r>
              <w:rPr>
                <w:rFonts w:ascii="仿宋" w:eastAsia="仿宋" w:hAnsi="仿宋" w:cs="仿宋" w:hint="eastAsia"/>
                <w:szCs w:val="22"/>
              </w:rPr>
              <w:t>智慧城市 (11.3%)</w:t>
            </w:r>
            <w:r>
              <w:rPr>
                <w:rFonts w:ascii="仿宋" w:eastAsia="仿宋" w:hAnsi="仿宋" w:cs="仿宋" w:hint="eastAsia"/>
                <w:color w:val="4EA72E" w:themeColor="accent6"/>
                <w:szCs w:val="22"/>
              </w:rPr>
              <w:t>↓</w:t>
            </w:r>
          </w:p>
        </w:tc>
        <w:tc>
          <w:tcPr>
            <w:tcW w:w="2348" w:type="dxa"/>
            <w:tcBorders>
              <w:top w:val="nil"/>
              <w:left w:val="nil"/>
              <w:bottom w:val="nil"/>
              <w:right w:val="nil"/>
            </w:tcBorders>
            <w:noWrap/>
            <w:vAlign w:val="center"/>
          </w:tcPr>
          <w:p w14:paraId="1722ECA2" w14:textId="77777777" w:rsidR="00500359" w:rsidRDefault="00000000">
            <w:pPr>
              <w:rPr>
                <w:rFonts w:ascii="仿宋" w:eastAsia="仿宋" w:hAnsi="仿宋" w:cs="仿宋" w:hint="eastAsia"/>
                <w:szCs w:val="22"/>
              </w:rPr>
            </w:pPr>
            <w:r>
              <w:rPr>
                <w:rFonts w:ascii="仿宋" w:eastAsia="仿宋" w:hAnsi="仿宋" w:cs="仿宋" w:hint="eastAsia"/>
                <w:szCs w:val="22"/>
              </w:rPr>
              <w:t>智慧城市 (12.4%)</w:t>
            </w:r>
            <w:r>
              <w:rPr>
                <w:rFonts w:ascii="仿宋" w:eastAsia="仿宋" w:hAnsi="仿宋" w:cs="仿宋" w:hint="eastAsia"/>
                <w:color w:val="FF0000"/>
                <w:szCs w:val="22"/>
              </w:rPr>
              <w:t>↑</w:t>
            </w:r>
          </w:p>
        </w:tc>
        <w:tc>
          <w:tcPr>
            <w:tcW w:w="2327" w:type="dxa"/>
            <w:tcBorders>
              <w:top w:val="nil"/>
              <w:left w:val="nil"/>
              <w:bottom w:val="nil"/>
              <w:right w:val="nil"/>
            </w:tcBorders>
            <w:shd w:val="clear" w:color="auto" w:fill="FFFFFF"/>
            <w:vAlign w:val="center"/>
          </w:tcPr>
          <w:p w14:paraId="31DCB07C" w14:textId="77777777" w:rsidR="00500359" w:rsidRDefault="00000000">
            <w:pPr>
              <w:rPr>
                <w:rFonts w:ascii="仿宋" w:eastAsia="仿宋" w:hAnsi="仿宋" w:cs="仿宋" w:hint="eastAsia"/>
                <w:szCs w:val="22"/>
              </w:rPr>
            </w:pPr>
            <w:r>
              <w:rPr>
                <w:rFonts w:ascii="仿宋" w:eastAsia="仿宋" w:hAnsi="仿宋" w:cs="仿宋" w:hint="eastAsia"/>
                <w:szCs w:val="22"/>
              </w:rPr>
              <w:t>营销商贸(10.1%)</w:t>
            </w:r>
            <w:r>
              <w:rPr>
                <w:rFonts w:ascii="仿宋" w:eastAsia="仿宋" w:hAnsi="仿宋" w:cs="仿宋" w:hint="eastAsia"/>
                <w:color w:val="4EA72E" w:themeColor="accent6"/>
                <w:szCs w:val="22"/>
              </w:rPr>
              <w:t>↓</w:t>
            </w:r>
          </w:p>
        </w:tc>
      </w:tr>
      <w:tr w:rsidR="00500359" w14:paraId="0E9832DA" w14:textId="77777777">
        <w:trPr>
          <w:trHeight w:val="468"/>
        </w:trPr>
        <w:tc>
          <w:tcPr>
            <w:tcW w:w="1313" w:type="dxa"/>
            <w:tcBorders>
              <w:top w:val="nil"/>
              <w:left w:val="nil"/>
              <w:bottom w:val="single" w:sz="4" w:space="0" w:color="auto"/>
              <w:right w:val="nil"/>
            </w:tcBorders>
            <w:noWrap/>
            <w:vAlign w:val="center"/>
          </w:tcPr>
          <w:p w14:paraId="01F3755C" w14:textId="77777777" w:rsidR="00500359" w:rsidRDefault="00000000">
            <w:pPr>
              <w:rPr>
                <w:rFonts w:ascii="仿宋" w:eastAsia="仿宋" w:hAnsi="仿宋" w:cs="仿宋" w:hint="eastAsia"/>
                <w:szCs w:val="22"/>
              </w:rPr>
            </w:pPr>
            <w:r>
              <w:rPr>
                <w:rFonts w:ascii="仿宋" w:eastAsia="仿宋" w:hAnsi="仿宋" w:cs="仿宋" w:hint="eastAsia"/>
                <w:szCs w:val="22"/>
              </w:rPr>
              <w:t>Top5 场景</w:t>
            </w:r>
          </w:p>
        </w:tc>
        <w:tc>
          <w:tcPr>
            <w:tcW w:w="2315" w:type="dxa"/>
            <w:tcBorders>
              <w:top w:val="nil"/>
              <w:left w:val="nil"/>
              <w:bottom w:val="single" w:sz="4" w:space="0" w:color="auto"/>
              <w:right w:val="nil"/>
            </w:tcBorders>
            <w:noWrap/>
            <w:vAlign w:val="center"/>
          </w:tcPr>
          <w:p w14:paraId="73E9FB7F" w14:textId="77777777" w:rsidR="00500359" w:rsidRDefault="00000000">
            <w:pPr>
              <w:rPr>
                <w:rFonts w:ascii="仿宋" w:eastAsia="仿宋" w:hAnsi="仿宋" w:cs="仿宋" w:hint="eastAsia"/>
                <w:szCs w:val="22"/>
              </w:rPr>
            </w:pPr>
            <w:r>
              <w:rPr>
                <w:rFonts w:ascii="仿宋" w:eastAsia="仿宋" w:hAnsi="仿宋" w:cs="仿宋" w:hint="eastAsia"/>
                <w:szCs w:val="22"/>
              </w:rPr>
              <w:t>营销商贸 (10.7%)</w:t>
            </w:r>
            <w:r>
              <w:rPr>
                <w:rFonts w:ascii="仿宋" w:eastAsia="仿宋" w:hAnsi="仿宋" w:cs="仿宋" w:hint="eastAsia"/>
                <w:color w:val="FF0000"/>
                <w:szCs w:val="22"/>
              </w:rPr>
              <w:t>↑</w:t>
            </w:r>
          </w:p>
        </w:tc>
        <w:tc>
          <w:tcPr>
            <w:tcW w:w="2348" w:type="dxa"/>
            <w:tcBorders>
              <w:top w:val="nil"/>
              <w:left w:val="nil"/>
              <w:bottom w:val="single" w:sz="4" w:space="0" w:color="auto"/>
              <w:right w:val="nil"/>
            </w:tcBorders>
            <w:noWrap/>
            <w:vAlign w:val="center"/>
          </w:tcPr>
          <w:p w14:paraId="7262365D" w14:textId="77777777" w:rsidR="00500359" w:rsidRDefault="00000000">
            <w:pPr>
              <w:rPr>
                <w:rFonts w:ascii="仿宋" w:eastAsia="仿宋" w:hAnsi="仿宋" w:cs="仿宋" w:hint="eastAsia"/>
                <w:szCs w:val="22"/>
              </w:rPr>
            </w:pPr>
            <w:r>
              <w:rPr>
                <w:rFonts w:ascii="仿宋" w:eastAsia="仿宋" w:hAnsi="仿宋" w:cs="仿宋" w:hint="eastAsia"/>
                <w:szCs w:val="22"/>
              </w:rPr>
              <w:t>信用服务 (12.0%)</w:t>
            </w:r>
            <w:r>
              <w:rPr>
                <w:rFonts w:ascii="仿宋" w:eastAsia="仿宋" w:hAnsi="仿宋" w:cs="仿宋" w:hint="eastAsia"/>
                <w:color w:val="FF0000"/>
                <w:szCs w:val="22"/>
              </w:rPr>
              <w:t>↑</w:t>
            </w:r>
          </w:p>
        </w:tc>
        <w:tc>
          <w:tcPr>
            <w:tcW w:w="2327" w:type="dxa"/>
            <w:tcBorders>
              <w:top w:val="nil"/>
              <w:left w:val="nil"/>
              <w:bottom w:val="single" w:sz="4" w:space="0" w:color="auto"/>
              <w:right w:val="nil"/>
            </w:tcBorders>
            <w:shd w:val="clear" w:color="auto" w:fill="FFFFFF"/>
            <w:vAlign w:val="center"/>
          </w:tcPr>
          <w:p w14:paraId="3CCC8F09" w14:textId="77777777" w:rsidR="00500359" w:rsidRDefault="00000000">
            <w:pPr>
              <w:rPr>
                <w:rFonts w:ascii="仿宋" w:eastAsia="仿宋" w:hAnsi="仿宋" w:cs="仿宋" w:hint="eastAsia"/>
                <w:szCs w:val="22"/>
              </w:rPr>
            </w:pPr>
            <w:r>
              <w:rPr>
                <w:rFonts w:ascii="仿宋" w:eastAsia="仿宋" w:hAnsi="仿宋" w:cs="仿宋" w:hint="eastAsia"/>
                <w:szCs w:val="22"/>
              </w:rPr>
              <w:t>教育科研 (9.6%)</w:t>
            </w:r>
            <w:r>
              <w:rPr>
                <w:rFonts w:ascii="仿宋" w:eastAsia="仿宋" w:hAnsi="仿宋" w:cs="仿宋" w:hint="eastAsia"/>
                <w:color w:val="FF0000"/>
                <w:szCs w:val="22"/>
              </w:rPr>
              <w:t>↑</w:t>
            </w:r>
          </w:p>
        </w:tc>
      </w:tr>
    </w:tbl>
    <w:p w14:paraId="7FE37BDB" w14:textId="77777777" w:rsidR="00500359" w:rsidRDefault="00000000">
      <w:pPr>
        <w:spacing w:after="0" w:line="240" w:lineRule="auto"/>
        <w:rPr>
          <w:rFonts w:ascii="仿宋_GB2312" w:eastAsia="仿宋_GB2312" w:hint="eastAsia"/>
        </w:rPr>
      </w:pPr>
      <w:r>
        <w:rPr>
          <w:rFonts w:ascii="仿宋_GB2312" w:eastAsia="仿宋_GB2312" w:hAnsi="仿宋" w:hint="eastAsia"/>
          <w:sz w:val="21"/>
          <w:szCs w:val="20"/>
        </w:rPr>
        <w:t>注：表中场景归纳为电信研究院依照各数所平台标签定义进行合并，部分产品适用于多场景；表中↑箭头表示适配该场景的产品占比相较上期观测增多，↓箭头表示适配该场景的产品占比相较上期观测减少。</w:t>
      </w:r>
    </w:p>
    <w:p w14:paraId="55137645" w14:textId="1289C024" w:rsidR="00500359" w:rsidRDefault="00000000">
      <w:pPr>
        <w:spacing w:after="0" w:line="240" w:lineRule="auto"/>
        <w:ind w:firstLineChars="200" w:firstLine="562"/>
        <w:jc w:val="both"/>
        <w:rPr>
          <w:rFonts w:ascii="仿宋_GB2312" w:eastAsia="仿宋_GB2312" w:hint="eastAsia"/>
        </w:rPr>
      </w:pPr>
      <w:r>
        <w:rPr>
          <w:rFonts w:ascii="仿宋_GB2312" w:eastAsia="仿宋_GB2312" w:hAnsi="仿宋" w:cs="宋体" w:hint="eastAsia"/>
          <w:b/>
          <w:bCs/>
          <w:kern w:val="0"/>
          <w:sz w:val="28"/>
          <w:szCs w:val="28"/>
          <w:lang w:bidi="ar"/>
          <w14:ligatures w14:val="none"/>
        </w:rPr>
        <w:t>多场景适配产品供应规模增加，核心场景与平台供给能力突出。</w:t>
      </w:r>
      <w:r>
        <w:rPr>
          <w:rFonts w:ascii="仿宋_GB2312" w:eastAsia="仿宋_GB2312" w:hAnsi="仿宋" w:cs="宋体" w:hint="eastAsia"/>
          <w:kern w:val="0"/>
          <w:sz w:val="28"/>
          <w:szCs w:val="28"/>
          <w:lang w:bidi="ar"/>
          <w14:ligatures w14:val="none"/>
        </w:rPr>
        <w:t>当前已有安全管控、通讯服务等24个场景的适配产品数量达千级，而同期有18家数所上架产品破千，较上期上升63.6%；其中，航运交通、财税金融应用场景的产品供应常居首位，智慧城市、营销商贸等16个推荐应用场景的产品在超十家数所上架。</w:t>
      </w:r>
    </w:p>
    <w:p w14:paraId="66AD1CB1" w14:textId="77777777" w:rsidR="00500359" w:rsidRDefault="00000000">
      <w:pPr>
        <w:widowControl/>
        <w:spacing w:after="0" w:line="240" w:lineRule="auto"/>
        <w:rPr>
          <w:rFonts w:ascii="仿宋_GB2312" w:eastAsia="仿宋_GB2312" w:hAnsi="仿宋" w:hint="eastAsia"/>
          <w:sz w:val="24"/>
        </w:rPr>
      </w:pPr>
      <w:r>
        <w:rPr>
          <w:rFonts w:ascii="仿宋_GB2312" w:eastAsia="仿宋_GB2312" w:hAnsi="仿宋" w:hint="eastAsia"/>
          <w:noProof/>
          <w:sz w:val="24"/>
        </w:rPr>
        <w:drawing>
          <wp:inline distT="0" distB="0" distL="0" distR="0" wp14:anchorId="043EFAEB" wp14:editId="7F2CC0E4">
            <wp:extent cx="5274310" cy="2514211"/>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6"/>
                    <a:stretch/>
                  </pic:blipFill>
                  <pic:spPr>
                    <a:xfrm>
                      <a:off x="0" y="0"/>
                      <a:ext cx="5274310" cy="2514211"/>
                    </a:xfrm>
                    <a:prstGeom prst="rect">
                      <a:avLst/>
                    </a:prstGeom>
                    <a:ln>
                      <a:headEnd/>
                      <a:tailEnd/>
                    </a:ln>
                  </pic:spPr>
                </pic:pic>
              </a:graphicData>
            </a:graphic>
          </wp:inline>
        </w:drawing>
      </w:r>
    </w:p>
    <w:p w14:paraId="1A329429" w14:textId="7F58F389" w:rsidR="00500359"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kern w:val="0"/>
          <w:sz w:val="24"/>
          <w:lang w:bidi="ar"/>
          <w14:ligatures w14:val="none"/>
        </w:rPr>
        <w:t>图</w:t>
      </w:r>
      <w:r w:rsidR="00F648C2">
        <w:rPr>
          <w:rFonts w:ascii="仿宋_GB2312" w:eastAsia="仿宋_GB2312" w:hAnsi="仿宋" w:cs="宋体" w:hint="eastAsia"/>
          <w:kern w:val="0"/>
          <w:sz w:val="24"/>
          <w:lang w:bidi="ar"/>
          <w14:ligatures w14:val="none"/>
        </w:rPr>
        <w:t>2</w:t>
      </w:r>
      <w:r>
        <w:rPr>
          <w:rFonts w:ascii="仿宋_GB2312" w:eastAsia="仿宋_GB2312" w:hAnsi="仿宋" w:cs="宋体" w:hint="eastAsia"/>
          <w:kern w:val="0"/>
          <w:sz w:val="24"/>
          <w:lang w:bidi="ar"/>
          <w14:ligatures w14:val="none"/>
        </w:rPr>
        <w:t xml:space="preserve"> 各类场景标签对应产品数及关联数所数</w:t>
      </w:r>
    </w:p>
    <w:p w14:paraId="216AA4EA" w14:textId="77777777" w:rsidR="00500359" w:rsidRDefault="00000000">
      <w:pPr>
        <w:spacing w:after="0" w:line="240" w:lineRule="auto"/>
        <w:rPr>
          <w:rFonts w:ascii="仿宋_GB2312" w:eastAsia="仿宋_GB2312" w:hAnsi="仿宋" w:hint="eastAsia"/>
          <w:sz w:val="21"/>
          <w:szCs w:val="20"/>
        </w:rPr>
      </w:pPr>
      <w:r>
        <w:rPr>
          <w:rFonts w:ascii="仿宋_GB2312" w:eastAsia="仿宋_GB2312" w:hAnsi="仿宋" w:hint="eastAsia"/>
          <w:sz w:val="21"/>
          <w:szCs w:val="20"/>
        </w:rPr>
        <w:t>注：图中场景归纳为电信研究院依照各数所平台标签定义进行合并；部分产品适用于多场景，图中产品数加总大于实际上架数。</w:t>
      </w:r>
    </w:p>
    <w:p w14:paraId="13456B72" w14:textId="77777777" w:rsidR="00500359"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3、产品形态发生结构性变化，高值多元产品上升</w:t>
      </w:r>
    </w:p>
    <w:p w14:paraId="69379DFF" w14:textId="77777777" w:rsidR="00500359" w:rsidRDefault="00000000">
      <w:pPr>
        <w:spacing w:after="0" w:line="240" w:lineRule="auto"/>
        <w:ind w:firstLineChars="200" w:firstLine="562"/>
        <w:jc w:val="both"/>
        <w:rPr>
          <w:rFonts w:ascii="仿宋_GB2312" w:eastAsia="仿宋_GB2312" w:hAnsi="仿宋" w:cs="宋体" w:hint="eastAsia"/>
          <w:kern w:val="0"/>
          <w:sz w:val="28"/>
          <w:szCs w:val="28"/>
          <w:lang w:bidi="ar"/>
        </w:rPr>
      </w:pPr>
      <w:r>
        <w:rPr>
          <w:rFonts w:ascii="仿宋_GB2312" w:eastAsia="仿宋_GB2312" w:hAnsi="仿宋" w:cs="宋体" w:hint="eastAsia"/>
          <w:b/>
          <w:bCs/>
          <w:kern w:val="0"/>
          <w:sz w:val="28"/>
          <w:szCs w:val="28"/>
          <w:lang w:bidi="ar"/>
          <w14:ligatures w14:val="none"/>
        </w:rPr>
        <w:t>数据接口（API）及数据集</w:t>
      </w:r>
      <w:r>
        <w:rPr>
          <w:rFonts w:ascii="仿宋" w:eastAsia="仿宋" w:hAnsi="仿宋" w:cs="仿宋"/>
          <w:b/>
          <w:bCs/>
          <w:color w:val="000000"/>
          <w:sz w:val="28"/>
          <w:szCs w:val="28"/>
        </w:rPr>
        <w:t>仍为</w:t>
      </w:r>
      <w:r>
        <w:rPr>
          <w:rFonts w:ascii="仿宋" w:eastAsia="仿宋" w:hAnsi="仿宋" w:cs="仿宋" w:hint="eastAsia"/>
          <w:b/>
          <w:bCs/>
          <w:color w:val="000000"/>
          <w:sz w:val="28"/>
          <w:szCs w:val="28"/>
        </w:rPr>
        <w:t>占比最高的两大类型产品，</w:t>
      </w:r>
      <w:r>
        <w:rPr>
          <w:rFonts w:ascii="仿宋" w:eastAsia="仿宋" w:hAnsi="仿宋" w:cs="仿宋" w:hint="eastAsia"/>
          <w:color w:val="000000"/>
          <w:sz w:val="28"/>
          <w:szCs w:val="28"/>
        </w:rPr>
        <w:t>但占比下降</w:t>
      </w:r>
      <w:r>
        <w:rPr>
          <w:rFonts w:ascii="仿宋_GB2312" w:eastAsia="仿宋_GB2312" w:hAnsi="仿宋" w:cs="宋体" w:hint="eastAsia"/>
          <w:kern w:val="0"/>
          <w:sz w:val="28"/>
          <w:szCs w:val="28"/>
          <w:lang w:bidi="ar"/>
          <w14:ligatures w14:val="none"/>
        </w:rPr>
        <w:t>。与2025年1月相比，API占比由43.6%下降至36.3%，数据集占比由19.0%降至15.8%。</w:t>
      </w:r>
      <w:r>
        <w:rPr>
          <w:rFonts w:ascii="仿宋_GB2312" w:eastAsia="仿宋_GB2312" w:hAnsi="仿宋" w:cs="宋体" w:hint="eastAsia"/>
          <w:b/>
          <w:bCs/>
          <w:kern w:val="0"/>
          <w:sz w:val="28"/>
          <w:szCs w:val="28"/>
          <w:lang w:bidi="ar"/>
          <w14:ligatures w14:val="none"/>
        </w:rPr>
        <w:t>高附加值及多元化数据产品占比上升，</w:t>
      </w:r>
      <w:r>
        <w:rPr>
          <w:rFonts w:ascii="仿宋_GB2312" w:eastAsia="仿宋_GB2312" w:hAnsi="仿宋" w:cs="宋体" w:hint="eastAsia"/>
          <w:kern w:val="0"/>
          <w:sz w:val="28"/>
          <w:szCs w:val="28"/>
          <w:lang w:bidi="ar"/>
          <w14:ligatures w14:val="none"/>
        </w:rPr>
        <w:lastRenderedPageBreak/>
        <w:t>比如，数据应用产品由14.4%上升至14.9%、数据报告类产品占比由3.7%提升至3.8%；其他类型产品（算力、AI模型、解决方案等）占比提升显著，由20%上升至29.2%。</w:t>
      </w:r>
    </w:p>
    <w:p w14:paraId="15B53893" w14:textId="77777777" w:rsidR="00500359" w:rsidRDefault="00000000">
      <w:pPr>
        <w:spacing w:after="0" w:line="240" w:lineRule="auto"/>
        <w:rPr>
          <w:rFonts w:ascii="仿宋_GB2312" w:eastAsia="仿宋_GB2312" w:hAnsi="仿宋" w:hint="eastAsia"/>
          <w:sz w:val="24"/>
        </w:rPr>
      </w:pPr>
      <w:r>
        <w:rPr>
          <w:rFonts w:ascii="仿宋_GB2312" w:eastAsia="仿宋_GB2312" w:hAnsi="仿宋" w:hint="eastAsia"/>
          <w:noProof/>
          <w:sz w:val="24"/>
        </w:rPr>
        <w:drawing>
          <wp:inline distT="0" distB="0" distL="0" distR="0" wp14:anchorId="72F0DB84" wp14:editId="1D225E5A">
            <wp:extent cx="5274310" cy="3076681"/>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7"/>
                    <a:stretch/>
                  </pic:blipFill>
                  <pic:spPr>
                    <a:xfrm>
                      <a:off x="0" y="0"/>
                      <a:ext cx="5274310" cy="3076681"/>
                    </a:xfrm>
                    <a:prstGeom prst="rect">
                      <a:avLst/>
                    </a:prstGeom>
                    <a:ln>
                      <a:headEnd/>
                      <a:tailEnd/>
                    </a:ln>
                  </pic:spPr>
                </pic:pic>
              </a:graphicData>
            </a:graphic>
          </wp:inline>
        </w:drawing>
      </w:r>
    </w:p>
    <w:p w14:paraId="64481952" w14:textId="63C7EDB9" w:rsidR="00500359"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kern w:val="0"/>
          <w:sz w:val="24"/>
          <w:lang w:bidi="ar"/>
          <w14:ligatures w14:val="none"/>
        </w:rPr>
        <w:t>图</w:t>
      </w:r>
      <w:r w:rsidR="00F648C2">
        <w:rPr>
          <w:rFonts w:ascii="仿宋_GB2312" w:eastAsia="仿宋_GB2312" w:hAnsi="仿宋" w:cs="宋体" w:hint="eastAsia"/>
          <w:kern w:val="0"/>
          <w:sz w:val="24"/>
          <w:lang w:bidi="ar"/>
          <w14:ligatures w14:val="none"/>
        </w:rPr>
        <w:t>3</w:t>
      </w:r>
      <w:r>
        <w:rPr>
          <w:rFonts w:ascii="仿宋_GB2312" w:eastAsia="仿宋_GB2312" w:hAnsi="仿宋" w:cs="宋体" w:hint="eastAsia"/>
          <w:kern w:val="0"/>
          <w:sz w:val="24"/>
          <w:lang w:bidi="ar"/>
          <w14:ligatures w14:val="none"/>
        </w:rPr>
        <w:t xml:space="preserve"> 上架产品主要服务形态</w:t>
      </w:r>
    </w:p>
    <w:p w14:paraId="3D00484A" w14:textId="21ADEB71" w:rsidR="00500359" w:rsidRDefault="00000000">
      <w:pPr>
        <w:spacing w:after="0" w:line="240" w:lineRule="auto"/>
        <w:rPr>
          <w:rFonts w:ascii="仿宋_GB2312" w:eastAsia="仿宋_GB2312" w:hAnsi="仿宋" w:hint="eastAsia"/>
          <w:b/>
          <w:bCs/>
          <w:sz w:val="24"/>
        </w:rPr>
      </w:pPr>
      <w:r>
        <w:rPr>
          <w:rFonts w:ascii="仿宋_GB2312" w:eastAsia="仿宋_GB2312" w:hAnsi="仿宋" w:hint="eastAsia"/>
          <w:sz w:val="21"/>
          <w:szCs w:val="20"/>
        </w:rPr>
        <w:t>注：产品类型分类，依据各平台自有分类标签进行统计后归纳；2.特定数据产品可能适用于多种服务方式，按形态分类的产品数量加总与上架产品总量不等。</w:t>
      </w:r>
    </w:p>
    <w:p w14:paraId="4EE20F21" w14:textId="77777777" w:rsidR="00500359" w:rsidRDefault="00000000">
      <w:pPr>
        <w:spacing w:after="0" w:line="240" w:lineRule="auto"/>
        <w:ind w:firstLineChars="200" w:firstLine="562"/>
        <w:jc w:val="both"/>
        <w:outlineLvl w:val="1"/>
        <w:rPr>
          <w:rFonts w:ascii="仿宋_GB2312" w:eastAsia="仿宋_GB2312" w:hAnsi="仿宋" w:cs="Times New Roman" w:hint="eastAsia"/>
          <w:b/>
          <w:bCs/>
          <w:sz w:val="28"/>
          <w:szCs w:val="28"/>
        </w:rPr>
      </w:pPr>
      <w:r>
        <w:rPr>
          <w:rFonts w:ascii="仿宋_GB2312" w:eastAsia="仿宋_GB2312" w:hAnsi="仿宋" w:hint="eastAsia"/>
          <w:b/>
          <w:bCs/>
          <w:sz w:val="28"/>
          <w:szCs w:val="28"/>
        </w:rPr>
        <w:t>4、场内产品交易持续增长，平台交易的透明度仍有提升空间</w:t>
      </w:r>
    </w:p>
    <w:p w14:paraId="516B536F" w14:textId="2788183C" w:rsidR="00500359" w:rsidRDefault="00000000">
      <w:pPr>
        <w:spacing w:after="0" w:line="240" w:lineRule="auto"/>
        <w:ind w:firstLineChars="200" w:firstLine="562"/>
        <w:jc w:val="both"/>
        <w:rPr>
          <w:rFonts w:ascii="仿宋_GB2312" w:eastAsia="仿宋_GB2312" w:hAnsi="仿宋" w:cs="Times New Roman" w:hint="eastAsia"/>
          <w:sz w:val="24"/>
        </w:rPr>
      </w:pPr>
      <w:r>
        <w:rPr>
          <w:rFonts w:ascii="仿宋_GB2312" w:eastAsia="仿宋_GB2312" w:hAnsi="仿宋" w:cs="宋体" w:hint="eastAsia"/>
          <w:b/>
          <w:bCs/>
          <w:kern w:val="0"/>
          <w:sz w:val="28"/>
          <w:szCs w:val="28"/>
          <w:lang w:bidi="ar"/>
          <w14:ligatures w14:val="none"/>
        </w:rPr>
        <w:t>交易平台透明度与活跃度显著分化。</w:t>
      </w:r>
      <w:r>
        <w:rPr>
          <w:rFonts w:ascii="仿宋_GB2312" w:eastAsia="仿宋_GB2312" w:hAnsi="仿宋" w:cs="宋体" w:hint="eastAsia"/>
          <w:kern w:val="0"/>
          <w:sz w:val="28"/>
          <w:szCs w:val="28"/>
          <w:lang w:bidi="ar"/>
          <w14:ligatures w14:val="none"/>
        </w:rPr>
        <w:t>截至2025年8月，仅14家数所可查看具体产品交易情况，其中合肥数据要素流通平台等5家数所上架产品交易量不足百笔；华东江苏大数据交易中心与青岛海洋数据交易平台的每个上架产品均产生过交易，平均每个产品交易次数分别为230次和231次；其余8家数所上架产品不足10%有交易记录。</w:t>
      </w:r>
    </w:p>
    <w:p w14:paraId="1D6C9920" w14:textId="77777777" w:rsidR="00500359" w:rsidRDefault="00000000">
      <w:pPr>
        <w:spacing w:after="0" w:line="240" w:lineRule="auto"/>
        <w:rPr>
          <w:rFonts w:ascii="仿宋_GB2312" w:eastAsia="仿宋_GB2312" w:hAnsi="仿宋" w:hint="eastAsia"/>
          <w:sz w:val="24"/>
        </w:rPr>
      </w:pPr>
      <w:r>
        <w:rPr>
          <w:rFonts w:ascii="仿宋_GB2312" w:eastAsia="仿宋_GB2312" w:hAnsi="仿宋" w:hint="eastAsia"/>
          <w:noProof/>
          <w:sz w:val="24"/>
        </w:rPr>
        <w:lastRenderedPageBreak/>
        <w:drawing>
          <wp:inline distT="0" distB="0" distL="0" distR="0" wp14:anchorId="4A8A5EDD" wp14:editId="396618A8">
            <wp:extent cx="5274310" cy="293898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8"/>
                    <a:stretch/>
                  </pic:blipFill>
                  <pic:spPr>
                    <a:xfrm>
                      <a:off x="0" y="0"/>
                      <a:ext cx="5274310" cy="2938980"/>
                    </a:xfrm>
                    <a:prstGeom prst="rect">
                      <a:avLst/>
                    </a:prstGeom>
                    <a:ln>
                      <a:headEnd/>
                      <a:tailEnd/>
                    </a:ln>
                  </pic:spPr>
                </pic:pic>
              </a:graphicData>
            </a:graphic>
          </wp:inline>
        </w:drawing>
      </w:r>
    </w:p>
    <w:p w14:paraId="6A3B2542" w14:textId="48E57C9A" w:rsidR="00500359" w:rsidRDefault="00000000">
      <w:pPr>
        <w:spacing w:afterLines="50" w:after="156" w:line="240" w:lineRule="auto"/>
        <w:jc w:val="center"/>
        <w:rPr>
          <w:rFonts w:ascii="仿宋_GB2312" w:eastAsia="仿宋_GB2312" w:hAnsi="仿宋" w:cs="宋体" w:hint="eastAsia"/>
          <w:kern w:val="0"/>
          <w:sz w:val="24"/>
          <w:lang w:bidi="ar"/>
        </w:rPr>
      </w:pPr>
      <w:r>
        <w:rPr>
          <w:rFonts w:ascii="仿宋_GB2312" w:eastAsia="仿宋_GB2312" w:hAnsi="仿宋" w:cs="宋体" w:hint="eastAsia"/>
          <w:kern w:val="0"/>
          <w:sz w:val="24"/>
          <w:lang w:bidi="ar"/>
          <w14:ligatures w14:val="none"/>
        </w:rPr>
        <w:t>图</w:t>
      </w:r>
      <w:r w:rsidR="00F648C2">
        <w:rPr>
          <w:rFonts w:ascii="仿宋_GB2312" w:eastAsia="仿宋_GB2312" w:hAnsi="仿宋" w:cs="宋体" w:hint="eastAsia"/>
          <w:kern w:val="0"/>
          <w:sz w:val="24"/>
          <w:lang w:bidi="ar"/>
          <w14:ligatures w14:val="none"/>
        </w:rPr>
        <w:t>4</w:t>
      </w:r>
      <w:r>
        <w:rPr>
          <w:rFonts w:ascii="仿宋_GB2312" w:eastAsia="仿宋_GB2312" w:hAnsi="仿宋" w:cs="宋体" w:hint="eastAsia"/>
          <w:kern w:val="0"/>
          <w:sz w:val="24"/>
          <w:lang w:bidi="ar"/>
          <w14:ligatures w14:val="none"/>
        </w:rPr>
        <w:t xml:space="preserve"> 交易产品数量及次数</w:t>
      </w:r>
    </w:p>
    <w:p w14:paraId="7A113D80" w14:textId="77777777" w:rsidR="00500359" w:rsidRDefault="00000000">
      <w:pPr>
        <w:spacing w:after="0" w:line="240" w:lineRule="auto"/>
        <w:jc w:val="both"/>
        <w:rPr>
          <w:rFonts w:ascii="仿宋_GB2312" w:eastAsia="仿宋_GB2312" w:hint="eastAsia"/>
          <w:sz w:val="21"/>
          <w:szCs w:val="22"/>
        </w:rPr>
      </w:pPr>
      <w:r>
        <w:rPr>
          <w:rFonts w:ascii="仿宋_GB2312" w:eastAsia="仿宋_GB2312" w:hint="eastAsia"/>
          <w:sz w:val="21"/>
          <w:szCs w:val="22"/>
        </w:rPr>
        <w:t>注：图中安徽指安徽省数据交易所，山西指山西数据交易中心</w:t>
      </w:r>
    </w:p>
    <w:p w14:paraId="4DBAAEB1" w14:textId="58A2AC07" w:rsidR="00500359" w:rsidRPr="00F53EF4" w:rsidRDefault="00000000" w:rsidP="00F53EF4">
      <w:pPr>
        <w:spacing w:after="0" w:line="240" w:lineRule="auto"/>
        <w:ind w:firstLineChars="200" w:firstLine="560"/>
        <w:jc w:val="both"/>
        <w:rPr>
          <w:rFonts w:ascii="仿宋_GB2312" w:eastAsia="仿宋_GB2312" w:hAnsi="仿宋" w:cs="宋体" w:hint="eastAsia"/>
          <w:kern w:val="0"/>
          <w:sz w:val="24"/>
          <w:lang w:bidi="ar"/>
        </w:rPr>
      </w:pPr>
      <w:r>
        <w:rPr>
          <w:rFonts w:ascii="仿宋_GB2312" w:eastAsia="仿宋_GB2312" w:hAnsi="仿宋" w:cs="宋体" w:hint="eastAsia"/>
          <w:kern w:val="0"/>
          <w:sz w:val="28"/>
          <w:szCs w:val="28"/>
          <w:lang w:bidi="ar"/>
          <w14:ligatures w14:val="none"/>
        </w:rPr>
        <w:t>据国家数据局测算，2024年全国数据市场交易规模突破1600亿元，同比增幅超30%，实现了显著的突破性增长。从部分数据交易场所的表现来看：上海数据交易所2024 年交易额逾50亿元，截至2025年5月底，其2025年上半年交易额已超30亿元，同比增速超过50%；杭州“中国数谷”涵盖的浙江大数据交易中心与杭州数据交易所，截至2025年5月累计交易额超80亿元。</w:t>
      </w:r>
    </w:p>
    <w:p w14:paraId="0DCC952C" w14:textId="77777777" w:rsidR="00500359" w:rsidRDefault="00000000">
      <w:pPr>
        <w:widowControl/>
        <w:spacing w:after="0" w:line="240" w:lineRule="auto"/>
        <w:ind w:firstLineChars="200" w:firstLine="640"/>
        <w:outlineLvl w:val="3"/>
        <w:rPr>
          <w:rFonts w:ascii="仿宋_GB2312" w:eastAsia="仿宋_GB2312" w:hAnsi="仿宋" w:cs="宋体" w:hint="eastAsia"/>
          <w:kern w:val="0"/>
          <w:sz w:val="28"/>
          <w:szCs w:val="28"/>
          <w:lang w:bidi="ar"/>
        </w:rPr>
      </w:pPr>
      <w:r>
        <w:rPr>
          <w:rFonts w:ascii="黑体" w:eastAsia="黑体" w:hAnsi="黑体" w:cs="Times New Roman" w:hint="eastAsia"/>
          <w:sz w:val="32"/>
          <w:szCs w:val="32"/>
          <w14:ligatures w14:val="none"/>
        </w:rPr>
        <w:t>二</w:t>
      </w:r>
      <w:r>
        <w:rPr>
          <w:rFonts w:ascii="黑体" w:eastAsia="黑体" w:hAnsi="黑体" w:cs="Times New Roman"/>
          <w:sz w:val="32"/>
          <w:szCs w:val="32"/>
          <w14:ligatures w14:val="none"/>
        </w:rPr>
        <w:t>、展望及建议</w:t>
      </w:r>
    </w:p>
    <w:p w14:paraId="7C836D6E" w14:textId="30A1AC26" w:rsidR="00500359"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t>1、</w:t>
      </w:r>
      <w:bookmarkStart w:id="1" w:name="OLE_LINK1"/>
      <w:r>
        <w:rPr>
          <w:rFonts w:ascii="仿宋_GB2312" w:eastAsia="仿宋_GB2312" w:hAnsi="仿宋" w:hint="eastAsia"/>
          <w:b/>
          <w:bCs/>
          <w:sz w:val="28"/>
          <w:szCs w:val="28"/>
        </w:rPr>
        <w:t>提升产品交易透明度，优化</w:t>
      </w:r>
      <w:r w:rsidR="009E7502">
        <w:rPr>
          <w:rFonts w:ascii="仿宋_GB2312" w:eastAsia="仿宋_GB2312" w:hAnsi="仿宋" w:hint="eastAsia"/>
          <w:b/>
          <w:bCs/>
          <w:sz w:val="28"/>
          <w:szCs w:val="28"/>
        </w:rPr>
        <w:t>分级分类</w:t>
      </w:r>
      <w:r>
        <w:rPr>
          <w:rFonts w:ascii="仿宋_GB2312" w:eastAsia="仿宋_GB2312" w:hAnsi="仿宋" w:hint="eastAsia"/>
          <w:b/>
          <w:bCs/>
          <w:sz w:val="28"/>
          <w:szCs w:val="28"/>
        </w:rPr>
        <w:t>交易机制</w:t>
      </w:r>
    </w:p>
    <w:p w14:paraId="590A1ADB" w14:textId="64855368" w:rsidR="00500359" w:rsidRDefault="00000000">
      <w:pPr>
        <w:spacing w:after="0" w:line="240" w:lineRule="auto"/>
        <w:ind w:firstLineChars="200" w:firstLine="560"/>
        <w:jc w:val="both"/>
        <w:rPr>
          <w:rFonts w:ascii="仿宋_GB2312" w:eastAsia="仿宋_GB2312" w:hAnsi="仿宋" w:cs="宋体" w:hint="eastAsia"/>
          <w:kern w:val="0"/>
          <w:sz w:val="28"/>
          <w:szCs w:val="28"/>
          <w:lang w:bidi="ar"/>
        </w:rPr>
      </w:pPr>
      <w:r>
        <w:rPr>
          <w:rFonts w:ascii="仿宋_GB2312" w:eastAsia="仿宋_GB2312" w:hAnsi="仿宋" w:cs="宋体" w:hint="eastAsia"/>
          <w:kern w:val="0"/>
          <w:sz w:val="28"/>
          <w:szCs w:val="28"/>
          <w:lang w:bidi="ar"/>
          <w14:ligatures w14:val="none"/>
        </w:rPr>
        <w:t>在交易透明度方面，针对部分平台产品信息不公开问题，需持续</w:t>
      </w:r>
      <w:r w:rsidR="00BE7B7C">
        <w:rPr>
          <w:rFonts w:ascii="仿宋_GB2312" w:eastAsia="仿宋_GB2312" w:hAnsi="仿宋" w:cs="宋体" w:hint="eastAsia"/>
          <w:kern w:val="0"/>
          <w:sz w:val="28"/>
          <w:szCs w:val="28"/>
          <w:lang w:bidi="ar"/>
          <w14:ligatures w14:val="none"/>
        </w:rPr>
        <w:t>推动数所</w:t>
      </w:r>
      <w:r>
        <w:rPr>
          <w:rFonts w:ascii="仿宋_GB2312" w:eastAsia="仿宋_GB2312" w:hAnsi="仿宋" w:cs="宋体" w:hint="eastAsia"/>
          <w:kern w:val="0"/>
          <w:sz w:val="28"/>
          <w:szCs w:val="28"/>
          <w:lang w:bidi="ar"/>
          <w14:ligatures w14:val="none"/>
        </w:rPr>
        <w:t>细化披露维度，公开数据来源、权属、质量指标及使用范围等；实时展示交易量、价格波动、参与方等动态数据</w:t>
      </w:r>
      <w:r w:rsidR="00F648C2">
        <w:rPr>
          <w:rFonts w:ascii="仿宋_GB2312" w:eastAsia="仿宋_GB2312" w:hAnsi="仿宋" w:cs="宋体" w:hint="eastAsia"/>
          <w:kern w:val="0"/>
          <w:sz w:val="28"/>
          <w:szCs w:val="28"/>
          <w:lang w:bidi="ar"/>
          <w14:ligatures w14:val="none"/>
        </w:rPr>
        <w:t>。</w:t>
      </w:r>
      <w:r w:rsidR="009E7502">
        <w:rPr>
          <w:rFonts w:ascii="仿宋_GB2312" w:eastAsia="仿宋_GB2312" w:hAnsi="仿宋" w:cs="宋体" w:hint="eastAsia"/>
          <w:kern w:val="0"/>
          <w:sz w:val="28"/>
          <w:szCs w:val="28"/>
          <w:lang w:bidi="ar"/>
          <w14:ligatures w14:val="none"/>
        </w:rPr>
        <w:t>在分级分类方面，</w:t>
      </w:r>
      <w:r>
        <w:rPr>
          <w:rFonts w:ascii="仿宋_GB2312" w:eastAsia="仿宋_GB2312" w:hAnsi="仿宋" w:cs="宋体" w:hint="eastAsia"/>
          <w:kern w:val="0"/>
          <w:sz w:val="28"/>
          <w:szCs w:val="28"/>
          <w:lang w:bidi="ar"/>
          <w14:ligatures w14:val="none"/>
        </w:rPr>
        <w:t>建议</w:t>
      </w:r>
      <w:r w:rsidR="00B30904">
        <w:rPr>
          <w:rFonts w:ascii="仿宋_GB2312" w:eastAsia="仿宋_GB2312" w:hAnsi="仿宋" w:cs="宋体" w:hint="eastAsia"/>
          <w:kern w:val="0"/>
          <w:sz w:val="28"/>
          <w:szCs w:val="28"/>
          <w:lang w:bidi="ar"/>
          <w14:ligatures w14:val="none"/>
        </w:rPr>
        <w:t>根据产品的数据性质及用途将数据</w:t>
      </w:r>
      <w:r w:rsidR="00AC2CD3">
        <w:rPr>
          <w:rFonts w:ascii="仿宋_GB2312" w:eastAsia="仿宋_GB2312" w:hAnsi="仿宋" w:cs="宋体" w:hint="eastAsia"/>
          <w:kern w:val="0"/>
          <w:sz w:val="28"/>
          <w:szCs w:val="28"/>
          <w:lang w:bidi="ar"/>
          <w14:ligatures w14:val="none"/>
        </w:rPr>
        <w:t>产品</w:t>
      </w:r>
      <w:r w:rsidR="00B30904">
        <w:rPr>
          <w:rFonts w:ascii="仿宋_GB2312" w:eastAsia="仿宋_GB2312" w:hAnsi="仿宋" w:cs="宋体" w:hint="eastAsia"/>
          <w:kern w:val="0"/>
          <w:sz w:val="28"/>
          <w:szCs w:val="28"/>
          <w:lang w:bidi="ar"/>
          <w14:ligatures w14:val="none"/>
        </w:rPr>
        <w:t>进行划分，</w:t>
      </w:r>
      <w:r w:rsidR="00777AF2">
        <w:rPr>
          <w:rFonts w:ascii="仿宋_GB2312" w:eastAsia="仿宋_GB2312" w:hAnsi="仿宋" w:cs="宋体" w:hint="eastAsia"/>
          <w:kern w:val="0"/>
          <w:sz w:val="28"/>
          <w:szCs w:val="28"/>
          <w:lang w:bidi="ar"/>
          <w14:ligatures w14:val="none"/>
        </w:rPr>
        <w:t>并</w:t>
      </w:r>
      <w:r w:rsidR="00B30904">
        <w:rPr>
          <w:rFonts w:ascii="仿宋_GB2312" w:eastAsia="仿宋_GB2312" w:hAnsi="仿宋" w:cs="宋体" w:hint="eastAsia"/>
          <w:kern w:val="0"/>
          <w:sz w:val="28"/>
          <w:szCs w:val="28"/>
          <w:lang w:bidi="ar"/>
          <w14:ligatures w14:val="none"/>
        </w:rPr>
        <w:t>分类提供相应的交易机制</w:t>
      </w:r>
      <w:r>
        <w:rPr>
          <w:rFonts w:ascii="仿宋_GB2312" w:eastAsia="仿宋_GB2312" w:hAnsi="仿宋" w:cs="宋体" w:hint="eastAsia"/>
          <w:kern w:val="0"/>
          <w:sz w:val="28"/>
          <w:szCs w:val="28"/>
          <w:lang w:bidi="ar"/>
          <w14:ligatures w14:val="none"/>
        </w:rPr>
        <w:t>。</w:t>
      </w:r>
    </w:p>
    <w:bookmarkEnd w:id="1"/>
    <w:p w14:paraId="73B5342C" w14:textId="77777777" w:rsidR="00500359" w:rsidRDefault="00000000">
      <w:pPr>
        <w:spacing w:after="0" w:line="240" w:lineRule="auto"/>
        <w:ind w:firstLineChars="200" w:firstLine="562"/>
        <w:jc w:val="both"/>
        <w:outlineLvl w:val="1"/>
        <w:rPr>
          <w:rFonts w:ascii="仿宋_GB2312" w:eastAsia="仿宋_GB2312" w:hAnsi="仿宋" w:hint="eastAsia"/>
          <w:b/>
          <w:bCs/>
          <w:sz w:val="28"/>
          <w:szCs w:val="28"/>
        </w:rPr>
      </w:pPr>
      <w:r>
        <w:rPr>
          <w:rFonts w:ascii="仿宋_GB2312" w:eastAsia="仿宋_GB2312" w:hAnsi="仿宋" w:hint="eastAsia"/>
          <w:b/>
          <w:bCs/>
          <w:sz w:val="28"/>
          <w:szCs w:val="28"/>
        </w:rPr>
        <w:lastRenderedPageBreak/>
        <w:t>2、推动产品标准统一，优化供给结构</w:t>
      </w:r>
    </w:p>
    <w:p w14:paraId="099F7C6A" w14:textId="77777777" w:rsidR="00500359" w:rsidRDefault="00000000">
      <w:pPr>
        <w:spacing w:after="0" w:line="240" w:lineRule="auto"/>
        <w:ind w:firstLineChars="200" w:firstLine="560"/>
        <w:jc w:val="both"/>
        <w:rPr>
          <w:rFonts w:ascii="仿宋_GB2312" w:eastAsia="仿宋_GB2312" w:hAnsi="仿宋" w:cs="宋体" w:hint="eastAsia"/>
          <w:kern w:val="0"/>
          <w:sz w:val="28"/>
          <w:szCs w:val="28"/>
          <w:lang w:bidi="ar"/>
        </w:rPr>
      </w:pPr>
      <w:r>
        <w:rPr>
          <w:rFonts w:ascii="仿宋_GB2312" w:eastAsia="仿宋_GB2312" w:hAnsi="仿宋" w:cs="宋体" w:hint="eastAsia"/>
          <w:kern w:val="0"/>
          <w:sz w:val="28"/>
          <w:szCs w:val="28"/>
          <w:lang w:bidi="ar"/>
          <w14:ligatures w14:val="none"/>
        </w:rPr>
        <w:t>在标准完善方面，结合交易标签体系不断丰富但标准化仍待提升的现状，加快制定覆盖数据产品全生命周期的通用标准，统一接口、格式及质量评估维度，提升产品互认度。在结构优化方面，聚焦高附加值及多元化产品占比上升的趋势，引导数商加大对算力、AI 模型等新兴产品的研发投入，同时强化场景化产品设计，推动供给与市场需求精准匹配。</w:t>
      </w:r>
    </w:p>
    <w:p w14:paraId="4674AEDF" w14:textId="77777777" w:rsidR="00500359" w:rsidRDefault="00500359">
      <w:pPr>
        <w:spacing w:after="0" w:line="240" w:lineRule="auto"/>
        <w:ind w:firstLineChars="200" w:firstLine="560"/>
        <w:jc w:val="both"/>
        <w:rPr>
          <w:rFonts w:ascii="仿宋_GB2312" w:eastAsia="仿宋_GB2312" w:hAnsi="仿宋" w:cs="宋体" w:hint="eastAsia"/>
          <w:kern w:val="0"/>
          <w:sz w:val="28"/>
          <w:szCs w:val="28"/>
          <w:lang w:bidi="ar"/>
        </w:rPr>
      </w:pPr>
    </w:p>
    <w:p w14:paraId="05657BFB" w14:textId="77777777" w:rsidR="00500359" w:rsidRDefault="00500359">
      <w:pPr>
        <w:rPr>
          <w:rFonts w:hint="eastAsia"/>
        </w:rPr>
      </w:pPr>
    </w:p>
    <w:p w14:paraId="2151ECEE" w14:textId="77777777" w:rsidR="00500359" w:rsidRDefault="00500359">
      <w:pPr>
        <w:rPr>
          <w:rFonts w:hint="eastAsia"/>
        </w:rPr>
      </w:pPr>
    </w:p>
    <w:sectPr w:rsidR="005003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altName w:val="方正舒体"/>
    <w:charset w:val="86"/>
    <w:family w:val="auto"/>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2B3"/>
    <w:rsid w:val="00086350"/>
    <w:rsid w:val="000C5E3D"/>
    <w:rsid w:val="000E5A05"/>
    <w:rsid w:val="00142A47"/>
    <w:rsid w:val="00211D43"/>
    <w:rsid w:val="0026507B"/>
    <w:rsid w:val="002E12B3"/>
    <w:rsid w:val="002F59F1"/>
    <w:rsid w:val="00500359"/>
    <w:rsid w:val="005363B2"/>
    <w:rsid w:val="00573E5F"/>
    <w:rsid w:val="006B6A5F"/>
    <w:rsid w:val="00755503"/>
    <w:rsid w:val="00777AF2"/>
    <w:rsid w:val="00973922"/>
    <w:rsid w:val="009E7502"/>
    <w:rsid w:val="00A20BEC"/>
    <w:rsid w:val="00A95C2B"/>
    <w:rsid w:val="00A973C1"/>
    <w:rsid w:val="00AC2CD3"/>
    <w:rsid w:val="00B30904"/>
    <w:rsid w:val="00BC5358"/>
    <w:rsid w:val="00BE7B7C"/>
    <w:rsid w:val="00CE10D0"/>
    <w:rsid w:val="00CF78ED"/>
    <w:rsid w:val="00D65A18"/>
    <w:rsid w:val="00ED450D"/>
    <w:rsid w:val="00F0003D"/>
    <w:rsid w:val="00F53EF4"/>
    <w:rsid w:val="00F648C2"/>
    <w:rsid w:val="00F878CA"/>
    <w:rsid w:val="00FF7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09DD9"/>
  <w15:docId w15:val="{857A6938-9150-4907-A92F-9AFC3DA6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2B3"/>
    <w:pPr>
      <w:widowControl w:val="0"/>
    </w:pPr>
  </w:style>
  <w:style w:type="paragraph" w:styleId="1">
    <w:name w:val="heading 1"/>
    <w:basedOn w:val="a"/>
    <w:next w:val="a"/>
    <w:link w:val="10"/>
    <w:uiPriority w:val="9"/>
    <w:qFormat/>
    <w:rsid w:val="002E12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12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12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12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12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12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12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12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12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2E12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20">
    <w:name w:val="标题 2 字符"/>
    <w:basedOn w:val="a0"/>
    <w:link w:val="2"/>
    <w:uiPriority w:val="9"/>
    <w:semiHidden/>
    <w:rsid w:val="002E12B3"/>
    <w:rPr>
      <w:rFonts w:asciiTheme="majorHAnsi" w:eastAsiaTheme="majorEastAsia" w:hAnsiTheme="majorHAnsi" w:cstheme="majorBidi"/>
      <w:color w:val="0F4761" w:themeColor="accent1" w:themeShade="BF"/>
      <w:sz w:val="40"/>
      <w:szCs w:val="40"/>
    </w:rPr>
  </w:style>
  <w:style w:type="character" w:customStyle="1" w:styleId="60">
    <w:name w:val="标题 6 字符"/>
    <w:basedOn w:val="a0"/>
    <w:link w:val="6"/>
    <w:uiPriority w:val="9"/>
    <w:semiHidden/>
    <w:rsid w:val="002E12B3"/>
    <w:rPr>
      <w:rFonts w:cstheme="majorBidi"/>
      <w:b/>
      <w:bCs/>
      <w:color w:val="0F4761" w:themeColor="accent1" w:themeShade="BF"/>
    </w:rPr>
  </w:style>
  <w:style w:type="paragraph" w:styleId="a5">
    <w:name w:val="Title"/>
    <w:basedOn w:val="a"/>
    <w:next w:val="a"/>
    <w:link w:val="a6"/>
    <w:uiPriority w:val="10"/>
    <w:qFormat/>
    <w:rsid w:val="002E12B3"/>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7">
    <w:name w:val="Intense Emphasis"/>
    <w:basedOn w:val="a0"/>
    <w:uiPriority w:val="21"/>
    <w:qFormat/>
    <w:rsid w:val="002E12B3"/>
    <w:rPr>
      <w:i/>
      <w:iCs/>
      <w:color w:val="0F4761" w:themeColor="accent1" w:themeShade="BF"/>
    </w:rPr>
  </w:style>
  <w:style w:type="character" w:customStyle="1" w:styleId="50">
    <w:name w:val="标题 5 字符"/>
    <w:basedOn w:val="a0"/>
    <w:link w:val="5"/>
    <w:uiPriority w:val="9"/>
    <w:semiHidden/>
    <w:rsid w:val="002E12B3"/>
    <w:rPr>
      <w:rFonts w:cstheme="majorBidi"/>
      <w:color w:val="0F4761" w:themeColor="accent1" w:themeShade="BF"/>
      <w:sz w:val="24"/>
    </w:rPr>
  </w:style>
  <w:style w:type="paragraph" w:styleId="a8">
    <w:name w:val="Intense Quote"/>
    <w:basedOn w:val="a"/>
    <w:next w:val="a"/>
    <w:link w:val="a9"/>
    <w:uiPriority w:val="30"/>
    <w:qFormat/>
    <w:rsid w:val="002E1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a">
    <w:name w:val="annotation reference"/>
    <w:basedOn w:val="a0"/>
    <w:uiPriority w:val="99"/>
    <w:semiHidden/>
    <w:unhideWhenUsed/>
    <w:qFormat/>
    <w:rsid w:val="002E12B3"/>
    <w:rPr>
      <w:sz w:val="21"/>
      <w:szCs w:val="21"/>
    </w:rPr>
  </w:style>
  <w:style w:type="character" w:customStyle="1" w:styleId="90">
    <w:name w:val="标题 9 字符"/>
    <w:basedOn w:val="a0"/>
    <w:link w:val="9"/>
    <w:uiPriority w:val="9"/>
    <w:semiHidden/>
    <w:rsid w:val="002E12B3"/>
    <w:rPr>
      <w:rFonts w:eastAsiaTheme="majorEastAsia" w:cstheme="majorBidi"/>
      <w:color w:val="595959" w:themeColor="text1" w:themeTint="A6"/>
    </w:rPr>
  </w:style>
  <w:style w:type="character" w:customStyle="1" w:styleId="30">
    <w:name w:val="标题 3 字符"/>
    <w:basedOn w:val="a0"/>
    <w:link w:val="3"/>
    <w:uiPriority w:val="9"/>
    <w:semiHidden/>
    <w:rsid w:val="002E12B3"/>
    <w:rPr>
      <w:rFonts w:asciiTheme="majorHAnsi" w:eastAsiaTheme="majorEastAsia" w:hAnsiTheme="majorHAnsi" w:cstheme="majorBidi"/>
      <w:color w:val="0F4761" w:themeColor="accent1" w:themeShade="BF"/>
      <w:sz w:val="32"/>
      <w:szCs w:val="32"/>
    </w:rPr>
  </w:style>
  <w:style w:type="character" w:customStyle="1" w:styleId="a9">
    <w:name w:val="明显引用 字符"/>
    <w:basedOn w:val="a0"/>
    <w:link w:val="a8"/>
    <w:uiPriority w:val="30"/>
    <w:rsid w:val="002E12B3"/>
    <w:rPr>
      <w:i/>
      <w:iCs/>
      <w:color w:val="0F4761" w:themeColor="accent1" w:themeShade="BF"/>
    </w:rPr>
  </w:style>
  <w:style w:type="character" w:customStyle="1" w:styleId="a6">
    <w:name w:val="标题 字符"/>
    <w:basedOn w:val="a0"/>
    <w:link w:val="a5"/>
    <w:uiPriority w:val="10"/>
    <w:rsid w:val="002E12B3"/>
    <w:rPr>
      <w:rFonts w:asciiTheme="majorHAnsi" w:eastAsiaTheme="majorEastAsia" w:hAnsiTheme="majorHAnsi" w:cstheme="majorBidi"/>
      <w:spacing w:val="-10"/>
      <w:kern w:val="28"/>
      <w:sz w:val="56"/>
      <w:szCs w:val="56"/>
    </w:rPr>
  </w:style>
  <w:style w:type="paragraph" w:styleId="ab">
    <w:name w:val="Quote"/>
    <w:basedOn w:val="a"/>
    <w:next w:val="a"/>
    <w:link w:val="ac"/>
    <w:uiPriority w:val="29"/>
    <w:qFormat/>
    <w:rsid w:val="002E12B3"/>
    <w:pPr>
      <w:spacing w:before="160"/>
      <w:jc w:val="center"/>
    </w:pPr>
    <w:rPr>
      <w:i/>
      <w:iCs/>
      <w:color w:val="404040" w:themeColor="text1" w:themeTint="BF"/>
    </w:rPr>
  </w:style>
  <w:style w:type="character" w:customStyle="1" w:styleId="70">
    <w:name w:val="标题 7 字符"/>
    <w:basedOn w:val="a0"/>
    <w:link w:val="7"/>
    <w:uiPriority w:val="9"/>
    <w:semiHidden/>
    <w:rsid w:val="002E12B3"/>
    <w:rPr>
      <w:rFonts w:cstheme="majorBidi"/>
      <w:b/>
      <w:bCs/>
      <w:color w:val="595959" w:themeColor="text1" w:themeTint="A6"/>
    </w:rPr>
  </w:style>
  <w:style w:type="character" w:customStyle="1" w:styleId="ac">
    <w:name w:val="引用 字符"/>
    <w:basedOn w:val="a0"/>
    <w:link w:val="ab"/>
    <w:uiPriority w:val="29"/>
    <w:rsid w:val="002E12B3"/>
    <w:rPr>
      <w:i/>
      <w:iCs/>
      <w:color w:val="404040" w:themeColor="text1" w:themeTint="BF"/>
    </w:rPr>
  </w:style>
  <w:style w:type="character" w:customStyle="1" w:styleId="10">
    <w:name w:val="标题 1 字符"/>
    <w:basedOn w:val="a0"/>
    <w:link w:val="1"/>
    <w:uiPriority w:val="9"/>
    <w:rsid w:val="002E12B3"/>
    <w:rPr>
      <w:rFonts w:asciiTheme="majorHAnsi" w:eastAsiaTheme="majorEastAsia" w:hAnsiTheme="majorHAnsi" w:cstheme="majorBidi"/>
      <w:color w:val="0F4761" w:themeColor="accent1" w:themeShade="BF"/>
      <w:sz w:val="48"/>
      <w:szCs w:val="48"/>
    </w:rPr>
  </w:style>
  <w:style w:type="paragraph" w:styleId="ad">
    <w:name w:val="List Paragraph"/>
    <w:basedOn w:val="a"/>
    <w:uiPriority w:val="34"/>
    <w:qFormat/>
    <w:rsid w:val="002E12B3"/>
    <w:pPr>
      <w:ind w:left="720"/>
      <w:contextualSpacing/>
    </w:pPr>
  </w:style>
  <w:style w:type="character" w:customStyle="1" w:styleId="a4">
    <w:name w:val="副标题 字符"/>
    <w:basedOn w:val="a0"/>
    <w:link w:val="a3"/>
    <w:uiPriority w:val="11"/>
    <w:rsid w:val="002E12B3"/>
    <w:rPr>
      <w:rFonts w:asciiTheme="majorHAnsi" w:eastAsiaTheme="majorEastAsia" w:hAnsiTheme="majorHAnsi" w:cstheme="majorBidi"/>
      <w:color w:val="595959" w:themeColor="text1" w:themeTint="A6"/>
      <w:spacing w:val="15"/>
      <w:sz w:val="28"/>
      <w:szCs w:val="28"/>
    </w:rPr>
  </w:style>
  <w:style w:type="character" w:customStyle="1" w:styleId="80">
    <w:name w:val="标题 8 字符"/>
    <w:basedOn w:val="a0"/>
    <w:link w:val="8"/>
    <w:uiPriority w:val="9"/>
    <w:semiHidden/>
    <w:rsid w:val="002E12B3"/>
    <w:rPr>
      <w:rFonts w:cstheme="majorBidi"/>
      <w:color w:val="595959" w:themeColor="text1" w:themeTint="A6"/>
    </w:rPr>
  </w:style>
  <w:style w:type="character" w:styleId="ae">
    <w:name w:val="Intense Reference"/>
    <w:basedOn w:val="a0"/>
    <w:uiPriority w:val="32"/>
    <w:qFormat/>
    <w:rsid w:val="002E12B3"/>
    <w:rPr>
      <w:b/>
      <w:bCs/>
      <w:smallCaps/>
      <w:color w:val="0F4761" w:themeColor="accent1" w:themeShade="BF"/>
      <w:spacing w:val="5"/>
    </w:rPr>
  </w:style>
  <w:style w:type="character" w:customStyle="1" w:styleId="40">
    <w:name w:val="标题 4 字符"/>
    <w:basedOn w:val="a0"/>
    <w:link w:val="4"/>
    <w:uiPriority w:val="9"/>
    <w:semiHidden/>
    <w:rsid w:val="002E12B3"/>
    <w:rPr>
      <w:rFonts w:cstheme="majorBidi"/>
      <w:color w:val="0F4761" w:themeColor="accent1" w:themeShade="BF"/>
      <w:sz w:val="28"/>
      <w:szCs w:val="28"/>
    </w:rPr>
  </w:style>
  <w:style w:type="paragraph" w:styleId="af">
    <w:name w:val="Revision"/>
    <w:hidden/>
    <w:uiPriority w:val="99"/>
    <w:semiHidden/>
    <w:rsid w:val="009739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1133</Words>
  <Characters>1202</Characters>
  <Application>Microsoft Office Word</Application>
  <DocSecurity>0</DocSecurity>
  <Lines>52</Lines>
  <Paragraphs>32</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liuying ming</dc:creator>
  <cp:lastModifiedBy>萧月 凌</cp:lastModifiedBy>
  <cp:revision>5</cp:revision>
  <dcterms:created xsi:type="dcterms:W3CDTF">2025-08-29T00:52:00Z</dcterms:created>
  <dcterms:modified xsi:type="dcterms:W3CDTF">2025-08-29T01:49:00Z</dcterms:modified>
</cp:coreProperties>
</file>