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rPr>
          <w:rFonts w:hint="eastAsia" w:ascii="仿宋" w:hAnsi="仿宋" w:eastAsia="仿宋" w:cs="仿宋"/>
          <w:b/>
          <w:sz w:val="28"/>
        </w:rPr>
      </w:pPr>
    </w:p>
    <w:p>
      <w:pPr>
        <w:adjustRightInd w:val="0"/>
        <w:snapToGrid w:val="0"/>
        <w:spacing w:line="360" w:lineRule="auto"/>
        <w:jc w:val="center"/>
        <w:rPr>
          <w:rFonts w:hint="default" w:ascii="仿宋" w:hAnsi="仿宋" w:eastAsia="仿宋" w:cs="仿宋"/>
          <w:b/>
          <w:sz w:val="36"/>
          <w:szCs w:val="28"/>
          <w:lang w:val="en-US" w:eastAsia="zh-CN"/>
        </w:rPr>
      </w:pPr>
      <w:r>
        <w:rPr>
          <w:rFonts w:hint="eastAsia" w:ascii="仿宋" w:hAnsi="仿宋" w:eastAsia="仿宋" w:cs="仿宋"/>
          <w:b/>
          <w:sz w:val="36"/>
          <w:szCs w:val="28"/>
          <w:lang w:val="en-US" w:eastAsia="zh-CN"/>
        </w:rPr>
        <w:t>2025年信息通信产业发展趋势：开启全面智能化</w:t>
      </w:r>
    </w:p>
    <w:p>
      <w:pPr>
        <w:ind w:firstLine="560" w:firstLineChars="200"/>
        <w:rPr>
          <w:rFonts w:hint="eastAsia" w:ascii="仿宋" w:hAnsi="仿宋" w:eastAsia="仿宋" w:cs="仿宋"/>
          <w:sz w:val="28"/>
          <w:lang w:val="en-US" w:eastAsia="zh-CN"/>
        </w:rPr>
      </w:pPr>
      <w:r>
        <w:rPr>
          <w:rFonts w:hint="eastAsia" w:ascii="仿宋" w:hAnsi="仿宋" w:eastAsia="仿宋" w:cs="仿宋"/>
          <w:sz w:val="28"/>
          <w:lang w:val="en-US" w:eastAsia="zh-CN"/>
        </w:rPr>
        <w:t>中美竞争博弈将继续成为2025年主线，国际形势将更为复杂，美在高性能芯片和人工智能等领域将筑起更严密的“小院高墙”，并可能进一步向“大院铁幕”演进，从相对精准的封锁打击转向更全面的经济和技术遏制。国内短期内产业升级将继续被遏制，长期将实现自主可控，持续突围。</w:t>
      </w:r>
    </w:p>
    <w:p>
      <w:pPr>
        <w:ind w:firstLine="560" w:firstLineChars="200"/>
        <w:rPr>
          <w:rFonts w:hint="eastAsia" w:ascii="仿宋" w:hAnsi="仿宋" w:eastAsia="仿宋" w:cs="仿宋"/>
          <w:sz w:val="28"/>
          <w:lang w:val="en-US" w:eastAsia="zh-CN"/>
        </w:rPr>
      </w:pPr>
      <w:r>
        <w:rPr>
          <w:rFonts w:hint="eastAsia" w:ascii="仿宋" w:hAnsi="仿宋" w:eastAsia="仿宋" w:cs="仿宋"/>
          <w:sz w:val="28"/>
          <w:lang w:val="en-US" w:eastAsia="zh-CN"/>
        </w:rPr>
        <w:t>同时，人工智能尤其是大模型仍是全球科技和产业竞争焦点，2025年是AI大模型应用的关键一年，将加快对传统产业进行重塑、对数字产业重构；国内大模型产业投入将继续加大，产业格局竞争更加激烈。</w:t>
      </w:r>
    </w:p>
    <w:p>
      <w:pPr>
        <w:ind w:firstLine="560" w:firstLineChars="200"/>
        <w:rPr>
          <w:rFonts w:hint="default" w:ascii="仿宋" w:hAnsi="仿宋" w:eastAsia="仿宋" w:cs="仿宋"/>
          <w:sz w:val="28"/>
          <w:lang w:val="en-US" w:eastAsia="zh-CN"/>
        </w:rPr>
      </w:pPr>
    </w:p>
    <w:p>
      <w:pPr>
        <w:pStyle w:val="2"/>
        <w:keepNext/>
        <w:keepLines/>
        <w:pageBreakBefore w:val="0"/>
        <w:widowControl w:val="0"/>
        <w:numPr>
          <w:ilvl w:val="0"/>
          <w:numId w:val="1"/>
        </w:numPr>
        <w:kinsoku/>
        <w:wordWrap/>
        <w:overflowPunct/>
        <w:topLinePunct w:val="0"/>
        <w:autoSpaceDE/>
        <w:autoSpaceDN/>
        <w:bidi w:val="0"/>
        <w:adjustRightInd/>
        <w:snapToGrid/>
        <w:spacing w:before="220" w:after="90" w:line="360" w:lineRule="auto"/>
        <w:ind w:firstLine="420"/>
        <w:textAlignment w:val="auto"/>
        <w:rPr>
          <w:rFonts w:hint="default" w:ascii="仿宋" w:hAnsi="仿宋" w:eastAsia="仿宋" w:cs="仿宋"/>
          <w:b/>
          <w:sz w:val="28"/>
          <w:szCs w:val="16"/>
          <w:lang w:val="en-US" w:eastAsia="zh-CN"/>
        </w:rPr>
      </w:pPr>
      <w:r>
        <w:rPr>
          <w:rFonts w:hint="eastAsia" w:ascii="仿宋" w:hAnsi="仿宋" w:eastAsia="仿宋" w:cs="仿宋"/>
          <w:b/>
          <w:sz w:val="28"/>
          <w:szCs w:val="16"/>
          <w:lang w:val="en-US" w:eastAsia="zh-CN"/>
        </w:rPr>
        <w:t>百年之大变局加速演进，中美博弈成为影响我国信息通信产业发展的重要变量</w:t>
      </w:r>
    </w:p>
    <w:p>
      <w:pPr>
        <w:ind w:firstLine="560"/>
        <w:rPr>
          <w:rFonts w:hint="default" w:ascii="仿宋" w:hAnsi="仿宋" w:eastAsia="仿宋" w:cs="仿宋"/>
          <w:color w:val="auto"/>
          <w:sz w:val="28"/>
          <w:szCs w:val="28"/>
          <w:highlight w:val="none"/>
          <w:lang w:val="en-US" w:eastAsia="zh-CN"/>
        </w:rPr>
      </w:pPr>
      <w:r>
        <w:rPr>
          <w:rFonts w:hint="eastAsia" w:ascii="仿宋" w:hAnsi="仿宋" w:eastAsia="仿宋" w:cs="仿宋"/>
          <w:color w:val="auto"/>
          <w:sz w:val="28"/>
          <w:szCs w:val="28"/>
          <w:highlight w:val="none"/>
          <w:lang w:val="en-US" w:eastAsia="zh-CN"/>
        </w:rPr>
        <w:t>百年之大变局仍在加速演进中，大国关系呈现复杂和多维特征，推动全球政治、经济、贸易、军事等格局深刻调整。特朗普奉行‘美国优先’，可能会进一步削弱多边合作和协调机制，致使</w:t>
      </w:r>
      <w:r>
        <w:rPr>
          <w:rFonts w:hint="eastAsia" w:ascii="仿宋" w:hAnsi="仿宋" w:eastAsia="仿宋" w:cs="仿宋"/>
          <w:color w:val="auto"/>
          <w:sz w:val="28"/>
          <w:szCs w:val="28"/>
          <w:highlight w:val="none"/>
        </w:rPr>
        <w:t>美国</w:t>
      </w:r>
      <w:r>
        <w:rPr>
          <w:rFonts w:hint="eastAsia" w:ascii="仿宋" w:hAnsi="仿宋" w:eastAsia="仿宋" w:cs="仿宋"/>
          <w:color w:val="auto"/>
          <w:sz w:val="28"/>
          <w:szCs w:val="28"/>
          <w:highlight w:val="none"/>
          <w:lang w:val="en-US" w:eastAsia="zh-CN"/>
        </w:rPr>
        <w:t>同</w:t>
      </w:r>
      <w:r>
        <w:rPr>
          <w:rFonts w:hint="eastAsia" w:ascii="仿宋" w:hAnsi="仿宋" w:eastAsia="仿宋" w:cs="仿宋"/>
          <w:color w:val="auto"/>
          <w:sz w:val="28"/>
          <w:szCs w:val="28"/>
          <w:highlight w:val="none"/>
        </w:rPr>
        <w:t>其他大国</w:t>
      </w:r>
      <w:r>
        <w:rPr>
          <w:rFonts w:hint="eastAsia" w:ascii="仿宋" w:hAnsi="仿宋" w:eastAsia="仿宋" w:cs="仿宋"/>
          <w:color w:val="auto"/>
          <w:sz w:val="28"/>
          <w:szCs w:val="28"/>
          <w:highlight w:val="none"/>
          <w:lang w:val="en-US" w:eastAsia="zh-CN"/>
        </w:rPr>
        <w:t>以及地区</w:t>
      </w:r>
      <w:r>
        <w:rPr>
          <w:rFonts w:hint="eastAsia" w:ascii="仿宋" w:hAnsi="仿宋" w:eastAsia="仿宋" w:cs="仿宋"/>
          <w:color w:val="auto"/>
          <w:sz w:val="28"/>
          <w:szCs w:val="28"/>
          <w:highlight w:val="none"/>
        </w:rPr>
        <w:t>间的战略竞争和对抗</w:t>
      </w:r>
      <w:r>
        <w:rPr>
          <w:rFonts w:hint="eastAsia" w:ascii="仿宋" w:hAnsi="仿宋" w:eastAsia="仿宋" w:cs="仿宋"/>
          <w:color w:val="auto"/>
          <w:sz w:val="28"/>
          <w:szCs w:val="28"/>
          <w:highlight w:val="none"/>
          <w:lang w:val="en-US" w:eastAsia="zh-CN"/>
        </w:rPr>
        <w:t>态势不断加剧，给全球带来更多的不确定性</w:t>
      </w:r>
      <w:r>
        <w:rPr>
          <w:rFonts w:hint="eastAsia" w:ascii="仿宋" w:hAnsi="仿宋" w:eastAsia="仿宋" w:cs="仿宋"/>
          <w:color w:val="auto"/>
          <w:sz w:val="28"/>
          <w:szCs w:val="28"/>
          <w:highlight w:val="none"/>
        </w:rPr>
        <w:t>。</w:t>
      </w:r>
    </w:p>
    <w:p>
      <w:pPr>
        <w:ind w:firstLine="560"/>
        <w:rPr>
          <w:rFonts w:hint="eastAsia" w:ascii="仿宋" w:hAnsi="仿宋" w:eastAsia="仿宋" w:cs="仿宋"/>
          <w:b/>
          <w:bCs/>
          <w:sz w:val="28"/>
          <w:szCs w:val="28"/>
          <w:lang w:eastAsia="zh-CN"/>
        </w:rPr>
      </w:pPr>
      <w:r>
        <w:rPr>
          <w:rFonts w:hint="eastAsia" w:ascii="仿宋" w:hAnsi="仿宋" w:eastAsia="仿宋" w:cs="仿宋"/>
          <w:color w:val="auto"/>
          <w:sz w:val="28"/>
          <w:szCs w:val="28"/>
          <w:highlight w:val="none"/>
          <w:lang w:val="en-US" w:eastAsia="zh-CN"/>
        </w:rPr>
        <w:t>美国将会继续在经济、政治、军事、贸易、文化等多方面对我国进行孤立、封锁和打压。2025年，</w:t>
      </w:r>
      <w:r>
        <w:rPr>
          <w:rFonts w:hint="eastAsia" w:ascii="仿宋" w:hAnsi="仿宋" w:eastAsia="仿宋" w:cs="仿宋"/>
          <w:b/>
          <w:bCs/>
          <w:color w:val="auto"/>
          <w:sz w:val="28"/>
          <w:szCs w:val="28"/>
          <w:highlight w:val="none"/>
        </w:rPr>
        <w:t>中美经贸不确定性</w:t>
      </w:r>
      <w:r>
        <w:rPr>
          <w:rFonts w:hint="eastAsia" w:ascii="仿宋" w:hAnsi="仿宋" w:eastAsia="仿宋" w:cs="仿宋"/>
          <w:b/>
          <w:bCs/>
          <w:color w:val="auto"/>
          <w:sz w:val="28"/>
          <w:szCs w:val="28"/>
          <w:highlight w:val="none"/>
          <w:lang w:val="en-US" w:eastAsia="zh-CN"/>
        </w:rPr>
        <w:t>进一步加大</w:t>
      </w:r>
      <w:r>
        <w:rPr>
          <w:rFonts w:hint="eastAsia" w:ascii="仿宋" w:hAnsi="仿宋" w:eastAsia="仿宋" w:cs="仿宋"/>
          <w:b/>
          <w:bCs/>
          <w:color w:val="auto"/>
          <w:sz w:val="28"/>
          <w:szCs w:val="28"/>
          <w:highlight w:val="none"/>
          <w:lang w:eastAsia="zh-CN"/>
        </w:rPr>
        <w:t>，</w:t>
      </w:r>
      <w:r>
        <w:rPr>
          <w:rFonts w:hint="eastAsia" w:ascii="仿宋" w:hAnsi="仿宋" w:eastAsia="仿宋" w:cs="仿宋"/>
          <w:b w:val="0"/>
          <w:bCs w:val="0"/>
          <w:color w:val="auto"/>
          <w:sz w:val="28"/>
          <w:szCs w:val="28"/>
          <w:highlight w:val="none"/>
          <w:lang w:val="en-US" w:eastAsia="zh-CN"/>
        </w:rPr>
        <w:t>如美国可能</w:t>
      </w:r>
      <w:r>
        <w:rPr>
          <w:rFonts w:hint="eastAsia" w:ascii="仿宋" w:hAnsi="仿宋" w:eastAsia="仿宋" w:cs="仿宋"/>
          <w:b w:val="0"/>
          <w:bCs w:val="0"/>
          <w:color w:val="auto"/>
          <w:sz w:val="28"/>
          <w:szCs w:val="28"/>
          <w:highlight w:val="none"/>
          <w:lang w:eastAsia="zh-CN"/>
        </w:rPr>
        <w:t>撤销中国“贸易最惠国”地位，对所有中国出口美国商品加</w:t>
      </w:r>
      <w:r>
        <w:rPr>
          <w:rFonts w:hint="eastAsia" w:ascii="仿宋" w:hAnsi="仿宋" w:eastAsia="仿宋" w:cs="仿宋"/>
          <w:b w:val="0"/>
          <w:bCs w:val="0"/>
          <w:color w:val="auto"/>
          <w:sz w:val="28"/>
          <w:szCs w:val="28"/>
          <w:highlight w:val="none"/>
        </w:rPr>
        <w:t>征60%或以上关税</w:t>
      </w:r>
      <w:r>
        <w:rPr>
          <w:rFonts w:hint="eastAsia" w:ascii="仿宋" w:hAnsi="仿宋" w:eastAsia="仿宋" w:cs="仿宋"/>
          <w:b w:val="0"/>
          <w:bCs w:val="0"/>
          <w:color w:val="auto"/>
          <w:sz w:val="28"/>
          <w:szCs w:val="28"/>
          <w:highlight w:val="none"/>
          <w:lang w:eastAsia="zh-CN"/>
        </w:rPr>
        <w:t>，</w:t>
      </w:r>
      <w:r>
        <w:rPr>
          <w:rFonts w:hint="eastAsia" w:ascii="仿宋" w:hAnsi="仿宋" w:eastAsia="仿宋" w:cs="仿宋"/>
          <w:b w:val="0"/>
          <w:bCs w:val="0"/>
          <w:color w:val="auto"/>
          <w:sz w:val="28"/>
          <w:szCs w:val="28"/>
          <w:highlight w:val="none"/>
          <w:lang w:val="en-US" w:eastAsia="zh-CN"/>
        </w:rPr>
        <w:t>声称</w:t>
      </w:r>
      <w:r>
        <w:rPr>
          <w:rFonts w:hint="eastAsia" w:ascii="仿宋" w:hAnsi="仿宋" w:eastAsia="仿宋" w:cs="仿宋"/>
          <w:b w:val="0"/>
          <w:bCs w:val="0"/>
          <w:color w:val="auto"/>
          <w:sz w:val="28"/>
          <w:szCs w:val="28"/>
          <w:highlight w:val="none"/>
        </w:rPr>
        <w:t>四年内</w:t>
      </w:r>
      <w:r>
        <w:rPr>
          <w:rFonts w:hint="eastAsia" w:ascii="仿宋" w:hAnsi="仿宋" w:eastAsia="仿宋" w:cs="仿宋"/>
          <w:b w:val="0"/>
          <w:bCs w:val="0"/>
          <w:color w:val="auto"/>
          <w:sz w:val="28"/>
          <w:szCs w:val="28"/>
          <w:highlight w:val="none"/>
          <w:lang w:val="en-US" w:eastAsia="zh-CN"/>
        </w:rPr>
        <w:t>将</w:t>
      </w:r>
      <w:r>
        <w:rPr>
          <w:rFonts w:hint="eastAsia" w:ascii="仿宋" w:hAnsi="仿宋" w:eastAsia="仿宋" w:cs="仿宋"/>
          <w:b w:val="0"/>
          <w:bCs w:val="0"/>
          <w:color w:val="auto"/>
          <w:sz w:val="28"/>
          <w:szCs w:val="28"/>
          <w:highlight w:val="none"/>
        </w:rPr>
        <w:t>停止</w:t>
      </w:r>
      <w:r>
        <w:rPr>
          <w:rFonts w:hint="eastAsia" w:ascii="仿宋" w:hAnsi="仿宋" w:eastAsia="仿宋" w:cs="仿宋"/>
          <w:b w:val="0"/>
          <w:bCs w:val="0"/>
          <w:color w:val="auto"/>
          <w:sz w:val="28"/>
          <w:szCs w:val="28"/>
          <w:highlight w:val="none"/>
          <w:lang w:val="en-US" w:eastAsia="zh-CN"/>
        </w:rPr>
        <w:t>进口</w:t>
      </w:r>
      <w:r>
        <w:rPr>
          <w:rFonts w:hint="eastAsia" w:ascii="仿宋" w:hAnsi="仿宋" w:eastAsia="仿宋" w:cs="仿宋"/>
          <w:b w:val="0"/>
          <w:bCs w:val="0"/>
          <w:color w:val="auto"/>
          <w:sz w:val="28"/>
          <w:szCs w:val="28"/>
          <w:highlight w:val="none"/>
        </w:rPr>
        <w:t>中国生产的必需品</w:t>
      </w:r>
      <w:r>
        <w:rPr>
          <w:rFonts w:hint="eastAsia" w:ascii="仿宋" w:hAnsi="仿宋" w:eastAsia="仿宋" w:cs="仿宋"/>
          <w:color w:val="auto"/>
          <w:sz w:val="28"/>
          <w:szCs w:val="28"/>
          <w:highlight w:val="none"/>
          <w:lang w:val="en-US" w:eastAsia="zh-CN"/>
        </w:rPr>
        <w:t>等</w:t>
      </w:r>
      <w:r>
        <w:rPr>
          <w:rFonts w:hint="eastAsia" w:ascii="仿宋" w:hAnsi="仿宋" w:eastAsia="仿宋" w:cs="仿宋"/>
          <w:color w:val="auto"/>
          <w:sz w:val="28"/>
          <w:szCs w:val="28"/>
          <w:highlight w:val="none"/>
        </w:rPr>
        <w:t>。</w:t>
      </w:r>
      <w:r>
        <w:rPr>
          <w:rFonts w:hint="eastAsia" w:ascii="仿宋" w:hAnsi="仿宋" w:eastAsia="仿宋" w:cs="仿宋"/>
          <w:color w:val="auto"/>
          <w:sz w:val="28"/>
          <w:szCs w:val="28"/>
          <w:highlight w:val="none"/>
          <w:lang w:val="en-US" w:eastAsia="zh-CN"/>
        </w:rPr>
        <w:t>美国</w:t>
      </w:r>
      <w:r>
        <w:rPr>
          <w:rFonts w:hint="eastAsia" w:ascii="仿宋" w:hAnsi="仿宋" w:eastAsia="仿宋" w:cs="仿宋"/>
          <w:b/>
          <w:bCs/>
          <w:color w:val="auto"/>
          <w:sz w:val="28"/>
          <w:szCs w:val="28"/>
          <w:highlight w:val="none"/>
          <w:lang w:val="en-US" w:eastAsia="zh-CN"/>
        </w:rPr>
        <w:t>将加快促进芯片等制造业回流，同时通过</w:t>
      </w:r>
      <w:r>
        <w:rPr>
          <w:rFonts w:hint="eastAsia" w:ascii="仿宋" w:hAnsi="仿宋" w:eastAsia="仿宋" w:cs="仿宋"/>
          <w:b/>
          <w:bCs/>
          <w:color w:val="auto"/>
          <w:sz w:val="28"/>
          <w:szCs w:val="28"/>
          <w:highlight w:val="none"/>
        </w:rPr>
        <w:t>出口和投融资</w:t>
      </w:r>
      <w:r>
        <w:rPr>
          <w:rFonts w:hint="eastAsia" w:ascii="仿宋" w:hAnsi="仿宋" w:eastAsia="仿宋" w:cs="仿宋"/>
          <w:b/>
          <w:bCs/>
          <w:color w:val="auto"/>
          <w:sz w:val="28"/>
          <w:szCs w:val="28"/>
          <w:highlight w:val="none"/>
          <w:lang w:val="en-US" w:eastAsia="zh-CN"/>
        </w:rPr>
        <w:t>限制我国高技术产业发展</w:t>
      </w:r>
      <w:r>
        <w:rPr>
          <w:rFonts w:hint="eastAsia" w:ascii="仿宋" w:hAnsi="仿宋" w:eastAsia="仿宋" w:cs="仿宋"/>
          <w:color w:val="auto"/>
          <w:sz w:val="28"/>
          <w:szCs w:val="28"/>
          <w:highlight w:val="none"/>
          <w:lang w:eastAsia="zh-CN"/>
        </w:rPr>
        <w:t>。</w:t>
      </w:r>
    </w:p>
    <w:p>
      <w:pPr>
        <w:pStyle w:val="2"/>
        <w:keepNext/>
        <w:keepLines/>
        <w:pageBreakBefore w:val="0"/>
        <w:widowControl w:val="0"/>
        <w:numPr>
          <w:ilvl w:val="0"/>
          <w:numId w:val="1"/>
        </w:numPr>
        <w:kinsoku/>
        <w:wordWrap/>
        <w:overflowPunct/>
        <w:topLinePunct w:val="0"/>
        <w:autoSpaceDE/>
        <w:autoSpaceDN/>
        <w:bidi w:val="0"/>
        <w:adjustRightInd/>
        <w:snapToGrid/>
        <w:spacing w:before="220" w:after="90" w:line="360" w:lineRule="auto"/>
        <w:ind w:firstLine="420"/>
        <w:textAlignment w:val="auto"/>
        <w:rPr>
          <w:rFonts w:hint="eastAsia" w:ascii="仿宋" w:hAnsi="仿宋" w:eastAsia="仿宋" w:cs="仿宋"/>
          <w:b/>
          <w:sz w:val="28"/>
          <w:szCs w:val="16"/>
          <w:lang w:val="en-US" w:eastAsia="zh-CN"/>
        </w:rPr>
      </w:pPr>
      <w:r>
        <w:rPr>
          <w:rFonts w:hint="eastAsia" w:ascii="仿宋" w:hAnsi="仿宋" w:eastAsia="仿宋" w:cs="仿宋"/>
          <w:b/>
          <w:sz w:val="28"/>
          <w:szCs w:val="16"/>
          <w:lang w:val="en-US" w:eastAsia="zh-CN"/>
        </w:rPr>
        <w:t>大模型：多模态和智能体爆发</w:t>
      </w:r>
    </w:p>
    <w:p>
      <w:pPr>
        <w:pStyle w:val="11"/>
        <w:ind w:firstLine="562"/>
        <w:rPr>
          <w:rFonts w:hint="eastAsia" w:ascii="仿宋" w:hAnsi="仿宋" w:eastAsia="仿宋" w:cs="仿宋"/>
          <w:b w:val="0"/>
          <w:bCs w:val="0"/>
          <w:sz w:val="28"/>
          <w:szCs w:val="36"/>
          <w:lang w:eastAsia="zh-CN"/>
        </w:rPr>
      </w:pPr>
      <w:r>
        <w:rPr>
          <w:rFonts w:hint="eastAsia" w:ascii="仿宋" w:hAnsi="仿宋" w:eastAsia="仿宋" w:cs="仿宋"/>
          <w:b w:val="0"/>
          <w:bCs w:val="0"/>
          <w:sz w:val="28"/>
          <w:szCs w:val="36"/>
        </w:rPr>
        <w:t>Scaling Law</w:t>
      </w:r>
      <w:r>
        <w:rPr>
          <w:rFonts w:hint="eastAsia" w:ascii="仿宋" w:hAnsi="仿宋" w:eastAsia="仿宋" w:cs="仿宋"/>
          <w:b w:val="0"/>
          <w:bCs w:val="0"/>
          <w:sz w:val="28"/>
          <w:szCs w:val="36"/>
          <w:lang w:val="en-US" w:eastAsia="zh-CN"/>
        </w:rPr>
        <w:t>仍然失效，2025年AI大模型规模竞赛将继续演进，多模态性能是重点方向。随着</w:t>
      </w:r>
      <w:r>
        <w:rPr>
          <w:rFonts w:hint="eastAsia" w:ascii="仿宋" w:hAnsi="仿宋" w:eastAsia="仿宋" w:cs="仿宋"/>
          <w:b w:val="0"/>
          <w:bCs w:val="0"/>
          <w:sz w:val="28"/>
          <w:szCs w:val="36"/>
        </w:rPr>
        <w:t>大模型推理</w:t>
      </w:r>
      <w:r>
        <w:rPr>
          <w:rFonts w:hint="eastAsia" w:ascii="仿宋" w:hAnsi="仿宋" w:eastAsia="仿宋" w:cs="仿宋"/>
          <w:b w:val="0"/>
          <w:bCs w:val="0"/>
          <w:sz w:val="28"/>
          <w:szCs w:val="36"/>
          <w:lang w:val="en-US" w:eastAsia="zh-CN"/>
        </w:rPr>
        <w:t>能力提升，RAG、Agent等配套技术基本成熟，2025年AI产业将重点转向</w:t>
      </w:r>
      <w:r>
        <w:rPr>
          <w:rFonts w:hint="eastAsia" w:ascii="仿宋" w:hAnsi="仿宋" w:eastAsia="仿宋" w:cs="仿宋"/>
          <w:b w:val="0"/>
          <w:bCs w:val="0"/>
          <w:sz w:val="28"/>
          <w:szCs w:val="36"/>
        </w:rPr>
        <w:t>Agentic AI</w:t>
      </w:r>
      <w:r>
        <w:rPr>
          <w:rFonts w:hint="eastAsia" w:ascii="仿宋" w:hAnsi="仿宋" w:eastAsia="仿宋" w:cs="仿宋"/>
          <w:b w:val="0"/>
          <w:bCs w:val="0"/>
          <w:sz w:val="28"/>
          <w:szCs w:val="36"/>
          <w:lang w:val="en-US" w:eastAsia="zh-CN"/>
        </w:rPr>
        <w:t>应用扩散</w:t>
      </w:r>
      <w:r>
        <w:rPr>
          <w:rFonts w:hint="eastAsia" w:ascii="仿宋" w:hAnsi="仿宋" w:eastAsia="仿宋" w:cs="仿宋"/>
          <w:b w:val="0"/>
          <w:bCs w:val="0"/>
          <w:sz w:val="28"/>
          <w:szCs w:val="36"/>
        </w:rPr>
        <w:t>阶段</w:t>
      </w:r>
      <w:r>
        <w:rPr>
          <w:rFonts w:hint="eastAsia" w:ascii="仿宋" w:hAnsi="仿宋" w:eastAsia="仿宋" w:cs="仿宋"/>
          <w:b w:val="0"/>
          <w:bCs w:val="0"/>
          <w:sz w:val="28"/>
          <w:szCs w:val="36"/>
          <w:lang w:eastAsia="zh-CN"/>
        </w:rPr>
        <w:t>，</w:t>
      </w:r>
      <w:r>
        <w:rPr>
          <w:rFonts w:hint="eastAsia" w:ascii="仿宋" w:hAnsi="仿宋" w:eastAsia="仿宋" w:cs="仿宋"/>
          <w:b w:val="0"/>
          <w:bCs w:val="0"/>
          <w:sz w:val="28"/>
          <w:szCs w:val="36"/>
        </w:rPr>
        <w:t>自主生成式AI智能体</w:t>
      </w:r>
      <w:r>
        <w:rPr>
          <w:rFonts w:hint="eastAsia" w:ascii="仿宋" w:hAnsi="仿宋" w:eastAsia="仿宋" w:cs="仿宋"/>
          <w:b w:val="0"/>
          <w:bCs w:val="0"/>
          <w:sz w:val="28"/>
          <w:szCs w:val="36"/>
          <w:lang w:val="en-US" w:eastAsia="zh-CN"/>
        </w:rPr>
        <w:t>将逐步渗透到工作决策环节，成为新的</w:t>
      </w:r>
      <w:r>
        <w:rPr>
          <w:rFonts w:hint="eastAsia" w:ascii="仿宋" w:hAnsi="仿宋" w:eastAsia="仿宋" w:cs="仿宋"/>
          <w:b w:val="0"/>
          <w:bCs w:val="0"/>
          <w:sz w:val="28"/>
          <w:szCs w:val="36"/>
        </w:rPr>
        <w:t>爆发</w:t>
      </w:r>
      <w:r>
        <w:rPr>
          <w:rFonts w:hint="eastAsia" w:ascii="仿宋" w:hAnsi="仿宋" w:eastAsia="仿宋" w:cs="仿宋"/>
          <w:b w:val="0"/>
          <w:bCs w:val="0"/>
          <w:sz w:val="28"/>
          <w:szCs w:val="36"/>
          <w:lang w:val="en-US" w:eastAsia="zh-CN"/>
        </w:rPr>
        <w:t>点</w:t>
      </w:r>
      <w:r>
        <w:rPr>
          <w:rFonts w:hint="eastAsia" w:ascii="仿宋" w:hAnsi="仿宋" w:eastAsia="仿宋" w:cs="仿宋"/>
          <w:b w:val="0"/>
          <w:bCs w:val="0"/>
          <w:sz w:val="28"/>
          <w:szCs w:val="36"/>
          <w:lang w:eastAsia="zh-CN"/>
        </w:rPr>
        <w:t>。</w:t>
      </w:r>
      <w:bookmarkStart w:id="2" w:name="_GoBack"/>
      <w:bookmarkEnd w:id="2"/>
    </w:p>
    <w:p>
      <w:pPr>
        <w:pStyle w:val="2"/>
        <w:keepNext/>
        <w:keepLines/>
        <w:numPr>
          <w:ilvl w:val="0"/>
          <w:numId w:val="1"/>
        </w:numPr>
        <w:spacing w:before="220" w:after="90" w:line="360" w:lineRule="auto"/>
        <w:ind w:firstLine="420"/>
        <w:rPr>
          <w:rFonts w:hint="default" w:ascii="仿宋" w:hAnsi="仿宋" w:eastAsia="仿宋" w:cs="仿宋"/>
          <w:b/>
          <w:bCs w:val="0"/>
          <w:sz w:val="28"/>
          <w:szCs w:val="16"/>
          <w:lang w:val="en-US" w:eastAsia="zh-CN"/>
        </w:rPr>
      </w:pPr>
      <w:r>
        <w:rPr>
          <w:rFonts w:hint="eastAsia" w:ascii="仿宋" w:hAnsi="仿宋" w:eastAsia="仿宋" w:cs="仿宋"/>
          <w:b/>
          <w:bCs w:val="0"/>
          <w:sz w:val="28"/>
          <w:szCs w:val="16"/>
          <w:lang w:val="en-US" w:eastAsia="zh-CN"/>
        </w:rPr>
        <w:t>数据：数据基础设施建设提速</w:t>
      </w:r>
    </w:p>
    <w:p>
      <w:pPr>
        <w:widowControl/>
        <w:shd w:val="clear" w:fill="FFFFFF"/>
        <w:adjustRightInd/>
        <w:snapToGrid/>
        <w:spacing w:line="240" w:lineRule="auto"/>
        <w:ind w:firstLine="560" w:firstLineChars="200"/>
        <w:jc w:val="left"/>
        <w:rPr>
          <w:rFonts w:hint="eastAsia" w:ascii="仿宋" w:hAnsi="仿宋" w:eastAsia="仿宋" w:cs="仿宋"/>
          <w:b/>
          <w:sz w:val="28"/>
          <w:szCs w:val="22"/>
          <w:lang w:val="en-US" w:eastAsia="zh-CN"/>
        </w:rPr>
      </w:pPr>
      <w:r>
        <w:rPr>
          <w:rFonts w:hint="eastAsia" w:ascii="仿宋" w:hAnsi="仿宋" w:eastAsia="仿宋" w:cs="仿宋"/>
          <w:b w:val="0"/>
          <w:bCs w:val="0"/>
          <w:kern w:val="2"/>
          <w:sz w:val="28"/>
          <w:szCs w:val="36"/>
          <w:lang w:val="en-US" w:eastAsia="zh-CN" w:bidi="ar-SA"/>
        </w:rPr>
        <w:t>2025年新型数据</w:t>
      </w:r>
      <w:r>
        <w:rPr>
          <w:rFonts w:hint="default" w:ascii="仿宋" w:hAnsi="仿宋" w:eastAsia="仿宋" w:cs="仿宋"/>
          <w:b w:val="0"/>
          <w:bCs w:val="0"/>
          <w:kern w:val="2"/>
          <w:sz w:val="28"/>
          <w:szCs w:val="36"/>
          <w:lang w:val="en-US" w:eastAsia="zh-CN" w:bidi="ar-SA"/>
        </w:rPr>
        <w:t>基础设施</w:t>
      </w:r>
      <w:r>
        <w:rPr>
          <w:rFonts w:hint="eastAsia" w:ascii="仿宋" w:hAnsi="仿宋" w:eastAsia="仿宋" w:cs="仿宋"/>
          <w:b w:val="0"/>
          <w:bCs w:val="0"/>
          <w:kern w:val="2"/>
          <w:sz w:val="28"/>
          <w:szCs w:val="36"/>
          <w:lang w:val="en-US" w:eastAsia="zh-CN" w:bidi="ar-SA"/>
        </w:rPr>
        <w:t>建设将进入实质性系统推进阶段，重构全新的数据管理和治理体系、培育新型数据要素型企业也更为迫切。在此基础上，</w:t>
      </w:r>
      <w:r>
        <w:rPr>
          <w:rFonts w:hint="default" w:ascii="仿宋" w:hAnsi="仿宋" w:eastAsia="仿宋" w:cs="仿宋"/>
          <w:b w:val="0"/>
          <w:bCs w:val="0"/>
          <w:kern w:val="2"/>
          <w:sz w:val="28"/>
          <w:szCs w:val="36"/>
          <w:lang w:val="en-US" w:eastAsia="zh-CN" w:bidi="ar-SA"/>
        </w:rPr>
        <w:t>数据要素</w:t>
      </w:r>
      <w:r>
        <w:rPr>
          <w:rFonts w:hint="eastAsia" w:ascii="仿宋" w:hAnsi="仿宋" w:eastAsia="仿宋" w:cs="仿宋"/>
          <w:b w:val="0"/>
          <w:bCs w:val="0"/>
          <w:kern w:val="2"/>
          <w:sz w:val="28"/>
          <w:szCs w:val="36"/>
          <w:lang w:val="en-US" w:eastAsia="zh-CN" w:bidi="ar-SA"/>
        </w:rPr>
        <w:t>场景将多元拓展，</w:t>
      </w:r>
      <w:r>
        <w:rPr>
          <w:rFonts w:hint="default" w:ascii="仿宋" w:hAnsi="仿宋" w:eastAsia="仿宋" w:cs="仿宋"/>
          <w:b w:val="0"/>
          <w:bCs w:val="0"/>
          <w:kern w:val="2"/>
          <w:sz w:val="28"/>
          <w:szCs w:val="36"/>
          <w:lang w:val="en-US" w:eastAsia="zh-CN" w:bidi="ar-SA"/>
        </w:rPr>
        <w:t>市场规模持续增长</w:t>
      </w:r>
      <w:r>
        <w:rPr>
          <w:rFonts w:hint="eastAsia" w:ascii="仿宋" w:hAnsi="仿宋" w:eastAsia="仿宋" w:cs="仿宋"/>
          <w:b w:val="0"/>
          <w:bCs w:val="0"/>
          <w:kern w:val="2"/>
          <w:sz w:val="28"/>
          <w:szCs w:val="36"/>
          <w:lang w:val="en-US" w:eastAsia="zh-CN" w:bidi="ar-SA"/>
        </w:rPr>
        <w:t>，预计2025年规模达到1700亿以上，近五年复合增长率超25%。</w:t>
      </w:r>
    </w:p>
    <w:p>
      <w:pPr>
        <w:pStyle w:val="2"/>
        <w:keepNext/>
        <w:keepLines/>
        <w:pageBreakBefore w:val="0"/>
        <w:widowControl/>
        <w:numPr>
          <w:ilvl w:val="0"/>
          <w:numId w:val="1"/>
        </w:numPr>
        <w:kinsoku/>
        <w:wordWrap/>
        <w:overflowPunct/>
        <w:topLinePunct w:val="0"/>
        <w:autoSpaceDE/>
        <w:autoSpaceDN/>
        <w:bidi w:val="0"/>
        <w:adjustRightInd/>
        <w:snapToGrid/>
        <w:spacing w:before="220" w:after="90" w:line="360" w:lineRule="auto"/>
        <w:ind w:firstLine="420"/>
        <w:textAlignment w:val="auto"/>
        <w:rPr>
          <w:rFonts w:hint="default" w:ascii="仿宋" w:hAnsi="仿宋" w:eastAsia="仿宋" w:cs="仿宋"/>
          <w:b/>
          <w:sz w:val="28"/>
          <w:szCs w:val="16"/>
          <w:lang w:val="en-US" w:eastAsia="zh-CN"/>
        </w:rPr>
      </w:pPr>
      <w:r>
        <w:rPr>
          <w:rFonts w:hint="eastAsia" w:ascii="仿宋" w:hAnsi="仿宋" w:eastAsia="仿宋" w:cs="仿宋"/>
          <w:b/>
          <w:sz w:val="28"/>
          <w:szCs w:val="16"/>
          <w:lang w:val="en-US" w:eastAsia="zh-CN"/>
        </w:rPr>
        <w:t>算力：加快原生智能升级</w:t>
      </w:r>
    </w:p>
    <w:p>
      <w:pPr>
        <w:spacing w:line="360" w:lineRule="auto"/>
        <w:ind w:firstLine="560" w:firstLineChars="200"/>
        <w:rPr>
          <w:rFonts w:ascii="仿宋" w:hAnsi="仿宋" w:eastAsia="仿宋" w:cs="仿宋"/>
          <w:sz w:val="28"/>
          <w:szCs w:val="24"/>
        </w:rPr>
      </w:pPr>
      <w:r>
        <w:rPr>
          <w:rFonts w:hint="eastAsia" w:ascii="仿宋" w:hAnsi="仿宋" w:eastAsia="仿宋" w:cs="仿宋"/>
          <w:sz w:val="28"/>
          <w:szCs w:val="24"/>
        </w:rPr>
        <w:t>智算集群继续向大规模和分布式演进。一是训练集群规模继续扩张，向十万卡级迈进；二是面向大模型</w:t>
      </w:r>
      <w:r>
        <w:rPr>
          <w:rFonts w:hint="eastAsia" w:ascii="仿宋" w:hAnsi="仿宋" w:eastAsia="仿宋" w:cs="仿宋"/>
          <w:sz w:val="28"/>
          <w:szCs w:val="24"/>
          <w:lang w:val="en-US" w:eastAsia="zh-CN"/>
        </w:rPr>
        <w:t>训练的</w:t>
      </w:r>
      <w:r>
        <w:rPr>
          <w:rFonts w:hint="eastAsia" w:ascii="仿宋" w:hAnsi="仿宋" w:eastAsia="仿宋" w:cs="仿宋"/>
          <w:sz w:val="28"/>
          <w:szCs w:val="24"/>
        </w:rPr>
        <w:t>跨数据中心分布式网络互联技术探索提速；三是算力结构向推理侧倾斜，带动边缘智算中心需求</w:t>
      </w:r>
      <w:r>
        <w:rPr>
          <w:rFonts w:hint="eastAsia" w:ascii="仿宋" w:hAnsi="仿宋" w:eastAsia="仿宋" w:cs="仿宋"/>
          <w:sz w:val="28"/>
          <w:szCs w:val="24"/>
          <w:lang w:val="en-US" w:eastAsia="zh-CN"/>
        </w:rPr>
        <w:t>持续增加</w:t>
      </w:r>
      <w:r>
        <w:rPr>
          <w:rFonts w:hint="eastAsia" w:ascii="仿宋" w:hAnsi="仿宋" w:eastAsia="仿宋" w:cs="仿宋"/>
          <w:sz w:val="28"/>
          <w:szCs w:val="24"/>
        </w:rPr>
        <w:t>。</w:t>
      </w:r>
      <w:r>
        <w:rPr>
          <w:rFonts w:hint="eastAsia" w:ascii="仿宋" w:hAnsi="仿宋" w:eastAsia="仿宋" w:cs="仿宋"/>
          <w:b/>
          <w:bCs/>
          <w:sz w:val="28"/>
          <w:szCs w:val="24"/>
        </w:rPr>
        <w:t>云原生技术方面</w:t>
      </w:r>
      <w:r>
        <w:rPr>
          <w:rFonts w:hint="eastAsia" w:ascii="仿宋" w:hAnsi="仿宋" w:eastAsia="仿宋" w:cs="仿宋"/>
          <w:sz w:val="28"/>
          <w:szCs w:val="24"/>
        </w:rPr>
        <w:t>，Gartner预测，到2027年，超过75%的AI部署将使用容器技术作为底层计算环境。</w:t>
      </w:r>
    </w:p>
    <w:p>
      <w:pPr>
        <w:rPr>
          <w:rFonts w:hint="eastAsia" w:ascii="仿宋" w:hAnsi="仿宋" w:eastAsia="仿宋" w:cs="仿宋"/>
        </w:rPr>
      </w:pPr>
    </w:p>
    <w:p>
      <w:pPr>
        <w:pStyle w:val="2"/>
        <w:keepNext/>
        <w:keepLines/>
        <w:numPr>
          <w:ilvl w:val="0"/>
          <w:numId w:val="1"/>
        </w:numPr>
        <w:spacing w:before="220" w:after="90" w:line="360" w:lineRule="auto"/>
        <w:ind w:firstLine="420"/>
        <w:rPr>
          <w:rFonts w:hint="eastAsia" w:ascii="仿宋" w:hAnsi="仿宋" w:eastAsia="仿宋" w:cs="仿宋"/>
          <w:b/>
          <w:sz w:val="28"/>
          <w:szCs w:val="16"/>
          <w:highlight w:val="none"/>
          <w:lang w:val="en-US" w:eastAsia="zh-CN"/>
        </w:rPr>
      </w:pPr>
      <w:r>
        <w:rPr>
          <w:rFonts w:hint="eastAsia" w:ascii="仿宋" w:hAnsi="仿宋" w:eastAsia="仿宋" w:cs="仿宋"/>
          <w:b/>
          <w:bCs w:val="0"/>
          <w:sz w:val="28"/>
          <w:szCs w:val="16"/>
          <w:highlight w:val="none"/>
          <w:lang w:val="en-US" w:eastAsia="zh-CN"/>
        </w:rPr>
        <w:t>人形机器人：量产元年，</w:t>
      </w:r>
      <w:r>
        <w:rPr>
          <w:rFonts w:hint="eastAsia" w:ascii="仿宋" w:hAnsi="仿宋" w:eastAsia="仿宋" w:cs="仿宋"/>
          <w:b/>
          <w:sz w:val="28"/>
          <w:szCs w:val="16"/>
          <w:highlight w:val="none"/>
          <w:lang w:val="en-US" w:eastAsia="zh-CN"/>
        </w:rPr>
        <w:t>“机器人+”将驱动新型工业化变革</w:t>
      </w:r>
    </w:p>
    <w:p>
      <w:pPr>
        <w:spacing w:line="360" w:lineRule="auto"/>
        <w:ind w:firstLine="560" w:firstLineChars="200"/>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2025年预计国家对机器人产业从上游零部件、本体制造直至应用场景提供全链条、全方位政策支持。随着软硬件技术演进与成熟，工业及人型机器人在性能及智能化程度上将有较大提升。同时2025年预计是我国人形机器人量产元年，未来几年，伴随着应用场景规模化拓展，新型工业化借助机器人技术将实现质的飞跃。</w:t>
      </w:r>
    </w:p>
    <w:p>
      <w:pPr>
        <w:adjustRightInd w:val="0"/>
        <w:snapToGrid w:val="0"/>
        <w:spacing w:line="360" w:lineRule="auto"/>
        <w:rPr>
          <w:rFonts w:hint="eastAsia" w:ascii="仿宋" w:hAnsi="仿宋" w:eastAsia="仿宋" w:cs="仿宋"/>
          <w:b/>
          <w:sz w:val="28"/>
          <w:szCs w:val="22"/>
          <w:lang w:val="en-US" w:eastAsia="zh-CN"/>
        </w:rPr>
      </w:pPr>
    </w:p>
    <w:p>
      <w:pPr>
        <w:pStyle w:val="2"/>
        <w:keepNext/>
        <w:keepLines/>
        <w:pageBreakBefore w:val="0"/>
        <w:widowControl w:val="0"/>
        <w:numPr>
          <w:ilvl w:val="0"/>
          <w:numId w:val="1"/>
        </w:numPr>
        <w:kinsoku/>
        <w:wordWrap/>
        <w:overflowPunct/>
        <w:topLinePunct w:val="0"/>
        <w:autoSpaceDE/>
        <w:autoSpaceDN/>
        <w:bidi w:val="0"/>
        <w:adjustRightInd/>
        <w:snapToGrid/>
        <w:spacing w:before="220" w:after="90" w:line="360" w:lineRule="auto"/>
        <w:ind w:firstLine="420"/>
        <w:textAlignment w:val="auto"/>
        <w:rPr>
          <w:rFonts w:hint="eastAsia" w:ascii="仿宋" w:hAnsi="仿宋" w:eastAsia="仿宋" w:cs="仿宋"/>
          <w:b/>
          <w:sz w:val="28"/>
          <w:szCs w:val="16"/>
          <w:lang w:val="en-US" w:eastAsia="zh-CN"/>
        </w:rPr>
      </w:pPr>
      <w:r>
        <w:rPr>
          <w:rFonts w:hint="eastAsia" w:ascii="仿宋" w:hAnsi="仿宋" w:eastAsia="仿宋" w:cs="仿宋"/>
          <w:b/>
          <w:sz w:val="28"/>
          <w:szCs w:val="16"/>
          <w:lang w:val="en-US" w:eastAsia="zh-CN"/>
        </w:rPr>
        <w:t>家庭智能化：</w:t>
      </w:r>
      <w:bookmarkStart w:id="0" w:name="OLE_LINK1"/>
      <w:r>
        <w:rPr>
          <w:rFonts w:hint="eastAsia" w:ascii="仿宋" w:hAnsi="仿宋" w:eastAsia="仿宋" w:cs="仿宋"/>
          <w:b/>
          <w:sz w:val="28"/>
          <w:szCs w:val="16"/>
          <w:lang w:val="en-US" w:eastAsia="zh-CN"/>
        </w:rPr>
        <w:t>面向家庭场景的</w:t>
      </w:r>
      <w:r>
        <w:rPr>
          <w:rFonts w:hint="eastAsia" w:ascii="仿宋" w:hAnsi="仿宋" w:eastAsia="仿宋" w:cs="仿宋"/>
          <w:b/>
          <w:bCs/>
          <w:sz w:val="28"/>
          <w:szCs w:val="32"/>
        </w:rPr>
        <w:t>智能化业务迎来快速发展期</w:t>
      </w:r>
      <w:bookmarkEnd w:id="0"/>
    </w:p>
    <w:p>
      <w:pPr>
        <w:spacing w:line="360" w:lineRule="auto"/>
        <w:ind w:firstLine="560" w:firstLineChars="200"/>
        <w:jc w:val="left"/>
        <w:rPr>
          <w:rFonts w:ascii="Segoe UI Symbol" w:hAnsi="Segoe UI Symbol" w:eastAsia="仿宋" w:cs="Segoe UI Symbol"/>
          <w:sz w:val="28"/>
          <w:szCs w:val="32"/>
        </w:rPr>
      </w:pPr>
      <w:r>
        <w:rPr>
          <w:rFonts w:hint="eastAsia" w:ascii="仿宋" w:hAnsi="仿宋" w:eastAsia="仿宋" w:cs="仿宋"/>
          <w:sz w:val="28"/>
          <w:szCs w:val="32"/>
        </w:rPr>
        <w:t>在新建和改善升级场景中的</w:t>
      </w:r>
      <w:r>
        <w:rPr>
          <w:rFonts w:hint="eastAsia" w:ascii="仿宋" w:hAnsi="仿宋" w:eastAsia="仿宋" w:cs="仿宋"/>
          <w:sz w:val="28"/>
          <w:szCs w:val="32"/>
          <w:lang w:val="en-US" w:eastAsia="zh-CN"/>
        </w:rPr>
        <w:t>居家</w:t>
      </w:r>
      <w:r>
        <w:rPr>
          <w:rFonts w:hint="eastAsia" w:ascii="仿宋" w:hAnsi="仿宋" w:eastAsia="仿宋" w:cs="仿宋"/>
          <w:sz w:val="28"/>
          <w:szCs w:val="32"/>
        </w:rPr>
        <w:t>智能化需求将大幅提升，</w:t>
      </w:r>
      <w:r>
        <w:rPr>
          <w:rFonts w:hint="eastAsia" w:ascii="Segoe UI Symbol" w:hAnsi="Segoe UI Symbol" w:eastAsia="仿宋" w:cs="Segoe UI Symbol"/>
          <w:sz w:val="28"/>
          <w:szCs w:val="32"/>
        </w:rPr>
        <w:t>包括智能交互推进多</w:t>
      </w:r>
      <w:r>
        <w:rPr>
          <w:rFonts w:ascii="Segoe UI Symbol" w:hAnsi="Segoe UI Symbol" w:eastAsia="仿宋" w:cs="Segoe UI Symbol"/>
          <w:sz w:val="28"/>
          <w:szCs w:val="32"/>
        </w:rPr>
        <w:t>设备深度融合互通，实现场景化自动控制</w:t>
      </w:r>
      <w:r>
        <w:rPr>
          <w:rFonts w:hint="eastAsia" w:ascii="Segoe UI Symbol" w:hAnsi="Segoe UI Symbol" w:eastAsia="仿宋" w:cs="Segoe UI Symbol"/>
          <w:sz w:val="28"/>
          <w:szCs w:val="32"/>
        </w:rPr>
        <w:t>，以视觉智能</w:t>
      </w:r>
      <w:r>
        <w:rPr>
          <w:rFonts w:ascii="Segoe UI Symbol" w:hAnsi="Segoe UI Symbol" w:eastAsia="仿宋" w:cs="Segoe UI Symbol"/>
          <w:sz w:val="28"/>
          <w:szCs w:val="32"/>
        </w:rPr>
        <w:t>主动感知和预测用户需求</w:t>
      </w:r>
      <w:r>
        <w:rPr>
          <w:rFonts w:hint="eastAsia" w:ascii="Segoe UI Symbol" w:hAnsi="Segoe UI Symbol" w:eastAsia="仿宋" w:cs="Segoe UI Symbol"/>
          <w:sz w:val="28"/>
          <w:szCs w:val="32"/>
        </w:rPr>
        <w:t>并</w:t>
      </w:r>
      <w:r>
        <w:rPr>
          <w:rFonts w:ascii="Segoe UI Symbol" w:hAnsi="Segoe UI Symbol" w:eastAsia="仿宋" w:cs="Segoe UI Symbol"/>
          <w:sz w:val="28"/>
          <w:szCs w:val="32"/>
        </w:rPr>
        <w:t>提供个性化服务</w:t>
      </w:r>
      <w:r>
        <w:rPr>
          <w:rFonts w:hint="eastAsia" w:ascii="Segoe UI Symbol" w:hAnsi="Segoe UI Symbol" w:eastAsia="仿宋" w:cs="Segoe UI Symbol"/>
          <w:sz w:val="28"/>
          <w:szCs w:val="32"/>
        </w:rPr>
        <w:t>等。居家型智能</w:t>
      </w:r>
      <w:r>
        <w:rPr>
          <w:rFonts w:hint="eastAsia" w:ascii="仿宋" w:hAnsi="仿宋" w:eastAsia="仿宋" w:cs="仿宋"/>
          <w:sz w:val="28"/>
          <w:szCs w:val="32"/>
        </w:rPr>
        <w:t>集中体现在智能家庭、视联网和</w:t>
      </w:r>
      <w:r>
        <w:rPr>
          <w:rFonts w:hint="eastAsia" w:ascii="Segoe UI Symbol" w:hAnsi="Segoe UI Symbol" w:eastAsia="仿宋" w:cs="Segoe UI Symbol"/>
          <w:sz w:val="28"/>
          <w:szCs w:val="32"/>
        </w:rPr>
        <w:t>智联网等领域的快速增长。根据预测</w:t>
      </w:r>
      <w:r>
        <w:rPr>
          <w:rFonts w:hint="eastAsia" w:ascii="仿宋" w:hAnsi="仿宋" w:eastAsia="仿宋" w:cs="仿宋"/>
          <w:sz w:val="28"/>
          <w:szCs w:val="32"/>
        </w:rPr>
        <w:t>,中国智能家居市场规模已达8000亿元，未来5年复合增长率超过6%。</w:t>
      </w:r>
      <w:r>
        <w:rPr>
          <w:rStyle w:val="10"/>
          <w:rFonts w:ascii="Segoe UI Symbol" w:hAnsi="Segoe UI Symbol" w:eastAsia="仿宋" w:cs="Segoe UI Symbol"/>
          <w:sz w:val="28"/>
          <w:szCs w:val="32"/>
        </w:rPr>
        <w:footnoteReference w:id="0"/>
      </w:r>
    </w:p>
    <w:p>
      <w:pPr>
        <w:pStyle w:val="2"/>
        <w:keepNext/>
        <w:keepLines/>
        <w:pageBreakBefore w:val="0"/>
        <w:widowControl w:val="0"/>
        <w:kinsoku/>
        <w:wordWrap/>
        <w:overflowPunct/>
        <w:topLinePunct w:val="0"/>
        <w:autoSpaceDE/>
        <w:autoSpaceDN/>
        <w:bidi w:val="0"/>
        <w:adjustRightInd/>
        <w:snapToGrid/>
        <w:spacing w:before="220" w:after="90" w:line="360" w:lineRule="auto"/>
        <w:textAlignment w:val="auto"/>
        <w:rPr>
          <w:rFonts w:hint="default" w:ascii="仿宋" w:hAnsi="仿宋" w:eastAsia="仿宋" w:cs="仿宋"/>
          <w:b w:val="0"/>
          <w:bCs/>
          <w:sz w:val="28"/>
          <w:szCs w:val="16"/>
          <w:lang w:val="en-US" w:eastAsia="zh-CN"/>
        </w:rPr>
      </w:pPr>
      <w:r>
        <w:rPr>
          <w:rFonts w:hint="eastAsia" w:ascii="仿宋" w:hAnsi="仿宋" w:eastAsia="仿宋" w:cs="仿宋"/>
          <w:b/>
          <w:sz w:val="28"/>
          <w:szCs w:val="16"/>
          <w:lang w:val="en-US" w:eastAsia="zh-CN"/>
        </w:rPr>
        <w:t>七、企业数智化：AI大模型深度</w:t>
      </w:r>
      <w:r>
        <w:rPr>
          <w:rFonts w:hint="eastAsia" w:ascii="仿宋" w:hAnsi="仿宋" w:eastAsia="仿宋"/>
          <w:sz w:val="28"/>
          <w:lang w:val="en-US" w:eastAsia="zh-CN"/>
        </w:rPr>
        <w:t>赋能产业和企业转型升级</w:t>
      </w:r>
    </w:p>
    <w:p>
      <w:pPr>
        <w:ind w:firstLine="560" w:firstLineChars="200"/>
        <w:rPr>
          <w:rFonts w:hint="eastAsia" w:ascii="仿宋" w:hAnsi="仿宋" w:eastAsia="仿宋"/>
          <w:sz w:val="28"/>
        </w:rPr>
      </w:pPr>
      <w:r>
        <w:rPr>
          <w:rFonts w:hint="eastAsia" w:ascii="仿宋" w:hAnsi="仿宋" w:eastAsia="仿宋"/>
          <w:sz w:val="28"/>
        </w:rPr>
        <w:t>2025年数字化转型将迈入数智化阶段。首先，人工智能将更深层次融入企业数字化转型应用，从单一场景迈向AI 驱动的全流程贯通，以实现更高的敏捷性与灵活性，增强企业竞争力与价值创造能力。同时，随着垂类大模型应用的加速落地，2025年数字技术将融合垂类大模型赋能产业数字化场景应用升级。最后，数字化创新升级将加速开放生态构建，推动创新要素在全社会自由流动与高效配置，形成创新生态循环。</w:t>
      </w:r>
    </w:p>
    <w:p>
      <w:pPr>
        <w:pStyle w:val="2"/>
        <w:numPr>
          <w:ilvl w:val="-1"/>
          <w:numId w:val="0"/>
        </w:numPr>
        <w:ind w:left="0" w:firstLine="0"/>
        <w:rPr>
          <w:rFonts w:hint="default" w:ascii="仿宋" w:hAnsi="仿宋" w:eastAsia="仿宋" w:cs="仿宋"/>
          <w:b/>
          <w:sz w:val="28"/>
          <w:szCs w:val="16"/>
          <w:lang w:val="en-US" w:eastAsia="zh-CN"/>
        </w:rPr>
      </w:pPr>
      <w:r>
        <w:rPr>
          <w:rFonts w:hint="eastAsia" w:ascii="仿宋" w:hAnsi="仿宋" w:eastAsia="仿宋" w:cs="仿宋"/>
          <w:sz w:val="28"/>
          <w:szCs w:val="16"/>
          <w:lang w:val="en-US" w:eastAsia="zh-CN"/>
        </w:rPr>
        <w:t>八、</w:t>
      </w:r>
      <w:bookmarkStart w:id="1" w:name="OLE_LINK2"/>
      <w:r>
        <w:rPr>
          <w:rFonts w:hint="eastAsia" w:ascii="仿宋" w:hAnsi="仿宋" w:eastAsia="仿宋" w:cs="仿宋"/>
          <w:b/>
          <w:sz w:val="28"/>
          <w:szCs w:val="16"/>
          <w:lang w:val="en-US" w:eastAsia="zh-CN"/>
        </w:rPr>
        <w:t>智能交互：大模型重构智能终端，开启新一轮入口之争</w:t>
      </w:r>
    </w:p>
    <w:bookmarkEnd w:id="1"/>
    <w:p>
      <w:pPr>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硬件重构的核心在于芯片与端侧模型算力需求匹配，</w:t>
      </w:r>
      <w:r>
        <w:rPr>
          <w:rFonts w:hint="eastAsia" w:ascii="仿宋" w:hAnsi="仿宋" w:eastAsia="仿宋" w:cs="仿宋"/>
          <w:b/>
          <w:bCs/>
          <w:sz w:val="28"/>
          <w:szCs w:val="28"/>
          <w:lang w:val="en-US" w:eastAsia="zh-CN"/>
        </w:rPr>
        <w:t>主要形式是手机、XR设备、自动驾驶汽车等；</w:t>
      </w:r>
      <w:r>
        <w:rPr>
          <w:rFonts w:hint="eastAsia" w:ascii="仿宋" w:hAnsi="仿宋" w:eastAsia="仿宋" w:cs="仿宋"/>
          <w:sz w:val="28"/>
          <w:szCs w:val="28"/>
          <w:lang w:val="en-US" w:eastAsia="zh-CN"/>
        </w:rPr>
        <w:t>或利用云端能力</w:t>
      </w:r>
      <w:r>
        <w:rPr>
          <w:rFonts w:hint="eastAsia" w:ascii="仿宋" w:hAnsi="仿宋" w:eastAsia="仿宋" w:cs="仿宋"/>
          <w:b/>
          <w:bCs/>
          <w:sz w:val="28"/>
          <w:szCs w:val="28"/>
          <w:lang w:val="en-US" w:eastAsia="zh-CN"/>
        </w:rPr>
        <w:t>为特定场景进行组合创新，</w:t>
      </w:r>
      <w:r>
        <w:rPr>
          <w:rFonts w:hint="eastAsia" w:ascii="仿宋" w:hAnsi="仿宋" w:eastAsia="仿宋" w:cs="仿宋"/>
          <w:sz w:val="28"/>
          <w:szCs w:val="28"/>
          <w:lang w:val="en-US" w:eastAsia="zh-CN"/>
        </w:rPr>
        <w:t>智能眼镜、智能手表等AI穿戴设备将会形成新的交互入口</w:t>
      </w:r>
      <w:r>
        <w:rPr>
          <w:rFonts w:hint="eastAsia" w:ascii="仿宋" w:hAnsi="仿宋" w:eastAsia="仿宋" w:cs="仿宋"/>
          <w:b/>
          <w:bCs/>
          <w:sz w:val="28"/>
          <w:szCs w:val="28"/>
          <w:lang w:val="en-US" w:eastAsia="zh-CN"/>
        </w:rPr>
        <w:t>。OS及应用重构的本质是让终端成为智能服务的载体，</w:t>
      </w:r>
      <w:r>
        <w:rPr>
          <w:rFonts w:hint="eastAsia" w:ascii="仿宋" w:hAnsi="仿宋" w:eastAsia="仿宋" w:cs="仿宋"/>
          <w:sz w:val="28"/>
          <w:szCs w:val="28"/>
          <w:lang w:val="en-US" w:eastAsia="zh-CN"/>
        </w:rPr>
        <w:t>2025年及未来几年内，基于大模型的OS架构会更清晰，系统级AI助理能够调度第三方 APP和平台，成为需求分发入口，专业领域智能服务模式出现雏形。</w:t>
      </w:r>
    </w:p>
    <w:p>
      <w:pPr>
        <w:pStyle w:val="2"/>
        <w:keepNext w:val="0"/>
        <w:keepLines w:val="0"/>
        <w:pageBreakBefore w:val="0"/>
        <w:widowControl/>
        <w:numPr>
          <w:ilvl w:val="-1"/>
          <w:numId w:val="0"/>
        </w:numPr>
        <w:kinsoku/>
        <w:wordWrap/>
        <w:overflowPunct/>
        <w:topLinePunct w:val="0"/>
        <w:autoSpaceDE/>
        <w:autoSpaceDN/>
        <w:bidi w:val="0"/>
        <w:adjustRightInd/>
        <w:snapToGrid/>
        <w:spacing w:before="0" w:after="0" w:line="240" w:lineRule="auto"/>
        <w:ind w:left="0" w:firstLine="0"/>
        <w:textAlignment w:val="auto"/>
        <w:rPr>
          <w:rFonts w:hint="eastAsia" w:ascii="仿宋" w:hAnsi="仿宋" w:eastAsia="仿宋" w:cs="仿宋"/>
          <w:b/>
          <w:sz w:val="28"/>
          <w:szCs w:val="16"/>
          <w:lang w:val="en-US" w:eastAsia="zh-CN"/>
        </w:rPr>
      </w:pPr>
      <w:r>
        <w:rPr>
          <w:rFonts w:hint="eastAsia" w:ascii="仿宋" w:hAnsi="仿宋" w:eastAsia="仿宋" w:cs="仿宋"/>
          <w:b/>
          <w:sz w:val="28"/>
          <w:szCs w:val="16"/>
          <w:lang w:val="en-US" w:eastAsia="zh-CN"/>
        </w:rPr>
        <w:t>九、算电协同：以新能源为主的电力系统加速替代，跨电力和算力协同应用不断丰富</w:t>
      </w:r>
    </w:p>
    <w:p>
      <w:pPr>
        <w:adjustRightInd/>
        <w:snapToGrid/>
        <w:spacing w:line="240" w:lineRule="auto"/>
        <w:ind w:firstLine="560" w:firstLineChars="200"/>
        <w:rPr>
          <w:rFonts w:hint="eastAsia" w:ascii="仿宋" w:hAnsi="仿宋" w:eastAsia="仿宋" w:cs="仿宋"/>
          <w:b/>
          <w:sz w:val="28"/>
          <w:szCs w:val="22"/>
        </w:rPr>
      </w:pPr>
      <w:r>
        <w:rPr>
          <w:rStyle w:val="8"/>
          <w:rFonts w:hint="eastAsia" w:ascii="仿宋" w:hAnsi="仿宋" w:eastAsia="仿宋" w:cs="仿宋"/>
          <w:b w:val="0"/>
          <w:color w:val="404040"/>
          <w:sz w:val="28"/>
          <w:szCs w:val="28"/>
        </w:rPr>
        <w:t>2025年新增风电光伏装机容量2亿千瓦。新型储能将从“重配置”转向“重应用”，构网型和长时存储、智能调度技术广泛应用。电力算力协同发展成新态势，2025年双方将共同通过政策机制、技术架构、商业模式等创新，围绕规划、建设、市场和商业模式等方向持续深化协同应用</w:t>
      </w:r>
      <w:r>
        <w:rPr>
          <w:rFonts w:hint="eastAsia" w:ascii="仿宋" w:hAnsi="仿宋" w:eastAsia="仿宋"/>
          <w:sz w:val="32"/>
          <w:szCs w:val="24"/>
        </w:rPr>
        <w:t>。</w:t>
      </w:r>
      <w:r>
        <w:rPr>
          <w:rStyle w:val="8"/>
          <w:rFonts w:hint="eastAsia" w:ascii="仿宋" w:hAnsi="仿宋" w:eastAsia="仿宋" w:cs="仿宋"/>
          <w:color w:val="404040"/>
          <w:sz w:val="28"/>
          <w:szCs w:val="28"/>
          <w:lang w:val="en-US" w:eastAsia="zh-CN"/>
        </w:rPr>
        <w:t>未来几年，以</w:t>
      </w:r>
      <w:r>
        <w:rPr>
          <w:rStyle w:val="8"/>
          <w:rFonts w:hint="eastAsia" w:ascii="仿宋" w:hAnsi="仿宋" w:eastAsia="仿宋" w:cs="仿宋"/>
          <w:b w:val="0"/>
          <w:color w:val="404040"/>
          <w:sz w:val="28"/>
          <w:szCs w:val="28"/>
        </w:rPr>
        <w:t>新能源为主体的新型电力系统</w:t>
      </w:r>
      <w:r>
        <w:rPr>
          <w:rStyle w:val="8"/>
          <w:rFonts w:hint="eastAsia" w:ascii="仿宋" w:hAnsi="仿宋" w:eastAsia="仿宋" w:cs="仿宋"/>
          <w:color w:val="404040"/>
          <w:sz w:val="28"/>
          <w:szCs w:val="28"/>
          <w:lang w:val="en-US" w:eastAsia="zh-CN"/>
        </w:rPr>
        <w:t>将加快</w:t>
      </w:r>
      <w:r>
        <w:rPr>
          <w:rStyle w:val="8"/>
          <w:rFonts w:hint="eastAsia" w:ascii="仿宋" w:hAnsi="仿宋" w:eastAsia="仿宋" w:cs="仿宋"/>
          <w:b w:val="0"/>
          <w:color w:val="404040"/>
          <w:sz w:val="28"/>
          <w:szCs w:val="28"/>
        </w:rPr>
        <w:t>构建，生产侧</w:t>
      </w:r>
      <w:r>
        <w:rPr>
          <w:rStyle w:val="8"/>
          <w:rFonts w:hint="eastAsia" w:ascii="仿宋" w:hAnsi="仿宋" w:eastAsia="仿宋" w:cs="仿宋"/>
          <w:b w:val="0"/>
          <w:color w:val="404040"/>
          <w:sz w:val="28"/>
          <w:szCs w:val="28"/>
          <w:lang w:val="en-US" w:eastAsia="zh-CN"/>
        </w:rPr>
        <w:t>和</w:t>
      </w:r>
      <w:r>
        <w:rPr>
          <w:rStyle w:val="8"/>
          <w:rFonts w:hint="eastAsia" w:ascii="仿宋" w:hAnsi="仿宋" w:eastAsia="仿宋" w:cs="仿宋"/>
          <w:b w:val="0"/>
          <w:color w:val="404040"/>
          <w:sz w:val="28"/>
          <w:szCs w:val="28"/>
        </w:rPr>
        <w:t>消费侧</w:t>
      </w:r>
      <w:r>
        <w:rPr>
          <w:rStyle w:val="8"/>
          <w:rFonts w:hint="eastAsia" w:ascii="仿宋" w:hAnsi="仿宋" w:eastAsia="仿宋" w:cs="仿宋"/>
          <w:b w:val="0"/>
          <w:color w:val="404040"/>
          <w:sz w:val="28"/>
          <w:szCs w:val="28"/>
          <w:lang w:val="en-US" w:eastAsia="zh-CN"/>
        </w:rPr>
        <w:t>清洁能源</w:t>
      </w:r>
      <w:r>
        <w:rPr>
          <w:rStyle w:val="8"/>
          <w:rFonts w:hint="eastAsia" w:ascii="仿宋" w:hAnsi="仿宋" w:eastAsia="仿宋" w:cs="仿宋"/>
          <w:b w:val="0"/>
          <w:color w:val="404040"/>
          <w:sz w:val="28"/>
          <w:szCs w:val="28"/>
        </w:rPr>
        <w:t>的替代</w:t>
      </w:r>
      <w:r>
        <w:rPr>
          <w:rStyle w:val="8"/>
          <w:rFonts w:hint="eastAsia" w:ascii="仿宋" w:hAnsi="仿宋" w:eastAsia="仿宋" w:cs="仿宋"/>
          <w:b w:val="0"/>
          <w:color w:val="404040"/>
          <w:sz w:val="28"/>
          <w:szCs w:val="28"/>
          <w:lang w:val="en-US" w:eastAsia="zh-CN"/>
        </w:rPr>
        <w:t>将进一步</w:t>
      </w:r>
      <w:r>
        <w:rPr>
          <w:rStyle w:val="8"/>
          <w:rFonts w:hint="eastAsia" w:ascii="仿宋" w:hAnsi="仿宋" w:eastAsia="仿宋" w:cs="仿宋"/>
          <w:b w:val="0"/>
          <w:color w:val="404040"/>
          <w:sz w:val="28"/>
          <w:szCs w:val="28"/>
        </w:rPr>
        <w:t>加速</w:t>
      </w:r>
      <w:r>
        <w:rPr>
          <w:rStyle w:val="8"/>
          <w:rFonts w:hint="eastAsia" w:ascii="仿宋" w:hAnsi="仿宋" w:eastAsia="仿宋" w:cs="仿宋"/>
          <w:b w:val="0"/>
          <w:color w:val="404040"/>
          <w:sz w:val="28"/>
          <w:szCs w:val="28"/>
          <w:lang w:eastAsia="zh-CN"/>
        </w:rPr>
        <w:t>。</w:t>
      </w:r>
    </w:p>
    <w:p>
      <w:pPr>
        <w:ind w:firstLine="0" w:firstLineChars="0"/>
        <w:rPr>
          <w:rFonts w:hint="eastAsia" w:ascii="仿宋" w:hAnsi="仿宋" w:eastAsia="仿宋" w:cs="仿宋"/>
          <w:sz w:val="28"/>
          <w:szCs w:val="28"/>
          <w:lang w:val="en-US" w:eastAsia="zh-CN"/>
        </w:rPr>
      </w:pPr>
    </w:p>
    <w:p>
      <w:pPr>
        <w:pStyle w:val="2"/>
        <w:keepNext/>
        <w:keepLines/>
        <w:pageBreakBefore w:val="0"/>
        <w:widowControl w:val="0"/>
        <w:numPr>
          <w:ilvl w:val="-1"/>
          <w:numId w:val="0"/>
        </w:numPr>
        <w:kinsoku/>
        <w:wordWrap/>
        <w:overflowPunct/>
        <w:topLinePunct w:val="0"/>
        <w:autoSpaceDE/>
        <w:autoSpaceDN/>
        <w:bidi w:val="0"/>
        <w:adjustRightInd/>
        <w:snapToGrid/>
        <w:spacing w:before="220" w:after="90" w:line="360" w:lineRule="auto"/>
        <w:ind w:left="0" w:firstLine="0"/>
        <w:textAlignment w:val="auto"/>
        <w:rPr>
          <w:rFonts w:hint="eastAsia" w:ascii="仿宋" w:hAnsi="仿宋" w:eastAsia="仿宋" w:cs="仿宋"/>
          <w:b/>
          <w:sz w:val="28"/>
          <w:szCs w:val="16"/>
          <w:lang w:val="en-US" w:eastAsia="zh-CN"/>
        </w:rPr>
      </w:pPr>
      <w:r>
        <w:rPr>
          <w:rFonts w:hint="eastAsia" w:ascii="仿宋" w:hAnsi="仿宋" w:eastAsia="仿宋" w:cs="仿宋"/>
          <w:b/>
          <w:sz w:val="28"/>
          <w:szCs w:val="16"/>
          <w:lang w:val="en-US" w:eastAsia="zh-CN"/>
        </w:rPr>
        <w:t>十、未来产业：量子信息产业处于加速发展期，基础设施稳步推进，核心技术不断突破，应用场景加速落地</w:t>
      </w:r>
    </w:p>
    <w:p>
      <w:pPr>
        <w:adjustRightInd/>
        <w:snapToGrid/>
        <w:spacing w:line="360" w:lineRule="auto"/>
        <w:ind w:firstLine="560" w:firstLineChars="200"/>
        <w:rPr>
          <w:rFonts w:hint="eastAsia" w:ascii="仿宋" w:hAnsi="仿宋" w:eastAsia="仿宋" w:cs="仿宋"/>
          <w:b/>
          <w:sz w:val="28"/>
          <w:szCs w:val="22"/>
          <w:lang w:val="en-US" w:eastAsia="zh-CN"/>
        </w:rPr>
      </w:pPr>
      <w:r>
        <w:rPr>
          <w:rFonts w:hint="eastAsia" w:ascii="仿宋" w:hAnsi="仿宋" w:eastAsia="仿宋" w:cs="仿宋"/>
          <w:bCs/>
          <w:sz w:val="28"/>
          <w:szCs w:val="24"/>
        </w:rPr>
        <w:t>全球</w:t>
      </w:r>
      <w:r>
        <w:rPr>
          <w:rFonts w:hint="eastAsia" w:ascii="仿宋" w:hAnsi="仿宋" w:eastAsia="仿宋" w:cs="仿宋"/>
          <w:bCs/>
          <w:sz w:val="28"/>
          <w:szCs w:val="24"/>
          <w:lang w:val="en-US" w:eastAsia="zh-CN"/>
        </w:rPr>
        <w:t>量子</w:t>
      </w:r>
      <w:r>
        <w:rPr>
          <w:rFonts w:hint="eastAsia" w:ascii="仿宋" w:hAnsi="仿宋" w:eastAsia="仿宋" w:cs="仿宋"/>
          <w:bCs/>
          <w:sz w:val="28"/>
          <w:szCs w:val="24"/>
        </w:rPr>
        <w:t>产业规模有望从2023年的72.4亿美元增长到2030年的2377.8亿美元，年复合增长率（CAGR）将达到64.68%，上中下游均呈现积极的发展态势。量子计算方面，核心技术不断突破，并在医疗、材料科学、网络安全等领域推进应用场景探索。量子通信方面，基础设施建设稳步推进，在物联网、数字政务领域的探索不断取得突破。</w:t>
      </w:r>
    </w:p>
    <w:p>
      <w:pPr>
        <w:pStyle w:val="2"/>
        <w:keepNext/>
        <w:keepLines/>
        <w:pageBreakBefore w:val="0"/>
        <w:widowControl w:val="0"/>
        <w:numPr>
          <w:ilvl w:val="-1"/>
          <w:numId w:val="0"/>
        </w:numPr>
        <w:kinsoku/>
        <w:wordWrap/>
        <w:overflowPunct/>
        <w:topLinePunct w:val="0"/>
        <w:autoSpaceDE/>
        <w:autoSpaceDN/>
        <w:bidi w:val="0"/>
        <w:adjustRightInd/>
        <w:snapToGrid/>
        <w:spacing w:before="220" w:after="90" w:line="360" w:lineRule="auto"/>
        <w:ind w:left="0" w:firstLine="0"/>
        <w:textAlignment w:val="auto"/>
        <w:rPr>
          <w:rFonts w:hint="eastAsia" w:ascii="仿宋" w:hAnsi="仿宋" w:eastAsia="仿宋" w:cs="仿宋"/>
          <w:b/>
          <w:sz w:val="28"/>
          <w:szCs w:val="16"/>
          <w:lang w:val="en-US" w:eastAsia="zh-CN"/>
        </w:rPr>
      </w:pPr>
      <w:r>
        <w:rPr>
          <w:rFonts w:hint="eastAsia" w:ascii="仿宋" w:hAnsi="仿宋" w:eastAsia="仿宋" w:cs="仿宋"/>
          <w:b/>
          <w:sz w:val="28"/>
          <w:szCs w:val="16"/>
          <w:lang w:val="en-US" w:eastAsia="zh-CN"/>
        </w:rPr>
        <w:t>十一、天地一体：基础设施加快建设、产业配套逐步成熟，迎接应用落地</w:t>
      </w:r>
    </w:p>
    <w:p>
      <w:pPr>
        <w:spacing w:line="360" w:lineRule="auto"/>
        <w:ind w:firstLine="560" w:firstLineChars="200"/>
        <w:rPr>
          <w:rFonts w:hint="eastAsia" w:ascii="仿宋" w:hAnsi="仿宋" w:eastAsia="仿宋" w:cs="仿宋"/>
          <w:kern w:val="2"/>
          <w:sz w:val="32"/>
          <w:szCs w:val="40"/>
          <w:lang w:val="en-US" w:eastAsia="zh-CN" w:bidi="ar-SA"/>
        </w:rPr>
      </w:pPr>
      <w:r>
        <w:rPr>
          <w:rFonts w:hint="eastAsia" w:ascii="仿宋" w:hAnsi="仿宋" w:eastAsia="仿宋" w:cs="仿宋"/>
          <w:bCs/>
          <w:sz w:val="28"/>
          <w:szCs w:val="24"/>
        </w:rPr>
        <w:t>人类活动不断由陆地</w:t>
      </w:r>
      <w:r>
        <w:rPr>
          <w:rFonts w:hint="eastAsia" w:ascii="仿宋" w:hAnsi="仿宋" w:eastAsia="仿宋" w:cs="仿宋"/>
          <w:bCs/>
          <w:sz w:val="28"/>
          <w:szCs w:val="24"/>
          <w:lang w:val="en-US" w:eastAsia="zh-CN"/>
        </w:rPr>
        <w:t>向</w:t>
      </w:r>
      <w:r>
        <w:rPr>
          <w:rFonts w:hint="eastAsia" w:ascii="仿宋" w:hAnsi="仿宋" w:eastAsia="仿宋" w:cs="仿宋"/>
          <w:bCs/>
          <w:sz w:val="28"/>
          <w:szCs w:val="24"/>
        </w:rPr>
        <w:t>海洋</w:t>
      </w:r>
      <w:r>
        <w:rPr>
          <w:rFonts w:hint="eastAsia" w:ascii="仿宋" w:hAnsi="仿宋" w:eastAsia="仿宋" w:cs="仿宋"/>
          <w:bCs/>
          <w:sz w:val="28"/>
          <w:szCs w:val="24"/>
          <w:lang w:val="en-US" w:eastAsia="zh-CN"/>
        </w:rPr>
        <w:t>和</w:t>
      </w:r>
      <w:r>
        <w:rPr>
          <w:rFonts w:hint="eastAsia" w:ascii="仿宋" w:hAnsi="仿宋" w:eastAsia="仿宋" w:cs="仿宋"/>
          <w:bCs/>
          <w:sz w:val="28"/>
          <w:szCs w:val="24"/>
        </w:rPr>
        <w:t>空间延伸，空天信息产业备受关注。我国面向5G-A、卫星互联网、低空经济等领域持续出台利好政策，空天基础设施建设逐渐由试点走向规模建设，催生新产业、新模式、新动能。2025年天地一体应用方向将进一步聚焦，手机</w:t>
      </w:r>
      <w:r>
        <w:rPr>
          <w:rFonts w:hint="eastAsia" w:ascii="仿宋" w:hAnsi="仿宋" w:eastAsia="仿宋" w:cs="仿宋"/>
          <w:bCs/>
          <w:sz w:val="28"/>
          <w:szCs w:val="24"/>
          <w:lang w:val="en-US" w:eastAsia="zh-CN"/>
        </w:rPr>
        <w:t>/汽车</w:t>
      </w:r>
      <w:r>
        <w:rPr>
          <w:rFonts w:hint="eastAsia" w:ascii="仿宋" w:hAnsi="仿宋" w:eastAsia="仿宋" w:cs="仿宋"/>
          <w:bCs/>
          <w:sz w:val="28"/>
          <w:szCs w:val="24"/>
        </w:rPr>
        <w:t>直连卫星以及城市空中交通将成为重点应用场景</w:t>
      </w:r>
      <w:r>
        <w:rPr>
          <w:rFonts w:hint="eastAsia" w:ascii="仿宋" w:hAnsi="仿宋" w:eastAsia="仿宋" w:cs="仿宋"/>
          <w:kern w:val="2"/>
          <w:sz w:val="32"/>
          <w:szCs w:val="40"/>
          <w:lang w:val="en-US" w:eastAsia="zh-CN" w:bidi="ar-SA"/>
        </w:rPr>
        <w:t>。</w:t>
      </w:r>
    </w:p>
    <w:p>
      <w:pPr>
        <w:ind w:firstLine="0" w:firstLineChars="0"/>
        <w:rPr>
          <w:rFonts w:hint="eastAsia" w:ascii="仿宋" w:hAnsi="仿宋" w:eastAsia="仿宋" w:cs="仿宋"/>
          <w:sz w:val="28"/>
          <w:szCs w:val="28"/>
          <w:lang w:val="en-US" w:eastAsia="zh-CN"/>
        </w:rPr>
      </w:pPr>
    </w:p>
    <w:p>
      <w:pPr>
        <w:pStyle w:val="2"/>
        <w:keepNext/>
        <w:keepLines/>
        <w:pageBreakBefore w:val="0"/>
        <w:widowControl w:val="0"/>
        <w:numPr>
          <w:ilvl w:val="-1"/>
          <w:numId w:val="0"/>
        </w:numPr>
        <w:kinsoku/>
        <w:wordWrap/>
        <w:overflowPunct/>
        <w:topLinePunct w:val="0"/>
        <w:autoSpaceDE/>
        <w:autoSpaceDN/>
        <w:bidi w:val="0"/>
        <w:adjustRightInd/>
        <w:snapToGrid/>
        <w:spacing w:before="220" w:after="90" w:line="360" w:lineRule="auto"/>
        <w:ind w:left="0" w:firstLine="0"/>
        <w:textAlignment w:val="auto"/>
        <w:rPr>
          <w:rFonts w:hint="eastAsia" w:ascii="仿宋" w:hAnsi="仿宋" w:eastAsia="仿宋" w:cs="仿宋"/>
          <w:b/>
          <w:sz w:val="28"/>
          <w:szCs w:val="16"/>
          <w:lang w:val="en-US" w:eastAsia="zh-CN"/>
        </w:rPr>
      </w:pPr>
      <w:r>
        <w:rPr>
          <w:rFonts w:hint="eastAsia" w:ascii="仿宋" w:hAnsi="仿宋" w:eastAsia="仿宋" w:cs="仿宋"/>
          <w:b/>
          <w:sz w:val="28"/>
          <w:szCs w:val="16"/>
          <w:lang w:val="en-US" w:eastAsia="zh-CN"/>
        </w:rPr>
        <w:t>十二、产业基石：存储和AI芯片需求快速增长，2nm将进入量产阶段</w:t>
      </w:r>
    </w:p>
    <w:p>
      <w:pPr>
        <w:ind w:firstLine="560" w:firstLineChars="200"/>
        <w:rPr>
          <w:rFonts w:hint="eastAsia" w:ascii="仿宋" w:hAnsi="仿宋" w:eastAsia="仿宋" w:cs="仿宋"/>
          <w:sz w:val="28"/>
          <w:szCs w:val="28"/>
        </w:rPr>
      </w:pPr>
      <w:r>
        <w:rPr>
          <w:rFonts w:hint="eastAsia" w:ascii="仿宋" w:hAnsi="仿宋" w:eastAsia="仿宋" w:cs="仿宋"/>
          <w:sz w:val="28"/>
          <w:szCs w:val="28"/>
        </w:rPr>
        <w:t>随着人工智能、高性能计算等需求爆发式增长，2024年-2025年半导体市场触底反弹</w:t>
      </w:r>
      <w:r>
        <w:rPr>
          <w:rFonts w:hint="eastAsia" w:ascii="仿宋" w:hAnsi="仿宋" w:eastAsia="仿宋" w:cs="仿宋"/>
          <w:sz w:val="28"/>
          <w:szCs w:val="28"/>
          <w:lang w:eastAsia="zh-CN"/>
        </w:rPr>
        <w:t>，</w:t>
      </w:r>
      <w:r>
        <w:rPr>
          <w:rFonts w:hint="eastAsia" w:ascii="仿宋" w:hAnsi="仿宋" w:eastAsia="仿宋" w:cs="仿宋"/>
          <w:b/>
          <w:bCs/>
          <w:sz w:val="28"/>
          <w:szCs w:val="28"/>
        </w:rPr>
        <w:t>存储和AI芯片需求快速增长</w:t>
      </w:r>
      <w:r>
        <w:rPr>
          <w:rFonts w:hint="eastAsia" w:ascii="仿宋" w:hAnsi="仿宋" w:eastAsia="仿宋" w:cs="仿宋"/>
          <w:b/>
          <w:bCs/>
          <w:sz w:val="28"/>
          <w:szCs w:val="28"/>
          <w:lang w:eastAsia="zh-CN"/>
        </w:rPr>
        <w:t>。</w:t>
      </w:r>
      <w:r>
        <w:rPr>
          <w:rFonts w:hint="eastAsia" w:ascii="仿宋" w:hAnsi="仿宋" w:eastAsia="仿宋" w:cs="仿宋"/>
          <w:b/>
          <w:bCs/>
          <w:sz w:val="28"/>
          <w:szCs w:val="28"/>
          <w:lang w:val="en-US" w:eastAsia="zh-CN"/>
        </w:rPr>
        <w:t>其中，</w:t>
      </w:r>
      <w:r>
        <w:rPr>
          <w:rFonts w:hint="eastAsia" w:ascii="仿宋" w:hAnsi="仿宋" w:eastAsia="仿宋" w:cs="仿宋"/>
          <w:sz w:val="28"/>
          <w:szCs w:val="28"/>
        </w:rPr>
        <w:t>以AI芯片为主的逻辑芯片预计增速21%</w:t>
      </w:r>
      <w:r>
        <w:rPr>
          <w:rFonts w:hint="eastAsia" w:ascii="仿宋" w:hAnsi="仿宋" w:eastAsia="仿宋" w:cs="仿宋"/>
          <w:sz w:val="28"/>
          <w:szCs w:val="28"/>
          <w:lang w:eastAsia="zh-CN"/>
        </w:rPr>
        <w:t>，</w:t>
      </w:r>
      <w:r>
        <w:rPr>
          <w:rFonts w:hint="eastAsia" w:ascii="仿宋" w:hAnsi="仿宋" w:eastAsia="仿宋" w:cs="仿宋"/>
          <w:sz w:val="28"/>
          <w:szCs w:val="28"/>
        </w:rPr>
        <w:t>HBM3、HBM3e带动存储市场预计增</w:t>
      </w:r>
      <w:r>
        <w:rPr>
          <w:rFonts w:hint="eastAsia" w:ascii="仿宋" w:hAnsi="仿宋" w:eastAsia="仿宋" w:cs="仿宋"/>
          <w:sz w:val="28"/>
          <w:szCs w:val="28"/>
          <w:lang w:val="en-US" w:eastAsia="zh-CN"/>
        </w:rPr>
        <w:t>长</w:t>
      </w:r>
      <w:r>
        <w:rPr>
          <w:rFonts w:hint="eastAsia" w:ascii="仿宋" w:hAnsi="仿宋" w:eastAsia="仿宋" w:cs="仿宋"/>
          <w:sz w:val="28"/>
          <w:szCs w:val="28"/>
        </w:rPr>
        <w:t>61%</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并驱动</w:t>
      </w:r>
      <w:r>
        <w:rPr>
          <w:rFonts w:hint="eastAsia" w:ascii="仿宋" w:hAnsi="仿宋" w:eastAsia="仿宋" w:cs="仿宋"/>
          <w:sz w:val="28"/>
          <w:szCs w:val="28"/>
        </w:rPr>
        <w:t>以3D 封装技术、Fan-Out 技术和Chiplet技术等</w:t>
      </w:r>
      <w:r>
        <w:rPr>
          <w:rFonts w:hint="eastAsia" w:ascii="仿宋" w:hAnsi="仿宋" w:eastAsia="仿宋" w:cs="仿宋"/>
          <w:sz w:val="28"/>
          <w:szCs w:val="28"/>
          <w:lang w:val="en-US" w:eastAsia="zh-CN"/>
        </w:rPr>
        <w:t>为代表的</w:t>
      </w:r>
      <w:r>
        <w:rPr>
          <w:rFonts w:hint="eastAsia" w:ascii="仿宋" w:hAnsi="仿宋" w:eastAsia="仿宋" w:cs="仿宋"/>
          <w:sz w:val="28"/>
          <w:szCs w:val="28"/>
        </w:rPr>
        <w:t>先进封装产能持续倍增，台积电目标增</w:t>
      </w:r>
      <w:r>
        <w:rPr>
          <w:rFonts w:hint="eastAsia" w:ascii="仿宋" w:hAnsi="仿宋" w:eastAsia="仿宋" w:cs="仿宋"/>
          <w:sz w:val="28"/>
          <w:szCs w:val="28"/>
          <w:lang w:val="en-US" w:eastAsia="zh-CN"/>
        </w:rPr>
        <w:t>长</w:t>
      </w:r>
      <w:r>
        <w:rPr>
          <w:rFonts w:hint="eastAsia" w:ascii="仿宋" w:hAnsi="仿宋" w:eastAsia="仿宋" w:cs="仿宋"/>
          <w:sz w:val="28"/>
          <w:szCs w:val="28"/>
        </w:rPr>
        <w:t>100%。</w:t>
      </w:r>
      <w:r>
        <w:rPr>
          <w:rFonts w:hint="eastAsia" w:ascii="仿宋" w:hAnsi="仿宋" w:eastAsia="仿宋" w:cs="仿宋"/>
          <w:sz w:val="28"/>
          <w:szCs w:val="28"/>
          <w:lang w:val="en-US" w:eastAsia="zh-CN"/>
        </w:rPr>
        <w:t>同时，</w:t>
      </w:r>
      <w:r>
        <w:rPr>
          <w:rFonts w:hint="eastAsia" w:ascii="仿宋" w:hAnsi="仿宋" w:eastAsia="仿宋" w:cs="仿宋"/>
          <w:b/>
          <w:bCs/>
          <w:sz w:val="28"/>
          <w:szCs w:val="28"/>
        </w:rPr>
        <w:t>2025将为2nm晶圆制造关键年</w:t>
      </w:r>
      <w:r>
        <w:rPr>
          <w:rFonts w:hint="eastAsia" w:ascii="仿宋" w:hAnsi="仿宋" w:eastAsia="仿宋" w:cs="仿宋"/>
          <w:b/>
          <w:bCs/>
          <w:sz w:val="28"/>
          <w:szCs w:val="28"/>
          <w:lang w:val="en-US" w:eastAsia="zh-CN"/>
        </w:rPr>
        <w:t>,</w:t>
      </w:r>
      <w:r>
        <w:rPr>
          <w:rFonts w:hint="eastAsia" w:ascii="仿宋" w:hAnsi="仿宋" w:eastAsia="仿宋" w:cs="仿宋"/>
          <w:sz w:val="28"/>
          <w:szCs w:val="28"/>
        </w:rPr>
        <w:t>台积电、三星、英特尔等将进入2nm量产阶段，良率爬升速度与扩产节奏将成市场关注焦点</w:t>
      </w:r>
      <w:r>
        <w:rPr>
          <w:rFonts w:hint="eastAsia" w:ascii="仿宋" w:hAnsi="仿宋" w:eastAsia="仿宋" w:cs="仿宋"/>
          <w:sz w:val="28"/>
          <w:szCs w:val="28"/>
          <w:lang w:val="en-US" w:eastAsia="zh-CN"/>
        </w:rPr>
        <w:t>，</w:t>
      </w:r>
      <w:r>
        <w:rPr>
          <w:rFonts w:hint="eastAsia" w:ascii="仿宋" w:hAnsi="仿宋" w:eastAsia="仿宋" w:cs="仿宋"/>
          <w:sz w:val="28"/>
          <w:szCs w:val="28"/>
        </w:rPr>
        <w:t>预计台积电将持续称霸，市占率2025年有望扩大至66%。</w:t>
      </w:r>
    </w:p>
    <w:p>
      <w:pPr>
        <w:numPr>
          <w:ilvl w:val="0"/>
          <w:numId w:val="0"/>
        </w:numPr>
        <w:adjustRightInd w:val="0"/>
        <w:snapToGrid w:val="0"/>
        <w:spacing w:line="360" w:lineRule="auto"/>
        <w:rPr>
          <w:rFonts w:hint="eastAsia" w:ascii="仿宋" w:hAnsi="仿宋" w:eastAsia="仿宋" w:cs="仿宋"/>
          <w:b/>
          <w:sz w:val="28"/>
          <w:szCs w:val="22"/>
          <w:lang w:val="en-US" w:eastAsia="zh-CN"/>
        </w:rPr>
      </w:pPr>
    </w:p>
    <w:p>
      <w:pPr>
        <w:pStyle w:val="2"/>
        <w:keepNext/>
        <w:keepLines/>
        <w:pageBreakBefore w:val="0"/>
        <w:widowControl w:val="0"/>
        <w:numPr>
          <w:ilvl w:val="-1"/>
          <w:numId w:val="0"/>
        </w:numPr>
        <w:kinsoku/>
        <w:wordWrap/>
        <w:overflowPunct/>
        <w:topLinePunct w:val="0"/>
        <w:autoSpaceDE/>
        <w:autoSpaceDN/>
        <w:bidi w:val="0"/>
        <w:adjustRightInd/>
        <w:snapToGrid/>
        <w:spacing w:before="220" w:after="90" w:line="360" w:lineRule="auto"/>
        <w:ind w:left="0" w:firstLine="0"/>
        <w:textAlignment w:val="auto"/>
        <w:rPr>
          <w:rFonts w:hint="default" w:ascii="仿宋" w:hAnsi="仿宋" w:eastAsia="仿宋" w:cs="仿宋"/>
          <w:b/>
          <w:sz w:val="28"/>
          <w:szCs w:val="16"/>
          <w:lang w:val="en-US" w:eastAsia="zh-CN"/>
        </w:rPr>
      </w:pPr>
      <w:r>
        <w:rPr>
          <w:rFonts w:hint="eastAsia" w:ascii="仿宋" w:hAnsi="仿宋" w:eastAsia="仿宋" w:cs="仿宋"/>
          <w:b/>
          <w:sz w:val="28"/>
          <w:szCs w:val="16"/>
          <w:lang w:val="en-US" w:eastAsia="zh-CN"/>
        </w:rPr>
        <w:t>十三、产业集群：创新协同加速，区域经济进入规模发展阶段</w:t>
      </w:r>
    </w:p>
    <w:p>
      <w:pPr>
        <w:ind w:firstLine="560" w:firstLineChars="200"/>
        <w:rPr>
          <w:rFonts w:hint="eastAsia" w:ascii="仿宋" w:hAnsi="仿宋" w:eastAsia="仿宋" w:cs="仿宋"/>
          <w:b/>
          <w:sz w:val="28"/>
        </w:rPr>
      </w:pPr>
      <w:r>
        <w:rPr>
          <w:rFonts w:hint="eastAsia" w:ascii="仿宋" w:hAnsi="仿宋" w:eastAsia="仿宋" w:cs="仿宋"/>
          <w:sz w:val="28"/>
          <w:szCs w:val="28"/>
          <w:lang w:val="en-US" w:eastAsia="zh-CN"/>
        </w:rPr>
        <w:t>在2024年中央经济工作会议“加大区域战略实施力度，增强区域发展活力”政策指引下，预计各地将陆续出台以提升区域经济规模和市场活跃度为目标的地方性政策，并在资本市场先行发力实施。同时产业集群效应将同步增强，成为推动区域经济发展的关键力量。</w:t>
      </w:r>
      <w:r>
        <w:rPr>
          <w:rFonts w:hint="default" w:ascii="仿宋" w:hAnsi="仿宋" w:eastAsia="仿宋" w:cs="仿宋"/>
          <w:sz w:val="28"/>
          <w:szCs w:val="28"/>
          <w:lang w:val="en-US" w:eastAsia="zh-CN"/>
        </w:rPr>
        <w:t>东部创新引领、中西部加速崛起、东北转型振兴的多元格局</w:t>
      </w:r>
      <w:r>
        <w:rPr>
          <w:rFonts w:hint="eastAsia" w:ascii="仿宋" w:hAnsi="仿宋" w:eastAsia="仿宋" w:cs="仿宋"/>
          <w:sz w:val="28"/>
          <w:szCs w:val="28"/>
          <w:lang w:val="en-US" w:eastAsia="zh-CN"/>
        </w:rPr>
        <w:t>进一步显现，加速推进</w:t>
      </w:r>
      <w:r>
        <w:rPr>
          <w:rFonts w:hint="default" w:ascii="仿宋" w:hAnsi="仿宋" w:eastAsia="仿宋" w:cs="仿宋"/>
          <w:sz w:val="28"/>
          <w:szCs w:val="28"/>
          <w:lang w:val="en-US" w:eastAsia="zh-CN"/>
        </w:rPr>
        <w:t>更均衡、可持续的产业发展格局</w:t>
      </w:r>
      <w:r>
        <w:rPr>
          <w:rFonts w:hint="eastAsia" w:ascii="仿宋" w:hAnsi="仿宋" w:eastAsia="仿宋" w:cs="仿宋"/>
          <w:sz w:val="28"/>
          <w:szCs w:val="28"/>
          <w:lang w:val="en-US" w:eastAsia="zh-CN"/>
        </w:rPr>
        <w:t>。</w:t>
      </w:r>
    </w:p>
    <w:p>
      <w:pPr>
        <w:adjustRightInd w:val="0"/>
        <w:snapToGrid w:val="0"/>
        <w:spacing w:line="360" w:lineRule="auto"/>
        <w:ind w:firstLine="480" w:firstLineChars="200"/>
        <w:rPr>
          <w:rFonts w:hint="eastAsia" w:ascii="仿宋" w:hAnsi="仿宋" w:eastAsia="仿宋" w:cs="仿宋"/>
          <w:sz w:val="24"/>
          <w:szCs w:val="21"/>
        </w:rPr>
      </w:pPr>
    </w:p>
    <w:p>
      <w:pPr>
        <w:adjustRightInd w:val="0"/>
        <w:snapToGrid w:val="0"/>
        <w:spacing w:line="360" w:lineRule="auto"/>
        <w:rPr>
          <w:rFonts w:hint="eastAsia" w:ascii="仿宋" w:hAnsi="仿宋" w:eastAsia="仿宋" w:cs="仿宋"/>
          <w:sz w:val="28"/>
          <w:szCs w:val="21"/>
        </w:rPr>
      </w:pPr>
    </w:p>
    <w:p>
      <w:pPr>
        <w:adjustRightInd w:val="0"/>
        <w:snapToGrid w:val="0"/>
        <w:spacing w:line="360" w:lineRule="auto"/>
        <w:rPr>
          <w:rFonts w:hint="eastAsia" w:ascii="仿宋" w:hAnsi="仿宋" w:eastAsia="仿宋" w:cs="仿宋"/>
          <w:sz w:val="28"/>
          <w:szCs w:val="21"/>
        </w:rPr>
      </w:pPr>
    </w:p>
    <w:p>
      <w:pPr>
        <w:adjustRightInd w:val="0"/>
        <w:snapToGrid w:val="0"/>
        <w:spacing w:line="360" w:lineRule="auto"/>
        <w:rPr>
          <w:rFonts w:hint="eastAsia" w:ascii="仿宋" w:hAnsi="仿宋" w:eastAsia="仿宋" w:cs="仿宋"/>
          <w:sz w:val="28"/>
          <w:szCs w:val="21"/>
        </w:rPr>
      </w:pPr>
    </w:p>
    <w:p>
      <w:pPr>
        <w:adjustRightInd w:val="0"/>
        <w:snapToGrid w:val="0"/>
        <w:spacing w:line="360" w:lineRule="auto"/>
        <w:rPr>
          <w:rFonts w:hint="eastAsia" w:ascii="仿宋" w:hAnsi="仿宋" w:eastAsia="仿宋" w:cs="仿宋"/>
          <w:sz w:val="28"/>
          <w:szCs w:val="21"/>
        </w:rPr>
      </w:pPr>
    </w:p>
    <w:p>
      <w:pPr>
        <w:adjustRightInd w:val="0"/>
        <w:snapToGrid w:val="0"/>
        <w:spacing w:line="360" w:lineRule="auto"/>
        <w:rPr>
          <w:rFonts w:hint="eastAsia" w:ascii="仿宋" w:hAnsi="仿宋" w:eastAsia="仿宋" w:cs="仿宋"/>
          <w:sz w:val="28"/>
          <w:szCs w:val="21"/>
        </w:rPr>
      </w:pPr>
    </w:p>
    <w:p>
      <w:pPr>
        <w:adjustRightInd w:val="0"/>
        <w:snapToGrid w:val="0"/>
        <w:spacing w:line="360" w:lineRule="auto"/>
        <w:ind w:firstLine="560" w:firstLineChars="200"/>
        <w:rPr>
          <w:rFonts w:hint="eastAsia" w:ascii="仿宋" w:hAnsi="仿宋" w:eastAsia="仿宋" w:cs="仿宋"/>
          <w:sz w:val="28"/>
          <w:szCs w:val="21"/>
        </w:rPr>
      </w:pPr>
    </w:p>
    <w:p>
      <w:pPr>
        <w:adjustRightInd w:val="0"/>
        <w:snapToGrid w:val="0"/>
        <w:spacing w:line="360" w:lineRule="auto"/>
        <w:ind w:firstLine="560" w:firstLineChars="200"/>
        <w:rPr>
          <w:rFonts w:hint="eastAsia" w:ascii="仿宋" w:hAnsi="仿宋" w:eastAsia="仿宋" w:cs="仿宋"/>
          <w:sz w:val="28"/>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4"/>
      </w:pPr>
      <w:r>
        <w:rPr>
          <w:rStyle w:val="10"/>
          <w:rFonts w:hint="eastAsia"/>
        </w:rPr>
        <w:footnoteRef/>
      </w:r>
      <w:r>
        <w:rPr>
          <w:rFonts w:hint="eastAsia"/>
        </w:rPr>
        <w:t xml:space="preserve"> 前瞻产业研究院预测数据</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EDA20F"/>
    <w:multiLevelType w:val="singleLevel"/>
    <w:tmpl w:val="36EDA20F"/>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F22"/>
    <w:rsid w:val="000558A1"/>
    <w:rsid w:val="000C2722"/>
    <w:rsid w:val="00114BE0"/>
    <w:rsid w:val="00282198"/>
    <w:rsid w:val="00432A49"/>
    <w:rsid w:val="004A1FEE"/>
    <w:rsid w:val="004C1170"/>
    <w:rsid w:val="004C3FF9"/>
    <w:rsid w:val="004D3D29"/>
    <w:rsid w:val="00596166"/>
    <w:rsid w:val="005C6D5D"/>
    <w:rsid w:val="00613318"/>
    <w:rsid w:val="00623B77"/>
    <w:rsid w:val="00AB0184"/>
    <w:rsid w:val="00B125EE"/>
    <w:rsid w:val="00BA1A69"/>
    <w:rsid w:val="00CC0F22"/>
    <w:rsid w:val="00D427AD"/>
    <w:rsid w:val="00E700CC"/>
    <w:rsid w:val="00F43BAB"/>
    <w:rsid w:val="00FA34EB"/>
    <w:rsid w:val="02696B2D"/>
    <w:rsid w:val="03D942D2"/>
    <w:rsid w:val="0446241E"/>
    <w:rsid w:val="04D33479"/>
    <w:rsid w:val="074503B4"/>
    <w:rsid w:val="083905C9"/>
    <w:rsid w:val="0C7A72A4"/>
    <w:rsid w:val="0D091A3B"/>
    <w:rsid w:val="0E846D0F"/>
    <w:rsid w:val="0F2F5DD8"/>
    <w:rsid w:val="0F71038E"/>
    <w:rsid w:val="0FA13568"/>
    <w:rsid w:val="0FC03552"/>
    <w:rsid w:val="12303925"/>
    <w:rsid w:val="13F81179"/>
    <w:rsid w:val="14427952"/>
    <w:rsid w:val="15C7650C"/>
    <w:rsid w:val="17014C5A"/>
    <w:rsid w:val="18890B28"/>
    <w:rsid w:val="19376FA6"/>
    <w:rsid w:val="1A3F215F"/>
    <w:rsid w:val="1A7D4EFE"/>
    <w:rsid w:val="1E1A1819"/>
    <w:rsid w:val="214855C2"/>
    <w:rsid w:val="21675A1A"/>
    <w:rsid w:val="23821A0F"/>
    <w:rsid w:val="23B82B85"/>
    <w:rsid w:val="23C909B1"/>
    <w:rsid w:val="23FA53B2"/>
    <w:rsid w:val="248F3D0B"/>
    <w:rsid w:val="24A2743E"/>
    <w:rsid w:val="256726E9"/>
    <w:rsid w:val="264C005A"/>
    <w:rsid w:val="27D0185E"/>
    <w:rsid w:val="27F24616"/>
    <w:rsid w:val="2A1B43A4"/>
    <w:rsid w:val="2A2C74BF"/>
    <w:rsid w:val="2B47452A"/>
    <w:rsid w:val="2B747F71"/>
    <w:rsid w:val="2CF27EAA"/>
    <w:rsid w:val="2D247BBB"/>
    <w:rsid w:val="2E1D219D"/>
    <w:rsid w:val="30505EE2"/>
    <w:rsid w:val="30654AE0"/>
    <w:rsid w:val="30F522DC"/>
    <w:rsid w:val="31A51D1D"/>
    <w:rsid w:val="35286B60"/>
    <w:rsid w:val="35C21E12"/>
    <w:rsid w:val="375317FC"/>
    <w:rsid w:val="376F75F2"/>
    <w:rsid w:val="37712E97"/>
    <w:rsid w:val="392304E8"/>
    <w:rsid w:val="39A746E6"/>
    <w:rsid w:val="3BD10AA9"/>
    <w:rsid w:val="3CE142E8"/>
    <w:rsid w:val="3DD632A5"/>
    <w:rsid w:val="3E0E38AE"/>
    <w:rsid w:val="3EED74F9"/>
    <w:rsid w:val="3F185D40"/>
    <w:rsid w:val="405E3310"/>
    <w:rsid w:val="41C2391B"/>
    <w:rsid w:val="42BA035D"/>
    <w:rsid w:val="44B70C21"/>
    <w:rsid w:val="45764DE3"/>
    <w:rsid w:val="498E58BB"/>
    <w:rsid w:val="4A666B99"/>
    <w:rsid w:val="4D2C5808"/>
    <w:rsid w:val="4D5A101D"/>
    <w:rsid w:val="4E000105"/>
    <w:rsid w:val="4EF35CF6"/>
    <w:rsid w:val="51911F10"/>
    <w:rsid w:val="538C7DBF"/>
    <w:rsid w:val="5480192E"/>
    <w:rsid w:val="55765834"/>
    <w:rsid w:val="55FB0913"/>
    <w:rsid w:val="57AF30ED"/>
    <w:rsid w:val="5A6E2B68"/>
    <w:rsid w:val="5B743C2E"/>
    <w:rsid w:val="5C9D1B76"/>
    <w:rsid w:val="5D2947C3"/>
    <w:rsid w:val="5D3E3A06"/>
    <w:rsid w:val="5DB055F5"/>
    <w:rsid w:val="5E4F092C"/>
    <w:rsid w:val="60923450"/>
    <w:rsid w:val="621910BA"/>
    <w:rsid w:val="632824BC"/>
    <w:rsid w:val="63F14784"/>
    <w:rsid w:val="65AC6C63"/>
    <w:rsid w:val="676D7179"/>
    <w:rsid w:val="69CB3CD1"/>
    <w:rsid w:val="6BD74C46"/>
    <w:rsid w:val="6C4D333F"/>
    <w:rsid w:val="72BB1681"/>
    <w:rsid w:val="74347D21"/>
    <w:rsid w:val="74685940"/>
    <w:rsid w:val="753F3ADB"/>
    <w:rsid w:val="756F3F43"/>
    <w:rsid w:val="78C70111"/>
    <w:rsid w:val="7A3C4D77"/>
    <w:rsid w:val="7B4F2192"/>
    <w:rsid w:val="7F2F4B42"/>
    <w:rsid w:val="7FC60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footnote text"/>
    <w:basedOn w:val="1"/>
    <w:qFormat/>
    <w:uiPriority w:val="0"/>
    <w:pPr>
      <w:snapToGrid w:val="0"/>
      <w:jc w:val="left"/>
    </w:pPr>
    <w:rPr>
      <w:sz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bCs/>
    </w:rPr>
  </w:style>
  <w:style w:type="character" w:styleId="9">
    <w:name w:val="Emphasis"/>
    <w:basedOn w:val="7"/>
    <w:qFormat/>
    <w:uiPriority w:val="20"/>
    <w:rPr>
      <w:i/>
    </w:rPr>
  </w:style>
  <w:style w:type="character" w:styleId="10">
    <w:name w:val="footnote reference"/>
    <w:basedOn w:val="7"/>
    <w:qFormat/>
    <w:uiPriority w:val="0"/>
    <w:rPr>
      <w:vertAlign w:val="superscript"/>
    </w:rPr>
  </w:style>
  <w:style w:type="paragraph" w:styleId="11">
    <w:name w:val="List Paragraph"/>
    <w:basedOn w:val="1"/>
    <w:unhideWhenUsed/>
    <w:qFormat/>
    <w:uiPriority w:val="99"/>
    <w:pPr>
      <w:ind w:firstLine="420" w:firstLineChars="200"/>
    </w:pPr>
  </w:style>
  <w:style w:type="character" w:customStyle="1" w:styleId="12">
    <w:name w:val="标题 1 Char"/>
    <w:link w:val="2"/>
    <w:qFormat/>
    <w:uiPriority w:val="9"/>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3858</Words>
  <Characters>4090</Characters>
  <Lines>3</Lines>
  <Paragraphs>1</Paragraphs>
  <TotalTime>0</TotalTime>
  <ScaleCrop>false</ScaleCrop>
  <LinksUpToDate>false</LinksUpToDate>
  <CharactersWithSpaces>4096</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2024-12-19T06:35:00Z</dcterms:created>
  <dc:creator>1</dc:creator>
  <cp:lastModifiedBy>HP</cp:lastModifiedBy>
  <dcterms:modified xsi:type="dcterms:W3CDTF">2025-01-07T07:33:26Z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799F044C53FE4C6E81D75C3AF5D24CE5_13</vt:lpwstr>
  </property>
  <property fmtid="{D5CDD505-2E9C-101B-9397-08002B2CF9AE}" pid="4" name="KSOTemplateDocerSaveRecord">
    <vt:lpwstr>eyJoZGlkIjoiZmQ2ZTI3M2U5ZjczNWQ3MGMyYmI0YTRhNTNjMDI5MWUiLCJ1c2VySWQiOiI1MzE5MjcxNjAifQ==</vt:lpwstr>
  </property>
</Properties>
</file>