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9BF5" w14:textId="5F371DBF" w:rsidR="004566CD" w:rsidRDefault="00C845EB" w:rsidP="004566CD">
      <w:pPr>
        <w:spacing w:before="156" w:after="156"/>
        <w:jc w:val="center"/>
        <w:rPr>
          <w:rFonts w:ascii="仿宋_GB2312" w:eastAsia="仿宋_GB2312" w:hint="eastAsia"/>
          <w:sz w:val="28"/>
          <w:szCs w:val="28"/>
        </w:rPr>
      </w:pPr>
      <w:r>
        <w:rPr>
          <w:rFonts w:ascii="仿宋_GB2312" w:eastAsia="仿宋_GB2312" w:hint="eastAsia"/>
          <w:sz w:val="28"/>
          <w:szCs w:val="28"/>
        </w:rPr>
        <w:t>2025年</w:t>
      </w:r>
      <w:r w:rsidR="004566CD">
        <w:rPr>
          <w:rFonts w:ascii="仿宋_GB2312" w:eastAsia="仿宋_GB2312" w:hint="eastAsia"/>
          <w:sz w:val="28"/>
          <w:szCs w:val="28"/>
        </w:rPr>
        <w:t>我国低空产业发展趋势</w:t>
      </w:r>
      <w:r>
        <w:rPr>
          <w:rFonts w:ascii="仿宋_GB2312" w:eastAsia="仿宋_GB2312" w:hint="eastAsia"/>
          <w:sz w:val="28"/>
          <w:szCs w:val="28"/>
        </w:rPr>
        <w:t>展望</w:t>
      </w:r>
    </w:p>
    <w:p w14:paraId="2756E1D9" w14:textId="77777777" w:rsidR="004566CD" w:rsidRDefault="004566CD" w:rsidP="004566CD">
      <w:pPr>
        <w:spacing w:before="156" w:after="156"/>
        <w:ind w:firstLineChars="200" w:firstLine="560"/>
        <w:rPr>
          <w:rFonts w:ascii="仿宋_GB2312" w:eastAsia="仿宋_GB2312" w:hint="eastAsia"/>
          <w:sz w:val="28"/>
          <w:szCs w:val="28"/>
        </w:rPr>
      </w:pPr>
      <w:r>
        <w:rPr>
          <w:rFonts w:ascii="仿宋_GB2312" w:eastAsia="仿宋_GB2312" w:hint="eastAsia"/>
          <w:sz w:val="28"/>
          <w:szCs w:val="28"/>
        </w:rPr>
        <w:t>2024年</w:t>
      </w:r>
      <w:r>
        <w:rPr>
          <w:rFonts w:ascii="仿宋_GB2312" w:eastAsia="仿宋_GB2312"/>
          <w:sz w:val="28"/>
          <w:szCs w:val="28"/>
        </w:rPr>
        <w:t>被誉为</w:t>
      </w:r>
      <w:r>
        <w:rPr>
          <w:rFonts w:ascii="仿宋_GB2312" w:eastAsia="仿宋_GB2312"/>
          <w:sz w:val="28"/>
          <w:szCs w:val="28"/>
        </w:rPr>
        <w:t>“</w:t>
      </w:r>
      <w:r>
        <w:rPr>
          <w:rFonts w:ascii="仿宋_GB2312" w:eastAsia="仿宋_GB2312"/>
          <w:sz w:val="28"/>
          <w:szCs w:val="28"/>
        </w:rPr>
        <w:t>低空经济元年</w:t>
      </w:r>
      <w:r>
        <w:rPr>
          <w:rFonts w:ascii="仿宋_GB2312" w:eastAsia="仿宋_GB2312"/>
          <w:sz w:val="28"/>
          <w:szCs w:val="28"/>
        </w:rPr>
        <w:t>”</w:t>
      </w:r>
      <w:r>
        <w:rPr>
          <w:rFonts w:ascii="仿宋_GB2312" w:eastAsia="仿宋_GB2312" w:hint="eastAsia"/>
          <w:sz w:val="28"/>
          <w:szCs w:val="28"/>
        </w:rPr>
        <w:t>，其凭借广阔的发展前景和巨大的市场潜力，已成为我国前瞻布局的战新产业和抢占未来产业制高点的关键领域。针对</w:t>
      </w:r>
      <w:proofErr w:type="gramStart"/>
      <w:r>
        <w:rPr>
          <w:rFonts w:ascii="仿宋_GB2312" w:eastAsia="仿宋_GB2312" w:hint="eastAsia"/>
          <w:sz w:val="28"/>
          <w:szCs w:val="28"/>
        </w:rPr>
        <w:t>低空经济</w:t>
      </w:r>
      <w:proofErr w:type="gramEnd"/>
      <w:r>
        <w:rPr>
          <w:rFonts w:ascii="仿宋_GB2312" w:eastAsia="仿宋_GB2312" w:hint="eastAsia"/>
          <w:sz w:val="28"/>
          <w:szCs w:val="28"/>
        </w:rPr>
        <w:t>等战新产业，12月的中央经济工作会议更是强调要“以科技创新引领新质生产力发展，建设现代化产业体系”，</w:t>
      </w:r>
      <w:r>
        <w:rPr>
          <w:rFonts w:ascii="仿宋_GB2312" w:eastAsia="仿宋_GB2312"/>
          <w:sz w:val="28"/>
          <w:szCs w:val="28"/>
        </w:rPr>
        <w:t>并要把发展新质生产力作为</w:t>
      </w:r>
      <w:r>
        <w:rPr>
          <w:rFonts w:ascii="仿宋_GB2312" w:eastAsia="仿宋_GB2312"/>
          <w:sz w:val="28"/>
          <w:szCs w:val="28"/>
        </w:rPr>
        <w:t>“</w:t>
      </w:r>
      <w:r>
        <w:rPr>
          <w:rFonts w:ascii="仿宋_GB2312" w:eastAsia="仿宋_GB2312"/>
          <w:sz w:val="28"/>
          <w:szCs w:val="28"/>
        </w:rPr>
        <w:t>十五五</w:t>
      </w:r>
      <w:r>
        <w:rPr>
          <w:rFonts w:ascii="仿宋_GB2312" w:eastAsia="仿宋_GB2312"/>
          <w:sz w:val="28"/>
          <w:szCs w:val="28"/>
        </w:rPr>
        <w:t>”</w:t>
      </w:r>
      <w:r>
        <w:rPr>
          <w:rFonts w:ascii="仿宋_GB2312" w:eastAsia="仿宋_GB2312"/>
          <w:sz w:val="28"/>
          <w:szCs w:val="28"/>
        </w:rPr>
        <w:t>规划基本思路的研究重点</w:t>
      </w:r>
      <w:r>
        <w:rPr>
          <w:rFonts w:ascii="仿宋_GB2312" w:eastAsia="仿宋_GB2312" w:hint="eastAsia"/>
          <w:sz w:val="28"/>
          <w:szCs w:val="28"/>
        </w:rPr>
        <w:t>。未来，</w:t>
      </w:r>
      <w:r w:rsidRPr="007F5E54">
        <w:rPr>
          <w:rFonts w:ascii="仿宋_GB2312" w:eastAsia="仿宋_GB2312"/>
          <w:sz w:val="28"/>
          <w:szCs w:val="28"/>
        </w:rPr>
        <w:t>“</w:t>
      </w:r>
      <w:r w:rsidRPr="007F5E54">
        <w:rPr>
          <w:rFonts w:ascii="仿宋_GB2312" w:eastAsia="仿宋_GB2312"/>
          <w:sz w:val="28"/>
          <w:szCs w:val="28"/>
        </w:rPr>
        <w:t>低空要素化、要素场景化、场景经济化</w:t>
      </w:r>
      <w:r w:rsidRPr="007F5E54">
        <w:rPr>
          <w:rFonts w:ascii="仿宋_GB2312" w:eastAsia="仿宋_GB2312"/>
          <w:sz w:val="28"/>
          <w:szCs w:val="28"/>
        </w:rPr>
        <w:t>”</w:t>
      </w:r>
      <w:r w:rsidRPr="007F5E54">
        <w:rPr>
          <w:rFonts w:ascii="仿宋_GB2312" w:eastAsia="仿宋_GB2312"/>
          <w:sz w:val="28"/>
          <w:szCs w:val="28"/>
        </w:rPr>
        <w:t>逐渐形成</w:t>
      </w:r>
      <w:r>
        <w:rPr>
          <w:rFonts w:ascii="仿宋_GB2312" w:eastAsia="仿宋_GB2312" w:hint="eastAsia"/>
          <w:sz w:val="28"/>
          <w:szCs w:val="28"/>
        </w:rPr>
        <w:t>，产业将在基础设施、监管平台、空中交通、产品矩阵、标准体系等方面呈现相关变化趋势，指引产业界发展的新方向。</w:t>
      </w:r>
    </w:p>
    <w:p w14:paraId="4B2317B3" w14:textId="77777777" w:rsidR="004566CD" w:rsidRDefault="004566CD" w:rsidP="004566CD">
      <w:pPr>
        <w:pStyle w:val="2"/>
        <w:numPr>
          <w:ilvl w:val="0"/>
          <w:numId w:val="1"/>
        </w:numPr>
        <w:spacing w:before="156" w:after="156"/>
      </w:pPr>
      <w:r>
        <w:rPr>
          <w:rFonts w:hint="eastAsia"/>
        </w:rPr>
        <w:t>低空基础设施受到政策关注，即将开启大规模建设期</w:t>
      </w:r>
    </w:p>
    <w:p w14:paraId="1C510E03" w14:textId="77777777" w:rsidR="004566CD" w:rsidRDefault="004566CD" w:rsidP="004566CD">
      <w:pPr>
        <w:spacing w:before="156" w:after="156"/>
        <w:ind w:firstLineChars="200" w:firstLine="562"/>
        <w:rPr>
          <w:rFonts w:ascii="仿宋_GB2312" w:eastAsia="仿宋_GB2312" w:hint="eastAsia"/>
          <w:sz w:val="28"/>
          <w:szCs w:val="28"/>
        </w:rPr>
      </w:pPr>
      <w:r>
        <w:rPr>
          <w:rFonts w:ascii="仿宋_GB2312" w:eastAsia="仿宋_GB2312" w:hint="eastAsia"/>
          <w:b/>
          <w:bCs/>
          <w:sz w:val="28"/>
          <w:szCs w:val="28"/>
        </w:rPr>
        <w:t>各地方政府出台低空基础设施相关政策目标，并通过补贴推动低空基础设施迈入建设期。</w:t>
      </w:r>
      <w:r>
        <w:rPr>
          <w:rFonts w:ascii="仿宋_GB2312" w:eastAsia="仿宋_GB2312" w:hint="eastAsia"/>
          <w:sz w:val="28"/>
          <w:szCs w:val="28"/>
        </w:rPr>
        <w:t>航空</w:t>
      </w:r>
      <w:proofErr w:type="gramStart"/>
      <w:r>
        <w:rPr>
          <w:rFonts w:ascii="仿宋_GB2312" w:eastAsia="仿宋_GB2312" w:hint="eastAsia"/>
          <w:sz w:val="28"/>
          <w:szCs w:val="28"/>
        </w:rPr>
        <w:t>产业网数据</w:t>
      </w:r>
      <w:proofErr w:type="gramEnd"/>
      <w:r>
        <w:rPr>
          <w:rFonts w:ascii="仿宋_GB2312" w:eastAsia="仿宋_GB2312" w:hint="eastAsia"/>
          <w:sz w:val="28"/>
          <w:szCs w:val="28"/>
        </w:rPr>
        <w:t>显示，仅2024年第三季度全</w:t>
      </w:r>
      <w:proofErr w:type="gramStart"/>
      <w:r>
        <w:rPr>
          <w:rFonts w:ascii="仿宋_GB2312" w:eastAsia="仿宋_GB2312" w:hint="eastAsia"/>
          <w:sz w:val="28"/>
          <w:szCs w:val="28"/>
        </w:rPr>
        <w:t>国共出台</w:t>
      </w:r>
      <w:proofErr w:type="gramEnd"/>
      <w:r>
        <w:rPr>
          <w:rFonts w:ascii="仿宋_GB2312" w:eastAsia="仿宋_GB2312" w:hint="eastAsia"/>
          <w:sz w:val="28"/>
          <w:szCs w:val="28"/>
        </w:rPr>
        <w:t>超70份低空相关政策文件，其中对低空基础设施的关注尤为突出，占比超50%。如2024年8月，</w:t>
      </w:r>
      <w:r>
        <w:rPr>
          <w:rFonts w:ascii="仿宋_GB2312" w:eastAsia="仿宋_GB2312"/>
          <w:sz w:val="28"/>
          <w:szCs w:val="28"/>
        </w:rPr>
        <w:t>江苏省人民政府办公厅印发《关于加快推动低空经济高质量发展的实施意见》</w:t>
      </w:r>
      <w:r>
        <w:rPr>
          <w:rFonts w:ascii="仿宋_GB2312" w:eastAsia="仿宋_GB2312" w:hint="eastAsia"/>
          <w:sz w:val="28"/>
          <w:szCs w:val="28"/>
        </w:rPr>
        <w:t>，提出“</w:t>
      </w:r>
      <w:r>
        <w:rPr>
          <w:rFonts w:ascii="仿宋_GB2312" w:eastAsia="仿宋_GB2312"/>
          <w:sz w:val="28"/>
          <w:szCs w:val="28"/>
        </w:rPr>
        <w:t>未来三年，将建成240个以上低空航空器起降场（点）及配套信息化基础设施</w:t>
      </w:r>
      <w:r>
        <w:rPr>
          <w:rFonts w:ascii="仿宋_GB2312" w:eastAsia="仿宋_GB2312" w:hint="eastAsia"/>
          <w:sz w:val="28"/>
          <w:szCs w:val="28"/>
        </w:rPr>
        <w:t>”的目标。</w:t>
      </w:r>
      <w:r w:rsidRPr="00303372">
        <w:rPr>
          <w:rFonts w:ascii="仿宋_GB2312" w:eastAsia="仿宋_GB2312" w:hint="eastAsia"/>
          <w:b/>
          <w:bCs/>
          <w:sz w:val="28"/>
          <w:szCs w:val="28"/>
        </w:rPr>
        <w:t>部分地区依据实际项目进行资金补贴，推动低空基础设施建设。</w:t>
      </w:r>
      <w:r>
        <w:rPr>
          <w:rFonts w:ascii="仿宋_GB2312" w:eastAsia="仿宋_GB2312" w:hint="eastAsia"/>
          <w:sz w:val="28"/>
          <w:szCs w:val="28"/>
        </w:rPr>
        <w:t>成都发布</w:t>
      </w:r>
      <w:r>
        <w:rPr>
          <w:rFonts w:ascii="仿宋_GB2312" w:eastAsia="仿宋_GB2312"/>
          <w:sz w:val="28"/>
          <w:szCs w:val="28"/>
        </w:rPr>
        <w:t>《成都市加快提升低空飞行服务能力培育低空经济市场的若干措施（征求意见稿）》及其实施细则意见的公告</w:t>
      </w:r>
      <w:r>
        <w:rPr>
          <w:rFonts w:ascii="仿宋_GB2312" w:eastAsia="仿宋_GB2312" w:hint="eastAsia"/>
          <w:sz w:val="28"/>
          <w:szCs w:val="28"/>
        </w:rPr>
        <w:t>，提出“</w:t>
      </w:r>
      <w:r>
        <w:rPr>
          <w:rFonts w:ascii="仿宋_GB2312" w:eastAsia="仿宋_GB2312"/>
          <w:sz w:val="28"/>
          <w:szCs w:val="28"/>
        </w:rPr>
        <w:t>对投资建设低空地面和信息基础设施的企业，按实际投资总额的50%给予资金补贴，单个项目最高100万元</w:t>
      </w:r>
      <w:r>
        <w:rPr>
          <w:rFonts w:ascii="仿宋_GB2312" w:eastAsia="仿宋_GB2312" w:hint="eastAsia"/>
          <w:sz w:val="28"/>
          <w:szCs w:val="28"/>
        </w:rPr>
        <w:t>” 等资金补贴方案，推动</w:t>
      </w:r>
      <w:r>
        <w:rPr>
          <w:rFonts w:ascii="仿宋_GB2312" w:eastAsia="仿宋_GB2312"/>
          <w:sz w:val="28"/>
          <w:szCs w:val="28"/>
        </w:rPr>
        <w:t>低空</w:t>
      </w:r>
      <w:r>
        <w:rPr>
          <w:rFonts w:ascii="仿宋_GB2312" w:eastAsia="仿宋_GB2312"/>
          <w:sz w:val="28"/>
          <w:szCs w:val="28"/>
        </w:rPr>
        <w:lastRenderedPageBreak/>
        <w:t>地面和信息基础设施建设</w:t>
      </w:r>
      <w:r>
        <w:rPr>
          <w:rFonts w:ascii="仿宋_GB2312" w:eastAsia="仿宋_GB2312" w:hint="eastAsia"/>
          <w:sz w:val="28"/>
          <w:szCs w:val="28"/>
        </w:rPr>
        <w:t>提速。</w:t>
      </w:r>
      <w:bookmarkStart w:id="0" w:name="OLE_LINK2"/>
      <w:r w:rsidRPr="00303372">
        <w:rPr>
          <w:rFonts w:ascii="仿宋_GB2312" w:eastAsia="仿宋_GB2312" w:hint="eastAsia"/>
          <w:b/>
          <w:bCs/>
          <w:sz w:val="28"/>
          <w:szCs w:val="28"/>
        </w:rPr>
        <w:t>部分地区则根据起降点及配套设施类别给予差异化补贴，</w:t>
      </w:r>
      <w:r w:rsidRPr="00303372">
        <w:rPr>
          <w:rFonts w:ascii="仿宋_GB2312" w:eastAsia="仿宋_GB2312"/>
          <w:b/>
          <w:bCs/>
          <w:sz w:val="28"/>
          <w:szCs w:val="28"/>
        </w:rPr>
        <w:t>支持低空基础设施建设</w:t>
      </w:r>
      <w:bookmarkEnd w:id="0"/>
      <w:r w:rsidRPr="00303372">
        <w:rPr>
          <w:rFonts w:ascii="仿宋_GB2312" w:eastAsia="仿宋_GB2312" w:hint="eastAsia"/>
          <w:b/>
          <w:bCs/>
          <w:sz w:val="28"/>
          <w:szCs w:val="28"/>
        </w:rPr>
        <w:t>。</w:t>
      </w:r>
      <w:r>
        <w:rPr>
          <w:rFonts w:ascii="仿宋_GB2312" w:eastAsia="仿宋_GB2312" w:hint="eastAsia"/>
          <w:sz w:val="28"/>
          <w:szCs w:val="28"/>
        </w:rPr>
        <w:t>深圳市罗湖区印发《深圳市罗湖区促进商旅文低空应用的若干措施》提出大型无人机、直升机、eVTOL起降点在运营或签订应急协议后补贴不超过200万元，中小型无人机、起降点、智能起降柜机补贴不超过10万元。未来，各地方预计将进一步落实低空基础设施建设目标，并丰富相关补贴方式，推动大规模构建</w:t>
      </w:r>
      <w:proofErr w:type="gramStart"/>
      <w:r>
        <w:rPr>
          <w:rFonts w:ascii="仿宋_GB2312" w:eastAsia="仿宋_GB2312" w:hint="eastAsia"/>
          <w:sz w:val="28"/>
          <w:szCs w:val="28"/>
        </w:rPr>
        <w:t>低空经济</w:t>
      </w:r>
      <w:proofErr w:type="gramEnd"/>
      <w:r>
        <w:rPr>
          <w:rFonts w:ascii="仿宋_GB2312" w:eastAsia="仿宋_GB2312" w:hint="eastAsia"/>
          <w:sz w:val="28"/>
          <w:szCs w:val="28"/>
        </w:rPr>
        <w:t>设施网、空联网、航路网、服务网“四张网”，保障</w:t>
      </w:r>
      <w:proofErr w:type="gramStart"/>
      <w:r>
        <w:rPr>
          <w:rFonts w:ascii="仿宋_GB2312" w:eastAsia="仿宋_GB2312" w:hint="eastAsia"/>
          <w:sz w:val="28"/>
          <w:szCs w:val="28"/>
        </w:rPr>
        <w:t>低空经济</w:t>
      </w:r>
      <w:proofErr w:type="gramEnd"/>
      <w:r>
        <w:rPr>
          <w:rFonts w:ascii="仿宋_GB2312" w:eastAsia="仿宋_GB2312" w:hint="eastAsia"/>
          <w:sz w:val="28"/>
          <w:szCs w:val="28"/>
        </w:rPr>
        <w:t>健康、有序发展。</w:t>
      </w:r>
    </w:p>
    <w:p w14:paraId="6C9356B7" w14:textId="77777777" w:rsidR="004566CD" w:rsidRDefault="004566CD" w:rsidP="004566CD">
      <w:pPr>
        <w:pStyle w:val="2"/>
        <w:numPr>
          <w:ilvl w:val="0"/>
          <w:numId w:val="1"/>
        </w:numPr>
        <w:spacing w:before="156" w:after="156"/>
        <w:rPr>
          <w:rFonts w:ascii="仿宋_GB2312" w:eastAsia="仿宋_GB2312"/>
          <w:szCs w:val="28"/>
        </w:rPr>
      </w:pPr>
      <w:bookmarkStart w:id="1" w:name="OLE_LINK1"/>
      <w:r>
        <w:rPr>
          <w:rFonts w:ascii="仿宋_GB2312" w:eastAsia="仿宋_GB2312" w:hint="eastAsia"/>
          <w:szCs w:val="28"/>
        </w:rPr>
        <w:t>低空监管平台以“1+N”形式开展建设</w:t>
      </w:r>
      <w:bookmarkEnd w:id="1"/>
      <w:r>
        <w:rPr>
          <w:rFonts w:ascii="仿宋_GB2312" w:eastAsia="仿宋_GB2312" w:hint="eastAsia"/>
          <w:szCs w:val="28"/>
        </w:rPr>
        <w:t>，低空管理服务体系逐渐形成</w:t>
      </w:r>
      <w:r>
        <w:rPr>
          <w:rFonts w:ascii="仿宋_GB2312" w:eastAsia="仿宋_GB2312"/>
          <w:szCs w:val="28"/>
        </w:rPr>
        <w:t xml:space="preserve"> </w:t>
      </w:r>
    </w:p>
    <w:p w14:paraId="6B728B36" w14:textId="77777777" w:rsidR="004566CD" w:rsidRDefault="004566CD" w:rsidP="004566CD">
      <w:pPr>
        <w:spacing w:before="156" w:after="156"/>
        <w:ind w:firstLineChars="200" w:firstLine="562"/>
        <w:rPr>
          <w:rFonts w:ascii="仿宋_GB2312" w:eastAsia="仿宋_GB2312" w:hint="eastAsia"/>
          <w:sz w:val="28"/>
          <w:szCs w:val="28"/>
        </w:rPr>
      </w:pPr>
      <w:r>
        <w:rPr>
          <w:rFonts w:ascii="仿宋_GB2312" w:eastAsia="仿宋_GB2312" w:hint="eastAsia"/>
          <w:b/>
          <w:bCs/>
          <w:sz w:val="28"/>
          <w:szCs w:val="28"/>
        </w:rPr>
        <w:t>低空监管平台将以“1+N”形式开展建设，国家与地方协同开展低空监管工作。</w:t>
      </w:r>
      <w:r>
        <w:rPr>
          <w:rFonts w:ascii="仿宋_GB2312" w:eastAsia="仿宋_GB2312" w:hint="eastAsia"/>
          <w:sz w:val="28"/>
          <w:szCs w:val="28"/>
        </w:rPr>
        <w:t>2024年国务院及中央军委联合发布《无人驾驶航空器飞行管理暂行条例》，明确国家空中交管机构和县级以上地方政府分别负责国家与地方的无人驾驶航空器有关管理职能。为构建国家</w:t>
      </w:r>
      <w:r>
        <w:rPr>
          <w:rFonts w:ascii="仿宋_GB2312" w:eastAsia="仿宋_GB2312"/>
          <w:sz w:val="28"/>
          <w:szCs w:val="28"/>
        </w:rPr>
        <w:t>低空飞行服务</w:t>
      </w:r>
      <w:r>
        <w:rPr>
          <w:rFonts w:ascii="仿宋_GB2312" w:eastAsia="仿宋_GB2312" w:hint="eastAsia"/>
          <w:sz w:val="28"/>
          <w:szCs w:val="28"/>
        </w:rPr>
        <w:t>保障体系，民航局表示将形成</w:t>
      </w:r>
      <w:r>
        <w:rPr>
          <w:rFonts w:ascii="仿宋_GB2312" w:eastAsia="仿宋_GB2312"/>
          <w:sz w:val="28"/>
          <w:szCs w:val="28"/>
        </w:rPr>
        <w:t>国家综合监管服务平台</w:t>
      </w:r>
      <w:r>
        <w:rPr>
          <w:rFonts w:ascii="仿宋_GB2312" w:eastAsia="仿宋_GB2312" w:hint="eastAsia"/>
          <w:sz w:val="28"/>
          <w:szCs w:val="28"/>
        </w:rPr>
        <w:t>，保障“</w:t>
      </w:r>
      <w:r>
        <w:rPr>
          <w:rFonts w:ascii="仿宋_GB2312" w:eastAsia="仿宋_GB2312"/>
          <w:sz w:val="28"/>
          <w:szCs w:val="28"/>
        </w:rPr>
        <w:t>一站式</w:t>
      </w:r>
      <w:r>
        <w:rPr>
          <w:rFonts w:ascii="仿宋_GB2312" w:eastAsia="仿宋_GB2312" w:hint="eastAsia"/>
          <w:sz w:val="28"/>
          <w:szCs w:val="28"/>
        </w:rPr>
        <w:t>”</w:t>
      </w:r>
      <w:r>
        <w:rPr>
          <w:rFonts w:ascii="仿宋_GB2312" w:eastAsia="仿宋_GB2312"/>
          <w:sz w:val="28"/>
          <w:szCs w:val="28"/>
        </w:rPr>
        <w:t>服务与监管</w:t>
      </w:r>
      <w:r>
        <w:rPr>
          <w:rFonts w:ascii="仿宋_GB2312" w:eastAsia="仿宋_GB2312" w:hint="eastAsia"/>
          <w:sz w:val="28"/>
          <w:szCs w:val="28"/>
        </w:rPr>
        <w:t>功能。地方承接行政区内无人驾驶航空器管理职能后，已建设较多省级</w:t>
      </w:r>
      <w:r>
        <w:rPr>
          <w:rFonts w:ascii="仿宋_GB2312" w:eastAsia="仿宋_GB2312"/>
          <w:sz w:val="28"/>
          <w:szCs w:val="28"/>
        </w:rPr>
        <w:t>/市级</w:t>
      </w:r>
      <w:r>
        <w:rPr>
          <w:rFonts w:ascii="仿宋_GB2312" w:eastAsia="仿宋_GB2312" w:hint="eastAsia"/>
          <w:sz w:val="28"/>
          <w:szCs w:val="28"/>
        </w:rPr>
        <w:t>监管平台，开展区域化管理工作，如无锡建立低空飞行监管服务平台、成都市建立低空交通管理服务平台。在此基础上，地方平台积极推动与国家低空平台的对接工作，保障飞行监管体系建设。广东出台《广东省推动低空经济高质量发展行动方案（2024—2026年）》中提出“建设省级低空飞行综合管理服务平台，与国家平台互联互通，实现省级空域协同管理、无人机飞行态势监视</w:t>
      </w:r>
      <w:r>
        <w:rPr>
          <w:rFonts w:ascii="仿宋_GB2312" w:eastAsia="仿宋_GB2312" w:hint="eastAsia"/>
          <w:sz w:val="28"/>
          <w:szCs w:val="28"/>
        </w:rPr>
        <w:lastRenderedPageBreak/>
        <w:t>等功能。”</w:t>
      </w:r>
    </w:p>
    <w:p w14:paraId="245383A4" w14:textId="77777777" w:rsidR="004566CD" w:rsidRDefault="004566CD" w:rsidP="004566CD">
      <w:pPr>
        <w:pStyle w:val="2"/>
        <w:numPr>
          <w:ilvl w:val="0"/>
          <w:numId w:val="1"/>
        </w:numPr>
        <w:spacing w:before="156" w:after="156"/>
      </w:pPr>
      <w:r>
        <w:rPr>
          <w:rFonts w:ascii="仿宋_GB2312" w:eastAsia="仿宋_GB2312"/>
          <w:szCs w:val="28"/>
        </w:rPr>
        <w:t>eVTOL</w:t>
      </w:r>
      <w:proofErr w:type="gramStart"/>
      <w:r>
        <w:rPr>
          <w:rFonts w:ascii="仿宋_GB2312" w:eastAsia="仿宋_GB2312" w:hint="eastAsia"/>
          <w:szCs w:val="28"/>
        </w:rPr>
        <w:t>以湾区</w:t>
      </w:r>
      <w:proofErr w:type="gramEnd"/>
      <w:r>
        <w:rPr>
          <w:rFonts w:ascii="仿宋_GB2312" w:eastAsia="仿宋_GB2312" w:hint="eastAsia"/>
          <w:szCs w:val="28"/>
        </w:rPr>
        <w:t>为核心区域快速发展，城市空中交通将进入导入期</w:t>
      </w:r>
    </w:p>
    <w:p w14:paraId="32EDE925" w14:textId="77777777" w:rsidR="004566CD" w:rsidRDefault="004566CD" w:rsidP="004566CD">
      <w:pPr>
        <w:spacing w:before="156" w:after="156"/>
        <w:ind w:firstLineChars="200" w:firstLine="562"/>
        <w:rPr>
          <w:rFonts w:ascii="仿宋_GB2312" w:eastAsia="仿宋_GB2312" w:hint="eastAsia"/>
          <w:sz w:val="28"/>
          <w:szCs w:val="28"/>
        </w:rPr>
      </w:pPr>
      <w:r>
        <w:rPr>
          <w:rFonts w:ascii="仿宋_GB2312" w:eastAsia="仿宋_GB2312" w:hint="eastAsia"/>
          <w:b/>
          <w:bCs/>
          <w:sz w:val="28"/>
          <w:szCs w:val="28"/>
        </w:rPr>
        <w:t>国内</w:t>
      </w:r>
      <w:r>
        <w:rPr>
          <w:rFonts w:ascii="仿宋_GB2312" w:eastAsia="仿宋_GB2312"/>
          <w:b/>
          <w:bCs/>
          <w:sz w:val="28"/>
          <w:szCs w:val="28"/>
        </w:rPr>
        <w:t>eVTOL</w:t>
      </w:r>
      <w:proofErr w:type="gramStart"/>
      <w:r>
        <w:rPr>
          <w:rFonts w:ascii="仿宋_GB2312" w:eastAsia="仿宋_GB2312" w:hint="eastAsia"/>
          <w:b/>
          <w:bCs/>
          <w:sz w:val="28"/>
          <w:szCs w:val="28"/>
        </w:rPr>
        <w:t>产业以湾区</w:t>
      </w:r>
      <w:proofErr w:type="gramEnd"/>
      <w:r>
        <w:rPr>
          <w:rFonts w:ascii="仿宋_GB2312" w:eastAsia="仿宋_GB2312" w:hint="eastAsia"/>
          <w:b/>
          <w:bCs/>
          <w:sz w:val="28"/>
          <w:szCs w:val="28"/>
        </w:rPr>
        <w:t>城市群为主要布局地区，</w:t>
      </w:r>
      <w:r>
        <w:rPr>
          <w:rFonts w:ascii="仿宋_GB2312" w:eastAsia="仿宋_GB2312"/>
          <w:b/>
          <w:bCs/>
          <w:sz w:val="28"/>
          <w:szCs w:val="28"/>
        </w:rPr>
        <w:t>城市空中交通</w:t>
      </w:r>
      <w:r>
        <w:rPr>
          <w:rFonts w:ascii="仿宋_GB2312" w:eastAsia="仿宋_GB2312" w:hint="eastAsia"/>
          <w:b/>
          <w:bCs/>
          <w:sz w:val="28"/>
          <w:szCs w:val="28"/>
        </w:rPr>
        <w:t>加速推进。</w:t>
      </w:r>
      <w:r>
        <w:rPr>
          <w:rFonts w:ascii="仿宋_GB2312" w:eastAsia="仿宋_GB2312" w:hint="eastAsia"/>
          <w:sz w:val="28"/>
          <w:szCs w:val="28"/>
        </w:rPr>
        <w:t>政策层面，广东、上海等地区加速湾区城市空中交通建设。广东发布《广东省推动低空经济高质量发展行动方案》、上海印发《上海城市低空经济产业高质量发展的行动方案（2024-2027年）》，分别提出发展粤港澳大湾区、长三角城市群低空空中交通，推动城市空中交通新业态发展。产业层面，国内eVTOL代表性整机厂商主要集中在长三角、粤港澳等海湾地区，推动湾区城市空中交通产业发展。</w:t>
      </w:r>
      <w:r>
        <w:rPr>
          <w:rFonts w:ascii="仿宋_GB2312" w:eastAsia="仿宋_GB2312"/>
          <w:sz w:val="28"/>
          <w:szCs w:val="28"/>
        </w:rPr>
        <w:t>峰飞</w:t>
      </w:r>
      <w:r>
        <w:rPr>
          <w:rFonts w:ascii="仿宋_GB2312" w:eastAsia="仿宋_GB2312" w:hint="eastAsia"/>
          <w:sz w:val="28"/>
          <w:szCs w:val="28"/>
        </w:rPr>
        <w:t>航空</w:t>
      </w:r>
      <w:r>
        <w:rPr>
          <w:rFonts w:ascii="仿宋_GB2312" w:eastAsia="仿宋_GB2312"/>
          <w:sz w:val="28"/>
          <w:szCs w:val="28"/>
        </w:rPr>
        <w:t>、</w:t>
      </w:r>
      <w:proofErr w:type="gramStart"/>
      <w:r>
        <w:rPr>
          <w:rFonts w:ascii="仿宋_GB2312" w:eastAsia="仿宋_GB2312"/>
          <w:sz w:val="28"/>
          <w:szCs w:val="28"/>
        </w:rPr>
        <w:t>沃兰特</w:t>
      </w:r>
      <w:r>
        <w:rPr>
          <w:rFonts w:ascii="仿宋_GB2312" w:eastAsia="仿宋_GB2312" w:hint="eastAsia"/>
          <w:sz w:val="28"/>
          <w:szCs w:val="28"/>
        </w:rPr>
        <w:t>等</w:t>
      </w:r>
      <w:proofErr w:type="gramEnd"/>
      <w:r>
        <w:rPr>
          <w:rFonts w:ascii="仿宋_GB2312" w:eastAsia="仿宋_GB2312" w:hint="eastAsia"/>
          <w:sz w:val="28"/>
          <w:szCs w:val="28"/>
        </w:rPr>
        <w:t>企业</w:t>
      </w:r>
      <w:r>
        <w:rPr>
          <w:rFonts w:ascii="仿宋_GB2312" w:eastAsia="仿宋_GB2312"/>
          <w:sz w:val="28"/>
          <w:szCs w:val="28"/>
        </w:rPr>
        <w:t>被称为</w:t>
      </w:r>
      <w:r>
        <w:rPr>
          <w:rFonts w:ascii="仿宋_GB2312" w:eastAsia="仿宋_GB2312" w:hint="eastAsia"/>
          <w:sz w:val="28"/>
          <w:szCs w:val="28"/>
        </w:rPr>
        <w:t>“</w:t>
      </w:r>
      <w:r>
        <w:rPr>
          <w:rFonts w:ascii="仿宋_GB2312" w:eastAsia="仿宋_GB2312"/>
          <w:sz w:val="28"/>
          <w:szCs w:val="28"/>
        </w:rPr>
        <w:t>上海eVTOL五小龙</w:t>
      </w:r>
      <w:r>
        <w:rPr>
          <w:rFonts w:ascii="仿宋_GB2312" w:eastAsia="仿宋_GB2312" w:hint="eastAsia"/>
          <w:sz w:val="28"/>
          <w:szCs w:val="28"/>
        </w:rPr>
        <w:t>”，部分企业收到整机订单。粤港澳地区则以小</w:t>
      </w:r>
      <w:proofErr w:type="gramStart"/>
      <w:r>
        <w:rPr>
          <w:rFonts w:ascii="仿宋_GB2312" w:eastAsia="仿宋_GB2312" w:hint="eastAsia"/>
          <w:sz w:val="28"/>
          <w:szCs w:val="28"/>
        </w:rPr>
        <w:t>鹏汇天、亿航</w:t>
      </w:r>
      <w:proofErr w:type="gramEnd"/>
      <w:r>
        <w:rPr>
          <w:rFonts w:ascii="仿宋_GB2312" w:eastAsia="仿宋_GB2312" w:hint="eastAsia"/>
          <w:sz w:val="28"/>
          <w:szCs w:val="28"/>
        </w:rPr>
        <w:t>智能等企业为代表，</w:t>
      </w:r>
      <w:proofErr w:type="gramStart"/>
      <w:r>
        <w:rPr>
          <w:rFonts w:ascii="仿宋_GB2312" w:eastAsia="仿宋_GB2312" w:hint="eastAsia"/>
          <w:sz w:val="28"/>
          <w:szCs w:val="28"/>
        </w:rPr>
        <w:t>亿航智能</w:t>
      </w:r>
      <w:proofErr w:type="gramEnd"/>
      <w:r>
        <w:rPr>
          <w:rFonts w:ascii="仿宋_GB2312" w:eastAsia="仿宋_GB2312" w:hint="eastAsia"/>
          <w:sz w:val="28"/>
          <w:szCs w:val="28"/>
        </w:rPr>
        <w:t>已取得型号合格证（TC） 、标准适航证（AC）、生产许可证（PC），率先迈入规模化生产阶段。</w:t>
      </w:r>
      <w:r w:rsidRPr="00303372">
        <w:rPr>
          <w:rFonts w:ascii="仿宋_GB2312" w:eastAsia="仿宋_GB2312" w:hint="eastAsia"/>
          <w:b/>
          <w:bCs/>
          <w:sz w:val="28"/>
          <w:szCs w:val="28"/>
        </w:rPr>
        <w:t>eVTOL运营合格证进入受理阶段，城市空中交通迈向商业化运营。</w:t>
      </w:r>
      <w:r>
        <w:rPr>
          <w:rFonts w:ascii="仿宋_GB2312" w:eastAsia="仿宋_GB2312" w:hint="eastAsia"/>
          <w:sz w:val="28"/>
          <w:szCs w:val="28"/>
        </w:rPr>
        <w:t>今年7月，</w:t>
      </w:r>
      <w:r>
        <w:rPr>
          <w:rFonts w:ascii="仿宋_GB2312" w:eastAsia="仿宋_GB2312"/>
          <w:sz w:val="28"/>
          <w:szCs w:val="28"/>
        </w:rPr>
        <w:t>中国民航局已正式</w:t>
      </w:r>
      <w:proofErr w:type="gramStart"/>
      <w:r>
        <w:rPr>
          <w:rFonts w:ascii="仿宋_GB2312" w:eastAsia="仿宋_GB2312"/>
          <w:sz w:val="28"/>
          <w:szCs w:val="28"/>
        </w:rPr>
        <w:t>受理亿航通航</w:t>
      </w:r>
      <w:proofErr w:type="gramEnd"/>
      <w:r>
        <w:rPr>
          <w:rFonts w:ascii="仿宋_GB2312" w:eastAsia="仿宋_GB2312"/>
          <w:sz w:val="28"/>
          <w:szCs w:val="28"/>
        </w:rPr>
        <w:t>和合</w:t>
      </w:r>
      <w:proofErr w:type="gramStart"/>
      <w:r>
        <w:rPr>
          <w:rFonts w:ascii="仿宋_GB2312" w:eastAsia="仿宋_GB2312"/>
          <w:sz w:val="28"/>
          <w:szCs w:val="28"/>
        </w:rPr>
        <w:t>翼</w:t>
      </w:r>
      <w:proofErr w:type="gramEnd"/>
      <w:r>
        <w:rPr>
          <w:rFonts w:ascii="仿宋_GB2312" w:eastAsia="仿宋_GB2312"/>
          <w:sz w:val="28"/>
          <w:szCs w:val="28"/>
        </w:rPr>
        <w:t>航空</w:t>
      </w:r>
      <w:r>
        <w:rPr>
          <w:rFonts w:ascii="仿宋_GB2312" w:eastAsia="仿宋_GB2312" w:hint="eastAsia"/>
          <w:sz w:val="28"/>
          <w:szCs w:val="28"/>
        </w:rPr>
        <w:t>的</w:t>
      </w:r>
      <w:r>
        <w:rPr>
          <w:rFonts w:ascii="仿宋_GB2312" w:eastAsia="仿宋_GB2312"/>
          <w:sz w:val="28"/>
          <w:szCs w:val="28"/>
        </w:rPr>
        <w:t>民用无人驾驶载人航空器运营合格证申请</w:t>
      </w:r>
      <w:r>
        <w:rPr>
          <w:rFonts w:ascii="仿宋_GB2312" w:eastAsia="仿宋_GB2312" w:hint="eastAsia"/>
          <w:sz w:val="28"/>
          <w:szCs w:val="28"/>
        </w:rPr>
        <w:t>，</w:t>
      </w:r>
      <w:r>
        <w:rPr>
          <w:rFonts w:ascii="仿宋_GB2312" w:eastAsia="仿宋_GB2312"/>
          <w:sz w:val="28"/>
          <w:szCs w:val="28"/>
        </w:rPr>
        <w:t>对两家公司开展无人驾驶载人航空器经营许可和运行合格审定</w:t>
      </w:r>
      <w:r>
        <w:rPr>
          <w:rFonts w:ascii="仿宋_GB2312" w:eastAsia="仿宋_GB2312" w:hint="eastAsia"/>
          <w:sz w:val="28"/>
          <w:szCs w:val="28"/>
        </w:rPr>
        <w:t>，城市空中交通或将开启</w:t>
      </w:r>
      <w:r w:rsidRPr="00F0007E">
        <w:rPr>
          <w:rFonts w:ascii="仿宋_GB2312" w:eastAsia="仿宋_GB2312"/>
          <w:sz w:val="28"/>
          <w:szCs w:val="28"/>
        </w:rPr>
        <w:t>载人eVTOL</w:t>
      </w:r>
      <w:r w:rsidRPr="0070570D">
        <w:rPr>
          <w:rFonts w:ascii="仿宋_GB2312" w:eastAsia="仿宋_GB2312"/>
          <w:sz w:val="28"/>
          <w:szCs w:val="28"/>
        </w:rPr>
        <w:t>商业运营</w:t>
      </w:r>
      <w:r>
        <w:rPr>
          <w:rFonts w:ascii="仿宋_GB2312" w:eastAsia="仿宋_GB2312" w:hint="eastAsia"/>
          <w:sz w:val="28"/>
          <w:szCs w:val="28"/>
        </w:rPr>
        <w:t>阶段。</w:t>
      </w:r>
    </w:p>
    <w:p w14:paraId="6C15FD9D" w14:textId="77777777" w:rsidR="004566CD" w:rsidRPr="00303372" w:rsidRDefault="004566CD" w:rsidP="004566CD">
      <w:pPr>
        <w:pStyle w:val="2"/>
        <w:numPr>
          <w:ilvl w:val="0"/>
          <w:numId w:val="1"/>
        </w:numPr>
        <w:spacing w:before="156" w:after="156"/>
      </w:pPr>
      <w:r w:rsidRPr="00303372">
        <w:rPr>
          <w:rFonts w:hint="eastAsia"/>
        </w:rPr>
        <w:t>软件与硬件协同的产品矩阵将成为</w:t>
      </w:r>
      <w:proofErr w:type="gramStart"/>
      <w:r w:rsidRPr="00303372">
        <w:rPr>
          <w:rFonts w:hint="eastAsia"/>
        </w:rPr>
        <w:t>低空企业</w:t>
      </w:r>
      <w:proofErr w:type="gramEnd"/>
      <w:r w:rsidRPr="00303372">
        <w:rPr>
          <w:rFonts w:hint="eastAsia"/>
        </w:rPr>
        <w:t>的护城河</w:t>
      </w:r>
    </w:p>
    <w:p w14:paraId="22AF73B0" w14:textId="77777777" w:rsidR="004566CD" w:rsidRDefault="004566CD" w:rsidP="004566CD">
      <w:pPr>
        <w:spacing w:before="156" w:after="156"/>
        <w:ind w:firstLineChars="200" w:firstLine="562"/>
        <w:rPr>
          <w:rFonts w:ascii="仿宋_GB2312" w:eastAsia="仿宋_GB2312" w:hint="eastAsia"/>
          <w:sz w:val="28"/>
          <w:szCs w:val="28"/>
        </w:rPr>
      </w:pPr>
      <w:r>
        <w:rPr>
          <w:rFonts w:ascii="仿宋_GB2312" w:eastAsia="仿宋_GB2312" w:hint="eastAsia"/>
          <w:b/>
          <w:bCs/>
          <w:sz w:val="28"/>
          <w:szCs w:val="28"/>
        </w:rPr>
        <w:t>软件和硬件之间的协同作用对于提升用户体验至关重要，或将成为</w:t>
      </w:r>
      <w:proofErr w:type="gramStart"/>
      <w:r>
        <w:rPr>
          <w:rFonts w:ascii="仿宋_GB2312" w:eastAsia="仿宋_GB2312" w:hint="eastAsia"/>
          <w:b/>
          <w:bCs/>
          <w:sz w:val="28"/>
          <w:szCs w:val="28"/>
        </w:rPr>
        <w:t>低空企业</w:t>
      </w:r>
      <w:proofErr w:type="gramEnd"/>
      <w:r>
        <w:rPr>
          <w:rFonts w:ascii="仿宋_GB2312" w:eastAsia="仿宋_GB2312" w:hint="eastAsia"/>
          <w:b/>
          <w:bCs/>
          <w:sz w:val="28"/>
          <w:szCs w:val="28"/>
        </w:rPr>
        <w:t>的产品战略。</w:t>
      </w:r>
      <w:r>
        <w:rPr>
          <w:rFonts w:ascii="仿宋_GB2312" w:eastAsia="仿宋_GB2312" w:hint="eastAsia"/>
          <w:sz w:val="28"/>
          <w:szCs w:val="28"/>
        </w:rPr>
        <w:t>硬件产品能够有效形成业务壁垒，而软件迭代速度快且可以有效满足用户的个性化部署需求，二者协同能够形成</w:t>
      </w:r>
      <w:r>
        <w:rPr>
          <w:rFonts w:ascii="仿宋_GB2312" w:eastAsia="仿宋_GB2312" w:hint="eastAsia"/>
          <w:sz w:val="28"/>
          <w:szCs w:val="28"/>
        </w:rPr>
        <w:lastRenderedPageBreak/>
        <w:t>有效的解决方案。目前，处于行业龙头、战略融资等各阶段的</w:t>
      </w:r>
      <w:proofErr w:type="gramStart"/>
      <w:r>
        <w:rPr>
          <w:rFonts w:ascii="仿宋_GB2312" w:eastAsia="仿宋_GB2312" w:hint="eastAsia"/>
          <w:sz w:val="28"/>
          <w:szCs w:val="28"/>
        </w:rPr>
        <w:t>低空企业</w:t>
      </w:r>
      <w:proofErr w:type="gramEnd"/>
      <w:r>
        <w:rPr>
          <w:rFonts w:ascii="仿宋_GB2312" w:eastAsia="仿宋_GB2312" w:hint="eastAsia"/>
          <w:sz w:val="28"/>
          <w:szCs w:val="28"/>
        </w:rPr>
        <w:t>均积极布局软硬件协同的产品生态体系，推动自身成为一站</w:t>
      </w:r>
      <w:proofErr w:type="gramStart"/>
      <w:r>
        <w:rPr>
          <w:rFonts w:ascii="仿宋_GB2312" w:eastAsia="仿宋_GB2312" w:hint="eastAsia"/>
          <w:sz w:val="28"/>
          <w:szCs w:val="28"/>
        </w:rPr>
        <w:t>式解决</w:t>
      </w:r>
      <w:proofErr w:type="gramEnd"/>
      <w:r>
        <w:rPr>
          <w:rFonts w:ascii="仿宋_GB2312" w:eastAsia="仿宋_GB2312" w:hint="eastAsia"/>
          <w:sz w:val="28"/>
          <w:szCs w:val="28"/>
        </w:rPr>
        <w:t>方案提供商。如行业龙头</w:t>
      </w:r>
      <w:proofErr w:type="gramStart"/>
      <w:r>
        <w:rPr>
          <w:rFonts w:ascii="仿宋_GB2312" w:eastAsia="仿宋_GB2312" w:hint="eastAsia"/>
          <w:sz w:val="28"/>
          <w:szCs w:val="28"/>
        </w:rPr>
        <w:t>企业大疆的</w:t>
      </w:r>
      <w:proofErr w:type="gramEnd"/>
      <w:r>
        <w:rPr>
          <w:rFonts w:ascii="仿宋_GB2312" w:eastAsia="仿宋_GB2312" w:hint="eastAsia"/>
          <w:sz w:val="28"/>
          <w:szCs w:val="28"/>
        </w:rPr>
        <w:t>产品体系包含无人机整机、载荷等硬件，同时为自身硬件产品打造了适配的软件平台。刚完成A轮融资的海鸥飞行汽车，其产品包括飞行汽车、地面监控指挥服务系统等，为飞行业务开展支撑。软硬件协同可形成完整的生态体系，帮助用户获得更好、更流畅、更高效解决方案，形成企业自身的护城河。已成立或新入局的</w:t>
      </w:r>
      <w:proofErr w:type="gramStart"/>
      <w:r>
        <w:rPr>
          <w:rFonts w:ascii="仿宋_GB2312" w:eastAsia="仿宋_GB2312" w:hint="eastAsia"/>
          <w:sz w:val="28"/>
          <w:szCs w:val="28"/>
        </w:rPr>
        <w:t>低空企业</w:t>
      </w:r>
      <w:proofErr w:type="gramEnd"/>
      <w:r>
        <w:rPr>
          <w:rFonts w:ascii="仿宋_GB2312" w:eastAsia="仿宋_GB2312" w:hint="eastAsia"/>
          <w:sz w:val="28"/>
          <w:szCs w:val="28"/>
        </w:rPr>
        <w:t>为获取市场份额，或将转向或采取此类产品路线。</w:t>
      </w:r>
    </w:p>
    <w:p w14:paraId="3FF5DFF5" w14:textId="77777777" w:rsidR="004566CD" w:rsidRDefault="004566CD" w:rsidP="004566CD">
      <w:pPr>
        <w:pStyle w:val="2"/>
        <w:numPr>
          <w:ilvl w:val="0"/>
          <w:numId w:val="1"/>
        </w:numPr>
        <w:spacing w:before="156" w:after="156"/>
      </w:pPr>
      <w:r>
        <w:rPr>
          <w:rFonts w:hint="eastAsia"/>
        </w:rPr>
        <w:t>低空领域标准研究持续开展，标准体系将逐步完善</w:t>
      </w:r>
    </w:p>
    <w:p w14:paraId="569D9C9C" w14:textId="77777777" w:rsidR="004566CD" w:rsidRDefault="004566CD" w:rsidP="004566CD">
      <w:pPr>
        <w:spacing w:before="156" w:after="156"/>
        <w:ind w:firstLineChars="200" w:firstLine="562"/>
        <w:rPr>
          <w:rFonts w:ascii="仿宋_GB2312" w:eastAsia="仿宋_GB2312" w:hint="eastAsia"/>
          <w:sz w:val="28"/>
          <w:szCs w:val="28"/>
        </w:rPr>
      </w:pPr>
      <w:r>
        <w:rPr>
          <w:rFonts w:ascii="仿宋_GB2312" w:eastAsia="仿宋_GB2312" w:hint="eastAsia"/>
          <w:b/>
          <w:bCs/>
          <w:sz w:val="28"/>
          <w:szCs w:val="28"/>
        </w:rPr>
        <w:t>低空领域标准研究持续开展，标准文件逐步出台，行业将逐渐进入标准化发展阶段。</w:t>
      </w:r>
      <w:r>
        <w:rPr>
          <w:rFonts w:ascii="仿宋_GB2312" w:eastAsia="仿宋_GB2312" w:hint="eastAsia"/>
          <w:sz w:val="28"/>
          <w:szCs w:val="28"/>
        </w:rPr>
        <w:t>早期，我国发布《</w:t>
      </w:r>
      <w:r>
        <w:rPr>
          <w:rFonts w:ascii="仿宋_GB2312" w:eastAsia="仿宋_GB2312"/>
          <w:sz w:val="28"/>
          <w:szCs w:val="28"/>
        </w:rPr>
        <w:t>无人驾驶航空器系统术语</w:t>
      </w:r>
      <w:r>
        <w:rPr>
          <w:rFonts w:ascii="仿宋_GB2312" w:eastAsia="仿宋_GB2312" w:hint="eastAsia"/>
          <w:sz w:val="28"/>
          <w:szCs w:val="28"/>
        </w:rPr>
        <w:t>》等国家标准，今年已推出</w:t>
      </w:r>
      <w:r>
        <w:rPr>
          <w:rFonts w:ascii="仿宋_GB2312" w:eastAsia="仿宋_GB2312"/>
          <w:sz w:val="28"/>
          <w:szCs w:val="28"/>
        </w:rPr>
        <w:t>《民用无人驾驶航空器系统安全要求》</w:t>
      </w:r>
      <w:r>
        <w:rPr>
          <w:rFonts w:ascii="仿宋_GB2312" w:eastAsia="仿宋_GB2312" w:hint="eastAsia"/>
          <w:sz w:val="28"/>
          <w:szCs w:val="28"/>
        </w:rPr>
        <w:t>、《电动垂直起降航空器（eVTOL）起降场技术要求》等低空装备产品与基础设施的相关国家标准与团体标准。近期，</w:t>
      </w:r>
      <w:r>
        <w:rPr>
          <w:rFonts w:ascii="仿宋_GB2312" w:eastAsia="仿宋_GB2312"/>
          <w:sz w:val="28"/>
          <w:szCs w:val="28"/>
        </w:rPr>
        <w:t>交通部</w:t>
      </w:r>
      <w:r>
        <w:rPr>
          <w:rFonts w:ascii="仿宋_GB2312" w:eastAsia="仿宋_GB2312" w:hint="eastAsia"/>
          <w:sz w:val="28"/>
          <w:szCs w:val="28"/>
        </w:rPr>
        <w:t>、气象局、民航局等部门均着眼低空经济，分别聚焦</w:t>
      </w:r>
      <w:r>
        <w:rPr>
          <w:rFonts w:ascii="仿宋_GB2312" w:eastAsia="仿宋_GB2312"/>
          <w:sz w:val="28"/>
          <w:szCs w:val="28"/>
        </w:rPr>
        <w:t>低空</w:t>
      </w:r>
      <w:r>
        <w:rPr>
          <w:rFonts w:ascii="仿宋_GB2312" w:eastAsia="仿宋_GB2312" w:hint="eastAsia"/>
          <w:sz w:val="28"/>
          <w:szCs w:val="28"/>
        </w:rPr>
        <w:t>物流</w:t>
      </w:r>
      <w:r>
        <w:rPr>
          <w:rFonts w:ascii="仿宋_GB2312" w:eastAsia="仿宋_GB2312"/>
          <w:sz w:val="28"/>
          <w:szCs w:val="28"/>
        </w:rPr>
        <w:t>标准规范</w:t>
      </w:r>
      <w:r>
        <w:rPr>
          <w:rFonts w:ascii="仿宋_GB2312" w:eastAsia="仿宋_GB2312" w:hint="eastAsia"/>
          <w:sz w:val="28"/>
          <w:szCs w:val="28"/>
        </w:rPr>
        <w:t>、低空气象理论和标准研究、时空网格标准规范等，预计将于明年起陆续发布，以保障并推动无人机、eVTOL等飞行器开展大规模应用。与此同时，各地方政府也参与到</w:t>
      </w:r>
      <w:proofErr w:type="gramStart"/>
      <w:r>
        <w:rPr>
          <w:rFonts w:ascii="仿宋_GB2312" w:eastAsia="仿宋_GB2312" w:hint="eastAsia"/>
          <w:sz w:val="28"/>
          <w:szCs w:val="28"/>
        </w:rPr>
        <w:t>低空经济</w:t>
      </w:r>
      <w:proofErr w:type="gramEnd"/>
      <w:r>
        <w:rPr>
          <w:rFonts w:ascii="仿宋_GB2312" w:eastAsia="仿宋_GB2312" w:hint="eastAsia"/>
          <w:sz w:val="28"/>
          <w:szCs w:val="28"/>
        </w:rPr>
        <w:t>标准化建设过程，推进</w:t>
      </w:r>
      <w:proofErr w:type="gramStart"/>
      <w:r>
        <w:rPr>
          <w:rFonts w:ascii="仿宋_GB2312" w:eastAsia="仿宋_GB2312" w:hint="eastAsia"/>
          <w:sz w:val="28"/>
          <w:szCs w:val="28"/>
        </w:rPr>
        <w:t>低空经济</w:t>
      </w:r>
      <w:proofErr w:type="gramEnd"/>
      <w:r>
        <w:rPr>
          <w:rFonts w:ascii="仿宋_GB2312" w:eastAsia="仿宋_GB2312" w:hint="eastAsia"/>
          <w:sz w:val="28"/>
          <w:szCs w:val="28"/>
        </w:rPr>
        <w:t>相关标准制定。苏州市监局于2024年印发《苏州市低空经济系统标准体系建设指南》，提出苏州市</w:t>
      </w:r>
      <w:proofErr w:type="gramStart"/>
      <w:r>
        <w:rPr>
          <w:rFonts w:ascii="仿宋_GB2312" w:eastAsia="仿宋_GB2312" w:hint="eastAsia"/>
          <w:sz w:val="28"/>
          <w:szCs w:val="28"/>
        </w:rPr>
        <w:t>低空经济</w:t>
      </w:r>
      <w:proofErr w:type="gramEnd"/>
      <w:r>
        <w:rPr>
          <w:rFonts w:ascii="仿宋_GB2312" w:eastAsia="仿宋_GB2312" w:hint="eastAsia"/>
          <w:sz w:val="28"/>
          <w:szCs w:val="28"/>
        </w:rPr>
        <w:t>系统标准体系框架。未来，</w:t>
      </w:r>
      <w:r>
        <w:rPr>
          <w:rFonts w:ascii="仿宋_GB2312" w:eastAsia="仿宋_GB2312"/>
          <w:sz w:val="28"/>
          <w:szCs w:val="28"/>
        </w:rPr>
        <w:t>我国</w:t>
      </w:r>
      <w:r>
        <w:rPr>
          <w:rFonts w:ascii="仿宋_GB2312" w:eastAsia="仿宋_GB2312" w:hint="eastAsia"/>
          <w:sz w:val="28"/>
          <w:szCs w:val="28"/>
        </w:rPr>
        <w:t>预计将</w:t>
      </w:r>
      <w:r>
        <w:rPr>
          <w:rFonts w:ascii="仿宋_GB2312" w:eastAsia="仿宋_GB2312"/>
          <w:sz w:val="28"/>
          <w:szCs w:val="28"/>
        </w:rPr>
        <w:t>在</w:t>
      </w:r>
      <w:r>
        <w:rPr>
          <w:rFonts w:ascii="仿宋_GB2312" w:eastAsia="仿宋_GB2312" w:hint="eastAsia"/>
          <w:sz w:val="28"/>
          <w:szCs w:val="28"/>
        </w:rPr>
        <w:t>低空</w:t>
      </w:r>
      <w:r>
        <w:rPr>
          <w:rFonts w:ascii="仿宋_GB2312" w:eastAsia="仿宋_GB2312"/>
          <w:sz w:val="28"/>
          <w:szCs w:val="28"/>
        </w:rPr>
        <w:t>领域</w:t>
      </w:r>
      <w:r>
        <w:rPr>
          <w:rFonts w:ascii="仿宋_GB2312" w:eastAsia="仿宋_GB2312" w:hint="eastAsia"/>
          <w:sz w:val="28"/>
          <w:szCs w:val="28"/>
        </w:rPr>
        <w:t>逐渐</w:t>
      </w:r>
      <w:r>
        <w:rPr>
          <w:rFonts w:ascii="仿宋_GB2312" w:eastAsia="仿宋_GB2312"/>
          <w:sz w:val="28"/>
          <w:szCs w:val="28"/>
        </w:rPr>
        <w:t>推进国家、</w:t>
      </w:r>
      <w:r>
        <w:rPr>
          <w:rFonts w:ascii="仿宋_GB2312" w:eastAsia="仿宋_GB2312" w:hint="eastAsia"/>
          <w:sz w:val="28"/>
          <w:szCs w:val="28"/>
        </w:rPr>
        <w:t>团体</w:t>
      </w:r>
      <w:r>
        <w:rPr>
          <w:rFonts w:ascii="仿宋_GB2312" w:eastAsia="仿宋_GB2312"/>
          <w:sz w:val="28"/>
          <w:szCs w:val="28"/>
        </w:rPr>
        <w:t>等各级各类标准</w:t>
      </w:r>
      <w:r>
        <w:rPr>
          <w:rFonts w:ascii="仿宋_GB2312" w:eastAsia="仿宋_GB2312" w:hint="eastAsia"/>
          <w:sz w:val="28"/>
          <w:szCs w:val="28"/>
        </w:rPr>
        <w:t>，推动低空产业的</w:t>
      </w:r>
      <w:r>
        <w:rPr>
          <w:rFonts w:ascii="仿宋_GB2312" w:eastAsia="仿宋_GB2312"/>
          <w:sz w:val="28"/>
          <w:szCs w:val="28"/>
        </w:rPr>
        <w:t>标准体系持</w:t>
      </w:r>
      <w:r>
        <w:rPr>
          <w:rFonts w:ascii="仿宋_GB2312" w:eastAsia="仿宋_GB2312"/>
          <w:sz w:val="28"/>
          <w:szCs w:val="28"/>
        </w:rPr>
        <w:lastRenderedPageBreak/>
        <w:t>续建设和</w:t>
      </w:r>
      <w:r>
        <w:rPr>
          <w:rFonts w:ascii="仿宋_GB2312" w:eastAsia="仿宋_GB2312" w:hint="eastAsia"/>
          <w:sz w:val="28"/>
          <w:szCs w:val="28"/>
        </w:rPr>
        <w:t>完善。</w:t>
      </w:r>
    </w:p>
    <w:p w14:paraId="778DE802" w14:textId="77777777" w:rsidR="004566CD" w:rsidRDefault="004566CD" w:rsidP="004566CD">
      <w:pPr>
        <w:spacing w:before="156" w:after="156"/>
        <w:rPr>
          <w:rFonts w:ascii="仿宋_GB2312" w:eastAsia="仿宋_GB2312" w:hint="eastAsia"/>
          <w:sz w:val="28"/>
          <w:szCs w:val="28"/>
        </w:rPr>
      </w:pPr>
    </w:p>
    <w:p w14:paraId="5D709597" w14:textId="77777777" w:rsidR="009477A0" w:rsidRPr="004566CD" w:rsidRDefault="009477A0">
      <w:pPr>
        <w:spacing w:before="156" w:after="156"/>
        <w:rPr>
          <w:rFonts w:hint="eastAsia"/>
        </w:rPr>
      </w:pPr>
    </w:p>
    <w:sectPr w:rsidR="009477A0" w:rsidRPr="004566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9220D"/>
    <w:multiLevelType w:val="multilevel"/>
    <w:tmpl w:val="2CE9220D"/>
    <w:lvl w:ilvl="0">
      <w:start w:val="1"/>
      <w:numFmt w:val="japaneseCounting"/>
      <w:lvlText w:val="%1、"/>
      <w:lvlJc w:val="left"/>
      <w:pPr>
        <w:ind w:left="576" w:hanging="576"/>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9319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CD"/>
    <w:rsid w:val="00120C93"/>
    <w:rsid w:val="004566CD"/>
    <w:rsid w:val="00523538"/>
    <w:rsid w:val="005828A0"/>
    <w:rsid w:val="0079323A"/>
    <w:rsid w:val="009477A0"/>
    <w:rsid w:val="00C845EB"/>
    <w:rsid w:val="00D82780"/>
    <w:rsid w:val="00F36FDE"/>
    <w:rsid w:val="00F67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CCCF"/>
  <w15:chartTrackingRefBased/>
  <w15:docId w15:val="{58047948-F438-4286-9D99-D8C4C7AF1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6CD"/>
    <w:pPr>
      <w:widowControl w:val="0"/>
      <w:spacing w:beforeLines="50" w:before="50" w:afterLines="50" w:after="50" w:line="288" w:lineRule="auto"/>
      <w:jc w:val="both"/>
    </w:pPr>
  </w:style>
  <w:style w:type="paragraph" w:styleId="1">
    <w:name w:val="heading 1"/>
    <w:basedOn w:val="a"/>
    <w:next w:val="a"/>
    <w:link w:val="10"/>
    <w:autoRedefine/>
    <w:uiPriority w:val="9"/>
    <w:qFormat/>
    <w:rsid w:val="00523538"/>
    <w:pPr>
      <w:keepNext/>
      <w:keepLines/>
      <w:spacing w:line="240" w:lineRule="auto"/>
      <w:outlineLvl w:val="0"/>
    </w:pPr>
    <w:rPr>
      <w:rFonts w:ascii="Times New Roman" w:eastAsia="宋体" w:hAnsi="Times New Roman"/>
      <w:b/>
      <w:bCs/>
      <w:kern w:val="44"/>
      <w:sz w:val="28"/>
      <w:szCs w:val="44"/>
    </w:rPr>
  </w:style>
  <w:style w:type="paragraph" w:styleId="2">
    <w:name w:val="heading 2"/>
    <w:basedOn w:val="a"/>
    <w:next w:val="a"/>
    <w:link w:val="20"/>
    <w:uiPriority w:val="9"/>
    <w:unhideWhenUsed/>
    <w:qFormat/>
    <w:rsid w:val="00523538"/>
    <w:pPr>
      <w:keepNext/>
      <w:keepLines/>
      <w:spacing w:before="260" w:after="260" w:line="415" w:lineRule="auto"/>
      <w:outlineLvl w:val="1"/>
    </w:pPr>
    <w:rPr>
      <w:rFonts w:ascii="Times New Roman" w:eastAsia="宋体" w:hAnsi="Times New Roman" w:cstheme="majorBidi"/>
      <w:b/>
      <w:bCs/>
      <w:sz w:val="28"/>
      <w:szCs w:val="32"/>
    </w:rPr>
  </w:style>
  <w:style w:type="paragraph" w:styleId="3">
    <w:name w:val="heading 3"/>
    <w:basedOn w:val="a"/>
    <w:next w:val="a"/>
    <w:link w:val="30"/>
    <w:uiPriority w:val="9"/>
    <w:unhideWhenUsed/>
    <w:qFormat/>
    <w:rsid w:val="00523538"/>
    <w:pPr>
      <w:keepNext/>
      <w:keepLines/>
      <w:spacing w:line="415" w:lineRule="auto"/>
      <w:outlineLvl w:val="2"/>
    </w:pPr>
    <w:rPr>
      <w:rFonts w:ascii="Times New Roman" w:eastAsia="宋体" w:hAnsi="Times New Roman"/>
      <w:bCs/>
      <w:sz w:val="24"/>
      <w:szCs w:val="32"/>
    </w:rPr>
  </w:style>
  <w:style w:type="paragraph" w:styleId="4">
    <w:name w:val="heading 4"/>
    <w:basedOn w:val="a"/>
    <w:next w:val="a"/>
    <w:link w:val="40"/>
    <w:uiPriority w:val="9"/>
    <w:unhideWhenUsed/>
    <w:qFormat/>
    <w:rsid w:val="00523538"/>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523538"/>
    <w:rPr>
      <w:rFonts w:ascii="Times New Roman" w:eastAsia="宋体" w:hAnsi="Times New Roman" w:cstheme="majorBidi"/>
      <w:b/>
      <w:bCs/>
      <w:sz w:val="28"/>
      <w:szCs w:val="32"/>
    </w:rPr>
  </w:style>
  <w:style w:type="character" w:customStyle="1" w:styleId="30">
    <w:name w:val="标题 3 字符"/>
    <w:basedOn w:val="a0"/>
    <w:link w:val="3"/>
    <w:uiPriority w:val="9"/>
    <w:rsid w:val="00523538"/>
    <w:rPr>
      <w:rFonts w:ascii="Times New Roman" w:eastAsia="宋体" w:hAnsi="Times New Roman"/>
      <w:bCs/>
      <w:sz w:val="24"/>
      <w:szCs w:val="32"/>
    </w:rPr>
  </w:style>
  <w:style w:type="character" w:customStyle="1" w:styleId="10">
    <w:name w:val="标题 1 字符"/>
    <w:basedOn w:val="a0"/>
    <w:link w:val="1"/>
    <w:uiPriority w:val="9"/>
    <w:rsid w:val="00523538"/>
    <w:rPr>
      <w:rFonts w:ascii="Times New Roman" w:eastAsia="宋体" w:hAnsi="Times New Roman"/>
      <w:b/>
      <w:bCs/>
      <w:kern w:val="44"/>
      <w:sz w:val="28"/>
      <w:szCs w:val="44"/>
    </w:rPr>
  </w:style>
  <w:style w:type="paragraph" w:styleId="a3">
    <w:name w:val="header"/>
    <w:basedOn w:val="a"/>
    <w:link w:val="a4"/>
    <w:uiPriority w:val="99"/>
    <w:unhideWhenUsed/>
    <w:rsid w:val="00523538"/>
    <w:pPr>
      <w:pBdr>
        <w:bottom w:val="single" w:sz="6" w:space="1" w:color="auto"/>
      </w:pBdr>
      <w:tabs>
        <w:tab w:val="center" w:pos="4153"/>
        <w:tab w:val="right" w:pos="8306"/>
      </w:tabs>
      <w:snapToGrid w:val="0"/>
      <w:spacing w:line="240" w:lineRule="auto"/>
      <w:jc w:val="center"/>
    </w:pPr>
    <w:rPr>
      <w:szCs w:val="18"/>
    </w:rPr>
  </w:style>
  <w:style w:type="character" w:customStyle="1" w:styleId="a4">
    <w:name w:val="页眉 字符"/>
    <w:basedOn w:val="a0"/>
    <w:link w:val="a3"/>
    <w:uiPriority w:val="99"/>
    <w:rsid w:val="00523538"/>
    <w:rPr>
      <w:szCs w:val="18"/>
    </w:rPr>
  </w:style>
  <w:style w:type="paragraph" w:styleId="a5">
    <w:name w:val="footer"/>
    <w:basedOn w:val="a"/>
    <w:link w:val="a6"/>
    <w:uiPriority w:val="99"/>
    <w:unhideWhenUsed/>
    <w:rsid w:val="00523538"/>
    <w:pPr>
      <w:tabs>
        <w:tab w:val="center" w:pos="4153"/>
        <w:tab w:val="right" w:pos="8306"/>
      </w:tabs>
      <w:snapToGrid w:val="0"/>
      <w:spacing w:line="240" w:lineRule="auto"/>
      <w:jc w:val="left"/>
    </w:pPr>
    <w:rPr>
      <w:szCs w:val="18"/>
    </w:rPr>
  </w:style>
  <w:style w:type="character" w:customStyle="1" w:styleId="a6">
    <w:name w:val="页脚 字符"/>
    <w:basedOn w:val="a0"/>
    <w:link w:val="a5"/>
    <w:uiPriority w:val="99"/>
    <w:rsid w:val="00523538"/>
    <w:rPr>
      <w:szCs w:val="18"/>
    </w:rPr>
  </w:style>
  <w:style w:type="character" w:customStyle="1" w:styleId="40">
    <w:name w:val="标题 4 字符"/>
    <w:basedOn w:val="a0"/>
    <w:link w:val="4"/>
    <w:uiPriority w:val="9"/>
    <w:rsid w:val="00523538"/>
    <w:rPr>
      <w:rFonts w:asciiTheme="majorHAnsi" w:eastAsiaTheme="majorEastAsia" w:hAnsiTheme="majorHAnsi" w:cstheme="majorBidi"/>
      <w:b/>
      <w:bCs/>
      <w:szCs w:val="28"/>
    </w:rPr>
  </w:style>
  <w:style w:type="paragraph" w:styleId="a7">
    <w:name w:val="List Paragraph"/>
    <w:basedOn w:val="a"/>
    <w:uiPriority w:val="34"/>
    <w:qFormat/>
    <w:rsid w:val="00523538"/>
    <w:pPr>
      <w:ind w:firstLineChars="200" w:firstLine="420"/>
    </w:pPr>
  </w:style>
  <w:style w:type="paragraph" w:styleId="a8">
    <w:name w:val="annotation text"/>
    <w:basedOn w:val="a"/>
    <w:link w:val="a9"/>
    <w:uiPriority w:val="99"/>
    <w:semiHidden/>
    <w:unhideWhenUsed/>
    <w:qFormat/>
    <w:rsid w:val="004566CD"/>
    <w:pPr>
      <w:jc w:val="left"/>
    </w:pPr>
  </w:style>
  <w:style w:type="character" w:customStyle="1" w:styleId="a9">
    <w:name w:val="批注文字 字符"/>
    <w:basedOn w:val="a0"/>
    <w:link w:val="a8"/>
    <w:uiPriority w:val="99"/>
    <w:semiHidden/>
    <w:qFormat/>
    <w:rsid w:val="00456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dc:creator>
  <cp:keywords/>
  <dc:description/>
  <cp:lastModifiedBy>Qin</cp:lastModifiedBy>
  <cp:revision>2</cp:revision>
  <dcterms:created xsi:type="dcterms:W3CDTF">2024-12-25T03:21:00Z</dcterms:created>
  <dcterms:modified xsi:type="dcterms:W3CDTF">2024-12-25T03:43:00Z</dcterms:modified>
</cp:coreProperties>
</file>