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2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5G+智慧电力：规模化特征、主要问题及</w:t>
      </w:r>
    </w:p>
    <w:p>
      <w:pPr>
        <w:ind w:left="3294"/>
        <w:spacing w:before="96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发展建议</w:t>
      </w:r>
    </w:p>
    <w:p>
      <w:pPr>
        <w:ind w:left="2180"/>
        <w:spacing w:before="33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廖文凯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马政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李泰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何菁钦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5" w:right="9" w:firstLine="595"/>
        <w:spacing w:before="97" w:line="335" w:lineRule="auto"/>
        <w:rPr/>
      </w:pPr>
      <w:r>
        <w:rPr>
          <w:rFonts w:ascii="Times New Roman" w:hAnsi="Times New Roman" w:eastAsia="Times New Roman" w:cs="Times New Roman"/>
          <w:spacing w:val="-3"/>
        </w:rPr>
        <w:t>2021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年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月，工信部等十部委联合发布《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应用</w:t>
      </w:r>
      <w:r>
        <w:rPr>
          <w:rFonts w:ascii="Times New Roman" w:hAnsi="Times New Roman" w:eastAsia="Times New Roman" w:cs="Times New Roman"/>
          <w:spacing w:val="-4"/>
        </w:rPr>
        <w:t>“</w:t>
      </w:r>
      <w:r>
        <w:rPr>
          <w:spacing w:val="-4"/>
        </w:rPr>
        <w:t>扬帆</w:t>
      </w:r>
      <w:r>
        <w:rPr>
          <w:rFonts w:ascii="Times New Roman" w:hAnsi="Times New Roman" w:eastAsia="Times New Roman" w:cs="Times New Roman"/>
          <w:spacing w:val="-4"/>
        </w:rPr>
        <w:t>”</w:t>
      </w:r>
      <w:r>
        <w:rPr>
          <w:spacing w:val="-4"/>
        </w:rPr>
        <w:t>行</w:t>
      </w:r>
      <w:r>
        <w:rPr>
          <w:spacing w:val="-13"/>
        </w:rPr>
        <w:t>动计划（</w:t>
      </w:r>
      <w:r>
        <w:rPr>
          <w:rFonts w:ascii="Times New Roman" w:hAnsi="Times New Roman" w:eastAsia="Times New Roman" w:cs="Times New Roman"/>
          <w:spacing w:val="-13"/>
        </w:rPr>
        <w:t>2021-2023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3"/>
        </w:rPr>
        <w:t>年）》，明确提出，到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2023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3"/>
        </w:rPr>
        <w:t>年，我国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3"/>
        </w:rPr>
        <w:t>应用</w:t>
      </w:r>
      <w:r>
        <w:rPr>
          <w:spacing w:val="-20"/>
        </w:rPr>
        <w:t>发展水平显著提升，打造形成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0"/>
        </w:rPr>
        <w:t>IT</w:t>
      </w:r>
      <w:r>
        <w:rPr>
          <w:spacing w:val="-20"/>
        </w:rPr>
        <w:t>（信息技术）、</w:t>
      </w:r>
      <w:r>
        <w:rPr>
          <w:rFonts w:ascii="Times New Roman" w:hAnsi="Times New Roman" w:eastAsia="Times New Roman" w:cs="Times New Roman"/>
          <w:spacing w:val="-20"/>
        </w:rPr>
        <w:t>CT</w:t>
      </w:r>
      <w:r>
        <w:rPr>
          <w:spacing w:val="-20"/>
        </w:rPr>
        <w:t>（通信技术）、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OT</w:t>
      </w:r>
      <w:r>
        <w:rPr>
          <w:spacing w:val="-5"/>
        </w:rPr>
        <w:t>（运营技术）深度融合的新生态，大型</w:t>
      </w:r>
      <w:r>
        <w:rPr>
          <w:spacing w:val="-6"/>
        </w:rPr>
        <w:t>工业企业的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应用渗</w:t>
      </w:r>
      <w:r>
        <w:rPr>
          <w:spacing w:val="-11"/>
        </w:rPr>
        <w:t>透率超过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35%</w:t>
      </w:r>
      <w:r>
        <w:rPr>
          <w:spacing w:val="-11"/>
        </w:rPr>
        <w:t>，电力、采矿等领域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 </w:t>
      </w:r>
      <w:r>
        <w:rPr>
          <w:spacing w:val="-11"/>
        </w:rPr>
        <w:t>应用</w:t>
      </w:r>
      <w:r>
        <w:rPr>
          <w:spacing w:val="-12"/>
        </w:rPr>
        <w:t>实现规模化复制推广。</w:t>
      </w:r>
    </w:p>
    <w:p>
      <w:pPr>
        <w:pStyle w:val="BodyText"/>
        <w:ind w:left="33" w:right="12" w:firstLine="587"/>
        <w:spacing w:before="261" w:line="330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2023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7"/>
        </w:rPr>
        <w:t>年是“扬帆行动”收官之年，本文基于对第</w:t>
      </w:r>
      <w:r>
        <w:rPr>
          <w:spacing w:val="-8"/>
        </w:rPr>
        <w:t>四届、第五</w:t>
      </w:r>
      <w:r>
        <w:rPr>
          <w:spacing w:val="-2"/>
        </w:rPr>
        <w:t>届“绽放杯”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2"/>
        </w:rPr>
        <w:t>应用大赛项目数据的分析，整体性判断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5G+</w:t>
      </w:r>
      <w:r>
        <w:rPr>
          <w:spacing w:val="-2"/>
        </w:rPr>
        <w:t>智</w:t>
      </w:r>
      <w:r>
        <w:rPr>
          <w:spacing w:val="-11"/>
        </w:rPr>
        <w:t>慧电力规模化进程、特征及主要问题，</w:t>
      </w:r>
      <w:r>
        <w:rPr>
          <w:spacing w:val="88"/>
        </w:rPr>
        <w:t xml:space="preserve"> </w:t>
      </w:r>
      <w:r>
        <w:rPr>
          <w:spacing w:val="-11"/>
        </w:rPr>
        <w:t>为推动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1"/>
        </w:rPr>
        <w:t>与</w:t>
      </w:r>
      <w:r>
        <w:rPr>
          <w:spacing w:val="-12"/>
        </w:rPr>
        <w:t>智慧电力的</w:t>
      </w:r>
      <w:r>
        <w:rPr>
          <w:spacing w:val="-5"/>
        </w:rPr>
        <w:t>深度融合提出策略建议。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一、5G+智慧电力规模化特征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7" w:right="11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高度契合电力行业信息化、数字化、智能化发展需求，</w:t>
      </w:r>
      <w:r>
        <w:rPr>
          <w:rFonts w:ascii="SimSun" w:hAnsi="SimSun" w:eastAsia="SimSun" w:cs="SimSun"/>
          <w:sz w:val="30"/>
          <w:szCs w:val="30"/>
          <w:spacing w:val="-6"/>
        </w:rPr>
        <w:t>是推动电力互联网的关键支撑技术之一。德勤研究</w:t>
      </w:r>
      <w:r>
        <w:rPr>
          <w:rFonts w:ascii="SimSun" w:hAnsi="SimSun" w:eastAsia="SimSun" w:cs="SimSun"/>
          <w:sz w:val="30"/>
          <w:szCs w:val="30"/>
          <w:spacing w:val="-7"/>
        </w:rPr>
        <w:t>表明，到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2026</w:t>
      </w:r>
      <w:r>
        <w:rPr>
          <w:rFonts w:ascii="SimSun" w:hAnsi="SimSun" w:eastAsia="SimSun" w:cs="SimSun"/>
          <w:sz w:val="30"/>
          <w:szCs w:val="30"/>
          <w:spacing w:val="-2"/>
        </w:rPr>
        <w:t>年，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SimSun" w:hAnsi="SimSun" w:eastAsia="SimSun" w:cs="SimSun"/>
          <w:sz w:val="30"/>
          <w:szCs w:val="30"/>
          <w:spacing w:val="-2"/>
        </w:rPr>
        <w:t>将为全球十个主要产业带来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1.3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万亿美元</w:t>
      </w:r>
      <w:r>
        <w:rPr>
          <w:rFonts w:ascii="SimSun" w:hAnsi="SimSun" w:eastAsia="SimSun" w:cs="SimSun"/>
          <w:sz w:val="30"/>
          <w:szCs w:val="30"/>
          <w:spacing w:val="-3"/>
        </w:rPr>
        <w:t>的数字化市场</w:t>
      </w:r>
    </w:p>
    <w:p>
      <w:pPr>
        <w:spacing w:line="333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97" w:line="233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规模，其中能源</w:t>
      </w:r>
      <w:r>
        <w:rPr>
          <w:rFonts w:ascii="Times New Roman" w:hAnsi="Times New Roman" w:eastAsia="Times New Roman" w:cs="Times New Roman"/>
          <w:sz w:val="30"/>
          <w:szCs w:val="30"/>
        </w:rPr>
        <w:t>/</w:t>
      </w:r>
      <w:r>
        <w:rPr>
          <w:rFonts w:ascii="SimSun" w:hAnsi="SimSun" w:eastAsia="SimSun" w:cs="SimSun"/>
          <w:sz w:val="30"/>
          <w:szCs w:val="30"/>
        </w:rPr>
        <w:t>公共事业（水、电、燃气等）占</w:t>
      </w:r>
      <w:r>
        <w:rPr>
          <w:rFonts w:ascii="SimSun" w:hAnsi="SimSun" w:eastAsia="SimSun" w:cs="SimSun"/>
          <w:sz w:val="30"/>
          <w:szCs w:val="30"/>
          <w:spacing w:val="-1"/>
        </w:rPr>
        <w:t>比最高（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19%</w:t>
      </w:r>
      <w:r>
        <w:rPr>
          <w:rFonts w:ascii="SimSun" w:hAnsi="SimSun" w:eastAsia="SimSun" w:cs="SimSun"/>
          <w:sz w:val="30"/>
          <w:szCs w:val="30"/>
          <w:spacing w:val="-1"/>
        </w:rPr>
        <w:t>）</w:t>
      </w:r>
    </w:p>
    <w:p>
      <w:pPr>
        <w:ind w:left="19" w:right="129" w:firstLine="31"/>
        <w:spacing w:before="166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8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16"/>
        </w:rPr>
        <w:t>。《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5G </w:t>
      </w:r>
      <w:r>
        <w:rPr>
          <w:rFonts w:ascii="SimSun" w:hAnsi="SimSun" w:eastAsia="SimSun" w:cs="SimSun"/>
          <w:sz w:val="30"/>
          <w:szCs w:val="30"/>
          <w:spacing w:val="-16"/>
        </w:rPr>
        <w:t>应用“扬帆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”行动计划（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2021-2023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年）》强调，深入实施</w:t>
      </w:r>
      <w:r>
        <w:rPr>
          <w:rFonts w:ascii="SimSun" w:hAnsi="SimSun" w:eastAsia="SimSun" w:cs="SimSun"/>
          <w:sz w:val="30"/>
          <w:szCs w:val="30"/>
          <w:spacing w:val="-1"/>
        </w:rPr>
        <w:t>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5G+</w:t>
      </w:r>
      <w:r>
        <w:rPr>
          <w:rFonts w:ascii="SimSun" w:hAnsi="SimSun" w:eastAsia="SimSun" w:cs="SimSun"/>
          <w:sz w:val="30"/>
          <w:szCs w:val="30"/>
          <w:spacing w:val="-1"/>
        </w:rPr>
        <w:t>智慧电力”行业融合应用深化行动，突破电力行业重点场</w:t>
      </w:r>
      <w:r>
        <w:rPr>
          <w:rFonts w:ascii="SimSun" w:hAnsi="SimSun" w:eastAsia="SimSun" w:cs="SimSun"/>
          <w:sz w:val="30"/>
          <w:szCs w:val="30"/>
          <w:spacing w:val="-1"/>
        </w:rPr>
        <w:t>景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确定性时延、授时精度、安全保障等关键技术，搭建融合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 </w:t>
      </w:r>
      <w:r>
        <w:rPr>
          <w:rFonts w:ascii="SimSun" w:hAnsi="SimSun" w:eastAsia="SimSun" w:cs="SimSun"/>
          <w:sz w:val="30"/>
          <w:szCs w:val="30"/>
          <w:spacing w:val="-2"/>
        </w:rPr>
        <w:t>的电力通信管理支撑系统和边缘计算平台。伴随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6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商用部</w:t>
      </w:r>
      <w:r>
        <w:rPr>
          <w:rFonts w:ascii="SimSun" w:hAnsi="SimSun" w:eastAsia="SimSun" w:cs="SimSun"/>
          <w:sz w:val="30"/>
          <w:szCs w:val="30"/>
          <w:spacing w:val="2"/>
        </w:rPr>
        <w:t>署进一步加快，电力行业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5G </w:t>
      </w:r>
      <w:r>
        <w:rPr>
          <w:rFonts w:ascii="SimSun" w:hAnsi="SimSun" w:eastAsia="SimSun" w:cs="SimSun"/>
          <w:sz w:val="30"/>
          <w:szCs w:val="30"/>
          <w:spacing w:val="2"/>
        </w:rPr>
        <w:t>应用场景持</w:t>
      </w:r>
      <w:r>
        <w:rPr>
          <w:rFonts w:ascii="SimSun" w:hAnsi="SimSun" w:eastAsia="SimSun" w:cs="SimSun"/>
          <w:sz w:val="30"/>
          <w:szCs w:val="30"/>
          <w:spacing w:val="1"/>
        </w:rPr>
        <w:t>续拓展，我国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5G+</w:t>
      </w:r>
      <w:r>
        <w:rPr>
          <w:rFonts w:ascii="SimSun" w:hAnsi="SimSun" w:eastAsia="SimSun" w:cs="SimSun"/>
          <w:sz w:val="30"/>
          <w:szCs w:val="30"/>
          <w:spacing w:val="1"/>
        </w:rPr>
        <w:t>智慧</w:t>
      </w:r>
      <w:r>
        <w:rPr>
          <w:rFonts w:ascii="SimSun" w:hAnsi="SimSun" w:eastAsia="SimSun" w:cs="SimSun"/>
          <w:sz w:val="30"/>
          <w:szCs w:val="30"/>
          <w:spacing w:val="-4"/>
        </w:rPr>
        <w:t>电力应用呈规模增长态势。基于“绽放杯”数据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4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5G+</w:t>
      </w:r>
      <w:r>
        <w:rPr>
          <w:rFonts w:ascii="SimSun" w:hAnsi="SimSun" w:eastAsia="SimSun" w:cs="SimSun"/>
          <w:sz w:val="30"/>
          <w:szCs w:val="30"/>
          <w:spacing w:val="-4"/>
        </w:rPr>
        <w:t>智慧电力</w:t>
      </w:r>
      <w:r>
        <w:rPr>
          <w:rFonts w:ascii="SimSun" w:hAnsi="SimSun" w:eastAsia="SimSun" w:cs="SimSun"/>
          <w:sz w:val="30"/>
          <w:szCs w:val="30"/>
          <w:spacing w:val="-1"/>
        </w:rPr>
        <w:t>相关项目由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2021 </w:t>
      </w:r>
      <w:r>
        <w:rPr>
          <w:rFonts w:ascii="SimSun" w:hAnsi="SimSun" w:eastAsia="SimSun" w:cs="SimSun"/>
          <w:sz w:val="30"/>
          <w:szCs w:val="30"/>
          <w:spacing w:val="-1"/>
        </w:rPr>
        <w:t>年的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328 </w:t>
      </w:r>
      <w:r>
        <w:rPr>
          <w:rFonts w:ascii="SimSun" w:hAnsi="SimSun" w:eastAsia="SimSun" w:cs="SimSun"/>
          <w:sz w:val="30"/>
          <w:szCs w:val="30"/>
          <w:spacing w:val="-1"/>
        </w:rPr>
        <w:t>个增长到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 </w:t>
      </w:r>
      <w:r>
        <w:rPr>
          <w:rFonts w:ascii="SimSun" w:hAnsi="SimSun" w:eastAsia="SimSun" w:cs="SimSun"/>
          <w:sz w:val="30"/>
          <w:szCs w:val="30"/>
          <w:spacing w:val="-1"/>
        </w:rPr>
        <w:t>年的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809 </w:t>
      </w:r>
      <w:r>
        <w:rPr>
          <w:rFonts w:ascii="SimSun" w:hAnsi="SimSun" w:eastAsia="SimSun" w:cs="SimSun"/>
          <w:sz w:val="30"/>
          <w:szCs w:val="30"/>
          <w:spacing w:val="-1"/>
        </w:rPr>
        <w:t>个，增长率达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147%</w:t>
      </w:r>
      <w:r>
        <w:rPr>
          <w:rFonts w:ascii="SimSun" w:hAnsi="SimSun" w:eastAsia="SimSun" w:cs="SimSun"/>
          <w:sz w:val="30"/>
          <w:szCs w:val="30"/>
          <w:spacing w:val="2"/>
        </w:rPr>
        <w:t>。</w:t>
      </w:r>
    </w:p>
    <w:p>
      <w:pPr>
        <w:ind w:left="650"/>
        <w:spacing w:before="25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．应用领域：分环节、分阶段补齐转型发展短板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40" w:right="127" w:firstLine="603"/>
        <w:spacing w:before="97" w:line="33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从应用领域看，我国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</w:t>
      </w:r>
      <w:r>
        <w:rPr>
          <w:rFonts w:ascii="SimSun" w:hAnsi="SimSun" w:eastAsia="SimSun" w:cs="SimSun"/>
          <w:sz w:val="30"/>
          <w:szCs w:val="30"/>
          <w:spacing w:val="-5"/>
        </w:rPr>
        <w:t>智慧电力应用正处于分环节、分阶</w:t>
      </w:r>
      <w:r>
        <w:rPr>
          <w:rFonts w:ascii="SimSun" w:hAnsi="SimSun" w:eastAsia="SimSun" w:cs="SimSun"/>
          <w:sz w:val="30"/>
          <w:szCs w:val="30"/>
          <w:spacing w:val="-4"/>
        </w:rPr>
        <w:t>段补齐转型发展短板阶段。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2021 </w:t>
      </w:r>
      <w:r>
        <w:rPr>
          <w:rFonts w:ascii="SimSun" w:hAnsi="SimSun" w:eastAsia="SimSun" w:cs="SimSun"/>
          <w:sz w:val="30"/>
          <w:szCs w:val="30"/>
          <w:spacing w:val="-4"/>
        </w:rPr>
        <w:t>年发电环节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 </w:t>
      </w:r>
      <w:r>
        <w:rPr>
          <w:rFonts w:ascii="SimSun" w:hAnsi="SimSun" w:eastAsia="SimSun" w:cs="SimSun"/>
          <w:sz w:val="30"/>
          <w:szCs w:val="30"/>
          <w:spacing w:val="-4"/>
        </w:rPr>
        <w:t>应用数量和获奖</w:t>
      </w:r>
      <w:r>
        <w:rPr>
          <w:rFonts w:ascii="SimSun" w:hAnsi="SimSun" w:eastAsia="SimSun" w:cs="SimSun"/>
          <w:sz w:val="30"/>
          <w:szCs w:val="30"/>
          <w:spacing w:val="-9"/>
        </w:rPr>
        <w:t>数量不及输配电环节，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2022 </w:t>
      </w:r>
      <w:r>
        <w:rPr>
          <w:rFonts w:ascii="SimSun" w:hAnsi="SimSun" w:eastAsia="SimSun" w:cs="SimSun"/>
          <w:sz w:val="30"/>
          <w:szCs w:val="30"/>
          <w:spacing w:val="-9"/>
        </w:rPr>
        <w:t>年均实现反超。过去两年，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发电环节</w:t>
      </w:r>
      <w:r>
        <w:rPr>
          <w:rFonts w:ascii="SimSun" w:hAnsi="SimSun" w:eastAsia="SimSun" w:cs="SimSun"/>
          <w:sz w:val="30"/>
          <w:szCs w:val="30"/>
          <w:spacing w:val="-8"/>
        </w:rPr>
        <w:t>项目数量从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129 </w:t>
      </w:r>
      <w:r>
        <w:rPr>
          <w:rFonts w:ascii="SimSun" w:hAnsi="SimSun" w:eastAsia="SimSun" w:cs="SimSun"/>
          <w:sz w:val="30"/>
          <w:szCs w:val="30"/>
          <w:spacing w:val="-8"/>
        </w:rPr>
        <w:t>个增长到</w:t>
      </w:r>
      <w:r>
        <w:rPr>
          <w:rFonts w:ascii="SimSun" w:hAnsi="SimSun" w:eastAsia="SimSun" w:cs="SimSun"/>
          <w:sz w:val="30"/>
          <w:szCs w:val="30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383 </w:t>
      </w:r>
      <w:r>
        <w:rPr>
          <w:rFonts w:ascii="SimSun" w:hAnsi="SimSun" w:eastAsia="SimSun" w:cs="SimSun"/>
          <w:sz w:val="30"/>
          <w:szCs w:val="30"/>
          <w:spacing w:val="-8"/>
        </w:rPr>
        <w:t>个，获奖数量从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6 </w:t>
      </w:r>
      <w:r>
        <w:rPr>
          <w:rFonts w:ascii="SimSun" w:hAnsi="SimSun" w:eastAsia="SimSun" w:cs="SimSun"/>
          <w:sz w:val="30"/>
          <w:szCs w:val="30"/>
          <w:spacing w:val="-8"/>
        </w:rPr>
        <w:t>个增长到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 </w:t>
      </w:r>
      <w:r>
        <w:rPr>
          <w:rFonts w:ascii="SimSun" w:hAnsi="SimSun" w:eastAsia="SimSun" w:cs="SimSun"/>
          <w:sz w:val="30"/>
          <w:szCs w:val="30"/>
          <w:spacing w:val="-8"/>
        </w:rPr>
        <w:t>个。</w:t>
      </w:r>
      <w:r>
        <w:rPr>
          <w:rFonts w:ascii="SimSun" w:hAnsi="SimSun" w:eastAsia="SimSun" w:cs="SimSun"/>
          <w:sz w:val="30"/>
          <w:szCs w:val="30"/>
          <w:spacing w:val="-5"/>
        </w:rPr>
        <w:t>此外，智能化、安全和低碳也成为部分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</w:t>
      </w:r>
      <w:r>
        <w:rPr>
          <w:rFonts w:ascii="SimSun" w:hAnsi="SimSun" w:eastAsia="SimSun" w:cs="SimSun"/>
          <w:sz w:val="30"/>
          <w:szCs w:val="30"/>
          <w:spacing w:val="-5"/>
        </w:rPr>
        <w:t>智慧电力应用项目的</w:t>
      </w:r>
      <w:r>
        <w:rPr>
          <w:rFonts w:ascii="SimSun" w:hAnsi="SimSun" w:eastAsia="SimSun" w:cs="SimSun"/>
          <w:sz w:val="30"/>
          <w:szCs w:val="30"/>
          <w:spacing w:val="-2"/>
        </w:rPr>
        <w:t>核心主题，相关项目数量由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2021 </w:t>
      </w:r>
      <w:r>
        <w:rPr>
          <w:rFonts w:ascii="SimSun" w:hAnsi="SimSun" w:eastAsia="SimSun" w:cs="SimSun"/>
          <w:sz w:val="30"/>
          <w:szCs w:val="30"/>
          <w:spacing w:val="-2"/>
        </w:rPr>
        <w:t>年的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37 </w:t>
      </w:r>
      <w:r>
        <w:rPr>
          <w:rFonts w:ascii="SimSun" w:hAnsi="SimSun" w:eastAsia="SimSun" w:cs="SimSun"/>
          <w:sz w:val="30"/>
          <w:szCs w:val="30"/>
          <w:spacing w:val="-2"/>
        </w:rPr>
        <w:t>个提升到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年的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97</w:t>
      </w:r>
      <w:r>
        <w:rPr>
          <w:rFonts w:ascii="SimSun" w:hAnsi="SimSun" w:eastAsia="SimSun" w:cs="SimSun"/>
          <w:sz w:val="30"/>
          <w:szCs w:val="30"/>
          <w:spacing w:val="-14"/>
        </w:rPr>
        <w:t>个。</w:t>
      </w:r>
    </w:p>
    <w:p>
      <w:pPr>
        <w:ind w:left="75" w:right="132" w:firstLine="562"/>
        <w:spacing w:before="295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．地域分布：集中于经济发达地区，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5G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应用水平与地区发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电能力不匹配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5" w:right="130" w:firstLine="598"/>
        <w:spacing w:before="99" w:line="343" w:lineRule="auto"/>
        <w:rPr>
          <w:rFonts w:ascii="SimSun" w:hAnsi="SimSun" w:eastAsia="SimSun" w:cs="SimSun"/>
          <w:sz w:val="30"/>
          <w:szCs w:val="30"/>
        </w:rPr>
      </w:pPr>
      <w:r>
        <w:pict>
          <v:shape id="_x0000_s4" style="position:absolute;margin-left:1.43999pt;margin-top:63.524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2"/>
        </w:rPr>
        <w:t>从地域分布看，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5G+</w:t>
      </w:r>
      <w:r>
        <w:rPr>
          <w:rFonts w:ascii="SimSun" w:hAnsi="SimSun" w:eastAsia="SimSun" w:cs="SimSun"/>
          <w:sz w:val="30"/>
          <w:szCs w:val="30"/>
          <w:spacing w:val="-2"/>
        </w:rPr>
        <w:t>智慧电力应用高度集中于东、中部经济</w:t>
      </w:r>
      <w:r>
        <w:rPr>
          <w:rFonts w:ascii="SimSun" w:hAnsi="SimSun" w:eastAsia="SimSun" w:cs="SimSun"/>
          <w:sz w:val="30"/>
          <w:szCs w:val="30"/>
          <w:spacing w:val="-1"/>
        </w:rPr>
        <w:t>发达地区，广东、山东、浙江、河南和河北五省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年项目占</w:t>
      </w:r>
    </w:p>
    <w:p>
      <w:pPr>
        <w:ind w:left="41"/>
        <w:spacing w:before="196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1"/>
          <w:szCs w:val="11"/>
          <w:spacing w:val="-2"/>
          <w:position w:val="10"/>
        </w:rPr>
        <w:t>1  </w:t>
      </w:r>
      <w:r>
        <w:rPr>
          <w:rFonts w:ascii="SimSun" w:hAnsi="SimSun" w:eastAsia="SimSun" w:cs="SimSun"/>
          <w:sz w:val="21"/>
          <w:szCs w:val="21"/>
          <w:spacing w:val="-2"/>
        </w:rPr>
        <w:t>资料来源于德勤《5G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赋能未来电力》</w:t>
      </w:r>
    </w:p>
    <w:p>
      <w:pPr>
        <w:ind w:left="39" w:right="294" w:hanging="5"/>
        <w:spacing w:before="2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1"/>
          <w:szCs w:val="11"/>
          <w:spacing w:val="-2"/>
          <w:position w:val="10"/>
        </w:rPr>
        <w:t>2</w:t>
      </w:r>
      <w:r>
        <w:rPr>
          <w:rFonts w:ascii="SimSun" w:hAnsi="SimSun" w:eastAsia="SimSun" w:cs="SimSun"/>
          <w:sz w:val="11"/>
          <w:szCs w:val="11"/>
          <w:spacing w:val="62"/>
          <w:position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“绽放杯</w:t>
      </w:r>
      <w:r>
        <w:rPr>
          <w:rFonts w:ascii="SimSun" w:hAnsi="SimSun" w:eastAsia="SimSun" w:cs="SimSun"/>
          <w:sz w:val="21"/>
          <w:szCs w:val="21"/>
          <w:color w:val="333333"/>
          <w:spacing w:val="-8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”是由工信部主办的国内最具影响力的全国性</w:t>
      </w:r>
      <w:r>
        <w:rPr>
          <w:rFonts w:ascii="SimSun" w:hAnsi="SimSun" w:eastAsia="SimSun" w:cs="SimSun"/>
          <w:sz w:val="21"/>
          <w:szCs w:val="21"/>
          <w:color w:val="333333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5G</w:t>
      </w:r>
      <w:r>
        <w:rPr>
          <w:rFonts w:ascii="SimSun" w:hAnsi="SimSun" w:eastAsia="SimSun" w:cs="SimSun"/>
          <w:sz w:val="21"/>
          <w:szCs w:val="21"/>
          <w:color w:val="333333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应用赛事，自</w:t>
      </w:r>
      <w:r>
        <w:rPr>
          <w:rFonts w:ascii="SimSun" w:hAnsi="SimSun" w:eastAsia="SimSun" w:cs="SimSun"/>
          <w:sz w:val="21"/>
          <w:szCs w:val="21"/>
          <w:color w:val="333333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2018</w:t>
      </w:r>
      <w:r>
        <w:rPr>
          <w:rFonts w:ascii="SimSun" w:hAnsi="SimSun" w:eastAsia="SimSun" w:cs="SimSun"/>
          <w:sz w:val="21"/>
          <w:szCs w:val="21"/>
          <w:color w:val="333333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年起已连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续举办五届，基本反映我国</w:t>
      </w:r>
      <w:r>
        <w:rPr>
          <w:rFonts w:ascii="SimSun" w:hAnsi="SimSun" w:eastAsia="SimSun" w:cs="SimSun"/>
          <w:sz w:val="21"/>
          <w:szCs w:val="21"/>
          <w:color w:val="333333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5G</w:t>
      </w:r>
      <w:r>
        <w:rPr>
          <w:rFonts w:ascii="SimSun" w:hAnsi="SimSun" w:eastAsia="SimSun" w:cs="SimSun"/>
          <w:sz w:val="21"/>
          <w:szCs w:val="21"/>
          <w:color w:val="333333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333333"/>
          <w:spacing w:val="-2"/>
        </w:rPr>
        <w:t>应用的最新进展。</w:t>
      </w:r>
    </w:p>
    <w:p>
      <w:pPr>
        <w:spacing w:line="239" w:lineRule="auto"/>
        <w:sectPr>
          <w:headerReference w:type="default" r:id="rId1"/>
          <w:pgSz w:w="11907" w:h="16839"/>
          <w:pgMar w:top="1223" w:right="1666" w:bottom="0" w:left="1771" w:header="832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ind w:left="156" w:right="141" w:firstLine="6"/>
        <w:spacing w:before="98" w:line="32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总量近一半（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387 </w:t>
      </w:r>
      <w:r>
        <w:rPr>
          <w:rFonts w:ascii="SimSun" w:hAnsi="SimSun" w:eastAsia="SimSun" w:cs="SimSun"/>
          <w:sz w:val="30"/>
          <w:szCs w:val="30"/>
          <w:spacing w:val="-2"/>
        </w:rPr>
        <w:t>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占比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48%</w:t>
      </w:r>
      <w:r>
        <w:rPr>
          <w:rFonts w:ascii="SimSun" w:hAnsi="SimSun" w:eastAsia="SimSun" w:cs="SimSun"/>
          <w:sz w:val="30"/>
          <w:szCs w:val="30"/>
          <w:spacing w:val="-77"/>
          <w:w w:val="97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获奖数量则超过一半（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21</w:t>
      </w:r>
      <w:r>
        <w:rPr>
          <w:rFonts w:ascii="SimSun" w:hAnsi="SimSun" w:eastAsia="SimSun" w:cs="SimSun"/>
          <w:sz w:val="30"/>
          <w:szCs w:val="30"/>
          <w:spacing w:val="-2"/>
        </w:rPr>
        <w:t>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占</w:t>
      </w:r>
      <w:r>
        <w:rPr>
          <w:rFonts w:ascii="SimSun" w:hAnsi="SimSun" w:eastAsia="SimSun" w:cs="SimSun"/>
          <w:sz w:val="30"/>
          <w:szCs w:val="30"/>
          <w:spacing w:val="-7"/>
        </w:rPr>
        <w:t>比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55%</w:t>
      </w:r>
      <w:r>
        <w:rPr>
          <w:rFonts w:ascii="SimSun" w:hAnsi="SimSun" w:eastAsia="SimSun" w:cs="SimSun"/>
          <w:sz w:val="30"/>
          <w:szCs w:val="30"/>
          <w:spacing w:val="-7"/>
        </w:rPr>
        <w:t>）。内蒙、新疆和四川等省份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年发电量均超过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4000</w:t>
      </w:r>
      <w:r>
        <w:rPr>
          <w:rFonts w:ascii="SimSun" w:hAnsi="SimSun" w:eastAsia="SimSun" w:cs="SimSun"/>
          <w:sz w:val="30"/>
          <w:szCs w:val="30"/>
          <w:spacing w:val="-1"/>
        </w:rPr>
        <w:t>亿千瓦小时，项目数总和却仅有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60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个，其中获</w:t>
      </w:r>
      <w:r>
        <w:rPr>
          <w:rFonts w:ascii="SimSun" w:hAnsi="SimSun" w:eastAsia="SimSun" w:cs="SimSun"/>
          <w:sz w:val="30"/>
          <w:szCs w:val="30"/>
          <w:spacing w:val="-2"/>
        </w:rPr>
        <w:t>奖项目仅两个，</w:t>
      </w:r>
      <w:r>
        <w:rPr>
          <w:rFonts w:ascii="SimSun" w:hAnsi="SimSun" w:eastAsia="SimSun" w:cs="SimSun"/>
          <w:sz w:val="30"/>
          <w:szCs w:val="30"/>
          <w:spacing w:val="-1"/>
        </w:rPr>
        <w:t>与其发电大省的地位不匹配，未来仍有较大数字化发展潜力。</w:t>
      </w:r>
    </w:p>
    <w:p>
      <w:pPr>
        <w:ind w:left="1567"/>
        <w:spacing w:before="193" w:line="233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    5G </w:t>
      </w:r>
      <w:r>
        <w:rPr>
          <w:rFonts w:ascii="KaiTi" w:hAnsi="KaiTi" w:eastAsia="KaiTi" w:cs="KaiTi"/>
          <w:sz w:val="30"/>
          <w:szCs w:val="30"/>
          <w:spacing w:val="-2"/>
        </w:rPr>
        <w:t>应用在各细分电力领域渗透情况</w:t>
      </w:r>
    </w:p>
    <w:p>
      <w:pPr>
        <w:spacing w:line="69" w:lineRule="exact"/>
        <w:rPr/>
      </w:pPr>
      <w:r/>
    </w:p>
    <w:tbl>
      <w:tblPr>
        <w:tblStyle w:val="TableNormal"/>
        <w:tblW w:w="859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693"/>
        <w:gridCol w:w="576"/>
        <w:gridCol w:w="576"/>
        <w:gridCol w:w="576"/>
        <w:gridCol w:w="576"/>
        <w:gridCol w:w="576"/>
        <w:gridCol w:w="576"/>
        <w:gridCol w:w="671"/>
        <w:gridCol w:w="755"/>
        <w:gridCol w:w="576"/>
        <w:gridCol w:w="576"/>
        <w:gridCol w:w="576"/>
        <w:gridCol w:w="580"/>
      </w:tblGrid>
      <w:tr>
        <w:trPr>
          <w:trHeight w:val="321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5"/>
              <w:spacing w:before="229" w:line="218" w:lineRule="auto"/>
              <w:rPr/>
            </w:pPr>
            <w:r>
              <w:rPr>
                <w:spacing w:val="-4"/>
              </w:rPr>
              <w:t>年份</w:t>
            </w:r>
          </w:p>
        </w:tc>
        <w:tc>
          <w:tcPr>
            <w:tcW w:w="6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4"/>
              <w:spacing w:before="73" w:line="221" w:lineRule="auto"/>
              <w:rPr/>
            </w:pPr>
            <w:r>
              <w:rPr>
                <w:spacing w:val="-4"/>
              </w:rPr>
              <w:t>渗透</w:t>
            </w:r>
          </w:p>
          <w:p>
            <w:pPr>
              <w:pStyle w:val="TableText"/>
              <w:ind w:left="177"/>
              <w:spacing w:before="97" w:line="218" w:lineRule="auto"/>
              <w:rPr/>
            </w:pPr>
            <w:r>
              <w:rPr>
                <w:spacing w:val="-5"/>
              </w:rPr>
              <w:t>情况</w:t>
            </w:r>
          </w:p>
        </w:tc>
        <w:tc>
          <w:tcPr>
            <w:tcW w:w="3456" w:type="dxa"/>
            <w:vAlign w:val="top"/>
            <w:gridSpan w:val="6"/>
          </w:tcPr>
          <w:p>
            <w:pPr>
              <w:pStyle w:val="TableText"/>
              <w:ind w:left="1382"/>
              <w:spacing w:before="68" w:line="217" w:lineRule="auto"/>
              <w:rPr/>
            </w:pPr>
            <w:r>
              <w:rPr>
                <w:spacing w:val="-4"/>
              </w:rPr>
              <w:t>发电环节</w:t>
            </w:r>
          </w:p>
        </w:tc>
        <w:tc>
          <w:tcPr>
            <w:tcW w:w="6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6"/>
              <w:spacing w:before="72" w:line="220" w:lineRule="auto"/>
              <w:rPr/>
            </w:pPr>
            <w:r>
              <w:rPr>
                <w:spacing w:val="-4"/>
              </w:rPr>
              <w:t>输变</w:t>
            </w:r>
          </w:p>
          <w:p>
            <w:pPr>
              <w:pStyle w:val="TableText"/>
              <w:ind w:left="168"/>
              <w:spacing w:before="98" w:line="224" w:lineRule="auto"/>
              <w:rPr/>
            </w:pPr>
            <w:r>
              <w:rPr>
                <w:spacing w:val="-4"/>
              </w:rPr>
              <w:t>配电</w:t>
            </w:r>
          </w:p>
        </w:tc>
        <w:tc>
          <w:tcPr>
            <w:tcW w:w="2483" w:type="dxa"/>
            <w:vAlign w:val="top"/>
            <w:gridSpan w:val="4"/>
          </w:tcPr>
          <w:p>
            <w:pPr>
              <w:pStyle w:val="TableText"/>
              <w:ind w:left="892"/>
              <w:spacing w:before="68" w:line="217" w:lineRule="auto"/>
              <w:rPr/>
            </w:pPr>
            <w:r>
              <w:rPr>
                <w:spacing w:val="-3"/>
              </w:rPr>
              <w:t>其他应用</w:t>
            </w:r>
          </w:p>
        </w:tc>
        <w:tc>
          <w:tcPr>
            <w:tcW w:w="5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229" w:line="218" w:lineRule="auto"/>
              <w:rPr/>
            </w:pPr>
            <w:r>
              <w:rPr>
                <w:spacing w:val="-5"/>
              </w:rPr>
              <w:t>总计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6" w:type="dxa"/>
            <w:vAlign w:val="top"/>
          </w:tcPr>
          <w:p>
            <w:pPr>
              <w:pStyle w:val="TableText"/>
              <w:ind w:left="120"/>
              <w:spacing w:before="64" w:line="221" w:lineRule="auto"/>
              <w:rPr/>
            </w:pPr>
            <w:r>
              <w:rPr>
                <w:spacing w:val="-5"/>
              </w:rPr>
              <w:t>光电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16"/>
              <w:spacing w:before="64" w:line="219" w:lineRule="auto"/>
              <w:rPr/>
            </w:pPr>
            <w:r>
              <w:rPr>
                <w:spacing w:val="-3"/>
              </w:rPr>
              <w:t>水电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22"/>
              <w:spacing w:before="64" w:line="219" w:lineRule="auto"/>
              <w:rPr/>
            </w:pPr>
            <w:r>
              <w:rPr>
                <w:spacing w:val="-5"/>
              </w:rPr>
              <w:t>火电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18"/>
              <w:spacing w:before="64" w:line="220" w:lineRule="auto"/>
              <w:rPr/>
            </w:pPr>
            <w:r>
              <w:rPr>
                <w:spacing w:val="-4"/>
              </w:rPr>
              <w:t>风电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16"/>
              <w:spacing w:before="64" w:line="218" w:lineRule="auto"/>
              <w:rPr/>
            </w:pPr>
            <w:r>
              <w:rPr>
                <w:spacing w:val="-3"/>
              </w:rPr>
              <w:t>核电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18"/>
              <w:spacing w:before="64" w:line="217" w:lineRule="auto"/>
              <w:rPr/>
            </w:pPr>
            <w:r>
              <w:rPr>
                <w:spacing w:val="-4"/>
              </w:rPr>
              <w:t>其他</w:t>
            </w:r>
          </w:p>
        </w:tc>
        <w:tc>
          <w:tcPr>
            <w:tcW w:w="6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5" w:type="dxa"/>
            <w:vAlign w:val="top"/>
          </w:tcPr>
          <w:p>
            <w:pPr>
              <w:pStyle w:val="TableText"/>
              <w:ind w:left="118"/>
              <w:spacing w:before="64" w:line="217" w:lineRule="auto"/>
              <w:rPr/>
            </w:pPr>
            <w:r>
              <w:rPr>
                <w:spacing w:val="-3"/>
              </w:rPr>
              <w:t>智能化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21"/>
              <w:spacing w:before="64" w:line="220" w:lineRule="auto"/>
              <w:rPr/>
            </w:pPr>
            <w:r>
              <w:rPr>
                <w:spacing w:val="-4"/>
              </w:rPr>
              <w:t>安全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19"/>
              <w:spacing w:before="64" w:line="219" w:lineRule="auto"/>
              <w:rPr/>
            </w:pPr>
            <w:r>
              <w:rPr>
                <w:spacing w:val="-3"/>
              </w:rPr>
              <w:t>低碳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21"/>
              <w:spacing w:before="64" w:line="217" w:lineRule="auto"/>
              <w:rPr/>
            </w:pPr>
            <w:r>
              <w:rPr>
                <w:spacing w:val="-4"/>
              </w:rPr>
              <w:t>其他</w:t>
            </w:r>
          </w:p>
        </w:tc>
        <w:tc>
          <w:tcPr>
            <w:tcW w:w="5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4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9" w:line="237" w:lineRule="auto"/>
              <w:rPr/>
            </w:pPr>
            <w:r>
              <w:rPr>
                <w:spacing w:val="-2"/>
              </w:rPr>
              <w:t>2021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6"/>
              <w:spacing w:before="54" w:line="220" w:lineRule="auto"/>
              <w:rPr/>
            </w:pPr>
            <w:r>
              <w:rPr>
                <w:spacing w:val="-4"/>
              </w:rPr>
              <w:t>参赛</w:t>
            </w:r>
          </w:p>
          <w:p>
            <w:pPr>
              <w:pStyle w:val="TableText"/>
              <w:ind w:left="172"/>
              <w:spacing w:before="47" w:line="203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1"/>
              <w:spacing w:before="170" w:line="238" w:lineRule="auto"/>
              <w:rPr/>
            </w:pPr>
            <w:r>
              <w:rPr>
                <w:spacing w:val="-2"/>
              </w:rPr>
              <w:t>21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2"/>
              <w:spacing w:before="169" w:line="237" w:lineRule="auto"/>
              <w:rPr/>
            </w:pPr>
            <w:r>
              <w:rPr>
                <w:spacing w:val="-2"/>
              </w:rPr>
              <w:t>20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13"/>
              <w:spacing w:before="169" w:line="237" w:lineRule="auto"/>
              <w:rPr/>
            </w:pPr>
            <w:r>
              <w:rPr>
                <w:spacing w:val="-5"/>
              </w:rPr>
              <w:t>16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13"/>
              <w:spacing w:before="169" w:line="237" w:lineRule="auto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13"/>
              <w:spacing w:before="169" w:line="237" w:lineRule="auto"/>
              <w:rPr/>
            </w:pPr>
            <w:r>
              <w:rPr>
                <w:spacing w:val="-5"/>
              </w:rPr>
              <w:t>17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99"/>
              <w:spacing w:before="170" w:line="238" w:lineRule="auto"/>
              <w:rPr/>
            </w:pPr>
            <w:r>
              <w:rPr>
                <w:spacing w:val="-2"/>
              </w:rPr>
              <w:t>42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216"/>
              <w:spacing w:before="169" w:line="237" w:lineRule="auto"/>
              <w:rPr/>
            </w:pPr>
            <w:r>
              <w:rPr>
                <w:spacing w:val="-4"/>
              </w:rPr>
              <w:t>137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294"/>
              <w:spacing w:before="170" w:line="238" w:lineRule="auto"/>
              <w:rPr/>
            </w:pPr>
            <w:r>
              <w:rPr>
                <w:spacing w:val="-2"/>
              </w:rPr>
              <w:t>22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15"/>
              <w:spacing w:before="169" w:line="237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69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5"/>
              <w:spacing w:before="169" w:line="237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161"/>
              <w:spacing w:before="169" w:line="237" w:lineRule="auto"/>
              <w:rPr/>
            </w:pPr>
            <w:r>
              <w:rPr>
                <w:spacing w:val="-2"/>
              </w:rPr>
              <w:t>328</w:t>
            </w:r>
          </w:p>
        </w:tc>
      </w:tr>
      <w:tr>
        <w:trPr>
          <w:trHeight w:val="524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6"/>
              <w:spacing w:before="56" w:line="218" w:lineRule="auto"/>
              <w:rPr/>
            </w:pPr>
            <w:r>
              <w:rPr>
                <w:spacing w:val="-4"/>
              </w:rPr>
              <w:t>获奖</w:t>
            </w:r>
          </w:p>
          <w:p>
            <w:pPr>
              <w:pStyle w:val="TableText"/>
              <w:ind w:left="172"/>
              <w:spacing w:before="46" w:line="204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8"/>
              <w:spacing w:before="168" w:line="237" w:lineRule="auto"/>
              <w:rPr/>
            </w:pPr>
            <w:r>
              <w:rPr/>
              <w:t>3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59"/>
              <w:spacing w:before="169" w:line="238" w:lineRule="auto"/>
              <w:rPr/>
            </w:pPr>
            <w:r>
              <w:rPr/>
              <w:t>1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7"/>
              <w:spacing w:before="168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7"/>
              <w:spacing w:before="168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7"/>
              <w:spacing w:before="169" w:line="238" w:lineRule="auto"/>
              <w:rPr/>
            </w:pPr>
            <w:r>
              <w:rPr/>
              <w:t>2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7"/>
              <w:spacing w:before="168" w:line="237" w:lineRule="auto"/>
              <w:rPr/>
            </w:pPr>
            <w:r>
              <w:rPr/>
              <w:t>0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261"/>
              <w:spacing w:before="168" w:line="237" w:lineRule="auto"/>
              <w:rPr/>
            </w:pPr>
            <w:r>
              <w:rPr>
                <w:spacing w:val="-5"/>
              </w:rPr>
              <w:t>16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37"/>
              <w:spacing w:before="168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61"/>
              <w:spacing w:before="169" w:line="238" w:lineRule="auto"/>
              <w:rPr/>
            </w:pPr>
            <w:r>
              <w:rPr/>
              <w:t>1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68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50"/>
              <w:spacing w:before="169" w:line="238" w:lineRule="auto"/>
              <w:rPr/>
            </w:pPr>
            <w:r>
              <w:rPr/>
              <w:t>2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205"/>
              <w:spacing w:before="168" w:line="237" w:lineRule="auto"/>
              <w:rPr/>
            </w:pPr>
            <w:r>
              <w:rPr>
                <w:spacing w:val="-2"/>
              </w:rPr>
              <w:t>25</w:t>
            </w:r>
          </w:p>
        </w:tc>
      </w:tr>
      <w:tr>
        <w:trPr>
          <w:trHeight w:val="524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9" w:line="237" w:lineRule="auto"/>
              <w:rPr/>
            </w:pPr>
            <w:r>
              <w:rPr>
                <w:spacing w:val="-2"/>
              </w:rPr>
              <w:t>2022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6"/>
              <w:spacing w:before="56" w:line="220" w:lineRule="auto"/>
              <w:rPr/>
            </w:pPr>
            <w:r>
              <w:rPr>
                <w:spacing w:val="-4"/>
              </w:rPr>
              <w:t>参赛</w:t>
            </w:r>
          </w:p>
          <w:p>
            <w:pPr>
              <w:pStyle w:val="TableText"/>
              <w:ind w:left="172"/>
              <w:spacing w:before="45" w:line="202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3"/>
              <w:spacing w:before="170" w:line="237" w:lineRule="auto"/>
              <w:rPr/>
            </w:pPr>
            <w:r>
              <w:rPr>
                <w:spacing w:val="-3"/>
              </w:rPr>
              <w:t>79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1"/>
              <w:spacing w:before="170" w:line="237" w:lineRule="auto"/>
              <w:rPr/>
            </w:pPr>
            <w:r>
              <w:rPr>
                <w:spacing w:val="-2"/>
              </w:rPr>
              <w:t>67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167"/>
              <w:spacing w:before="170" w:line="237" w:lineRule="auto"/>
              <w:rPr/>
            </w:pPr>
            <w:r>
              <w:rPr>
                <w:spacing w:val="-4"/>
              </w:rPr>
              <w:t>120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3"/>
              <w:spacing w:before="170" w:line="237" w:lineRule="auto"/>
              <w:rPr/>
            </w:pPr>
            <w:r>
              <w:rPr>
                <w:spacing w:val="-3"/>
              </w:rPr>
              <w:t>50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3"/>
              <w:spacing w:before="170" w:line="237" w:lineRule="auto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3"/>
              <w:spacing w:before="170" w:line="237" w:lineRule="auto"/>
              <w:rPr/>
            </w:pPr>
            <w:r>
              <w:rPr>
                <w:spacing w:val="-3"/>
              </w:rPr>
              <w:t>33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205"/>
              <w:spacing w:before="170" w:line="237" w:lineRule="auto"/>
              <w:rPr/>
            </w:pPr>
            <w:r>
              <w:rPr>
                <w:spacing w:val="-2"/>
              </w:rPr>
              <w:t>290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296"/>
              <w:spacing w:before="170" w:line="237" w:lineRule="auto"/>
              <w:rPr/>
            </w:pPr>
            <w:r>
              <w:rPr>
                <w:spacing w:val="-3"/>
              </w:rPr>
              <w:t>58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6"/>
              <w:spacing w:before="170" w:line="237" w:lineRule="auto"/>
              <w:rPr/>
            </w:pPr>
            <w:r>
              <w:rPr>
                <w:spacing w:val="-3"/>
              </w:rPr>
              <w:t>36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51"/>
              <w:spacing w:before="170" w:line="237" w:lineRule="auto"/>
              <w:rPr/>
            </w:pPr>
            <w:r>
              <w:rPr/>
              <w:t>3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6"/>
              <w:spacing w:before="170" w:line="237" w:lineRule="auto"/>
              <w:rPr/>
            </w:pPr>
            <w:r>
              <w:rPr>
                <w:spacing w:val="-3"/>
              </w:rPr>
              <w:t>39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158"/>
              <w:spacing w:before="170" w:line="237" w:lineRule="auto"/>
              <w:rPr/>
            </w:pPr>
            <w:r>
              <w:rPr>
                <w:spacing w:val="-2"/>
              </w:rPr>
              <w:t>809</w:t>
            </w:r>
          </w:p>
        </w:tc>
      </w:tr>
      <w:tr>
        <w:trPr>
          <w:trHeight w:val="529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6"/>
              <w:spacing w:before="58" w:line="218" w:lineRule="auto"/>
              <w:rPr/>
            </w:pPr>
            <w:r>
              <w:rPr>
                <w:spacing w:val="-4"/>
              </w:rPr>
              <w:t>获奖</w:t>
            </w:r>
          </w:p>
          <w:p>
            <w:pPr>
              <w:pStyle w:val="TableText"/>
              <w:ind w:left="172"/>
              <w:spacing w:before="46" w:line="206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71" w:line="237" w:lineRule="auto"/>
              <w:rPr/>
            </w:pPr>
            <w:r>
              <w:rPr/>
              <w:t>7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59"/>
              <w:spacing w:before="171" w:line="238" w:lineRule="auto"/>
              <w:rPr/>
            </w:pPr>
            <w:r>
              <w:rPr/>
              <w:t>1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5"/>
              <w:spacing w:before="171" w:line="238" w:lineRule="auto"/>
              <w:rPr/>
            </w:pPr>
            <w:r>
              <w:rPr/>
              <w:t>4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71" w:line="237" w:lineRule="auto"/>
              <w:rPr/>
            </w:pPr>
            <w:r>
              <w:rPr/>
              <w:t>3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71" w:line="237" w:lineRule="auto"/>
              <w:rPr/>
            </w:pPr>
            <w:r>
              <w:rPr/>
              <w:t>5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7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261"/>
              <w:spacing w:before="171" w:line="237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37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49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52"/>
              <w:spacing w:before="171" w:line="237" w:lineRule="auto"/>
              <w:rPr/>
            </w:pPr>
            <w:r>
              <w:rPr/>
              <w:t>3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206"/>
              <w:spacing w:before="171" w:line="237" w:lineRule="auto"/>
              <w:rPr/>
            </w:pPr>
            <w:r>
              <w:rPr>
                <w:spacing w:val="-3"/>
              </w:rPr>
              <w:t>38</w:t>
            </w:r>
          </w:p>
        </w:tc>
      </w:tr>
    </w:tbl>
    <w:p>
      <w:pPr>
        <w:pStyle w:val="BodyText"/>
        <w:ind w:left="169" w:right="245" w:hanging="3"/>
        <w:spacing w:before="64" w:line="2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注：数据来源第四届、第五届“绽放杯”5G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2"/>
        </w:rPr>
        <w:t>应用大赛，获奖数量为入围全国赛</w:t>
      </w:r>
      <w:r>
        <w:rPr>
          <w:sz w:val="24"/>
          <w:szCs w:val="24"/>
          <w:spacing w:val="-5"/>
        </w:rPr>
        <w:t>总决赛项目数量，下表同。</w:t>
      </w: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2"/>
          <w:pgSz w:w="11907" w:h="16839"/>
          <w:pgMar w:top="1223" w:right="1654" w:bottom="0" w:left="1656" w:header="832" w:footer="0" w:gutter="0"/>
          <w:cols w:equalWidth="0" w:num="1">
            <w:col w:w="8596" w:space="0"/>
          </w:cols>
        </w:sectPr>
        <w:rPr/>
      </w:pPr>
    </w:p>
    <w:p>
      <w:pPr>
        <w:ind w:right="12"/>
        <w:spacing w:before="29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3"/>
          <w:position w:val="2"/>
        </w:rPr>
        <w:t>7000</w:t>
      </w:r>
    </w:p>
    <w:p>
      <w:pPr>
        <w:ind w:right="12"/>
        <w:spacing w:before="229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3"/>
          <w:position w:val="2"/>
        </w:rPr>
        <w:t>6000</w:t>
      </w:r>
    </w:p>
    <w:p>
      <w:pPr>
        <w:ind w:right="12"/>
        <w:spacing w:before="229" w:line="190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51854</wp:posOffset>
                </wp:positionH>
                <wp:positionV relativeFrom="paragraph">
                  <wp:posOffset>501153</wp:posOffset>
                </wp:positionV>
                <wp:extent cx="533400" cy="17970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51854" y="501153"/>
                          <a:ext cx="533400" cy="1797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1"/>
                              </w:rPr>
                              <w:t>亿千瓦小时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4.08303pt;margin-top:39.4609pt;mso-position-vertical-relative:text;mso-position-horizontal-relative:text;width:42pt;height:14.1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1"/>
                        </w:rPr>
                        <w:t>亿千瓦小时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engXian" w:hAnsi="DengXian" w:eastAsia="DengXian" w:cs="DengXian"/>
          <w:sz w:val="13"/>
          <w:szCs w:val="13"/>
          <w:color w:val="595959"/>
          <w:spacing w:val="2"/>
          <w:position w:val="2"/>
        </w:rPr>
        <w:t>5000</w:t>
      </w:r>
    </w:p>
    <w:p>
      <w:pPr>
        <w:ind w:right="12"/>
        <w:spacing w:before="229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4"/>
          <w:position w:val="2"/>
        </w:rPr>
        <w:t>4000</w:t>
      </w:r>
    </w:p>
    <w:p>
      <w:pPr>
        <w:ind w:right="12"/>
        <w:spacing w:before="230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3"/>
          <w:position w:val="2"/>
        </w:rPr>
        <w:t>3000</w:t>
      </w:r>
    </w:p>
    <w:p>
      <w:pPr>
        <w:ind w:right="12"/>
        <w:spacing w:before="229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3"/>
          <w:position w:val="2"/>
        </w:rPr>
        <w:t>2000</w:t>
      </w:r>
    </w:p>
    <w:p>
      <w:pPr>
        <w:ind w:right="12"/>
        <w:spacing w:before="230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2"/>
          <w:position w:val="2"/>
        </w:rPr>
        <w:t>1000</w:t>
      </w:r>
    </w:p>
    <w:p>
      <w:pPr>
        <w:ind w:right="9"/>
        <w:spacing w:before="229" w:line="189" w:lineRule="exact"/>
        <w:jc w:val="righ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position w:val="2"/>
        </w:rPr>
        <w:t>0</w:t>
      </w:r>
    </w:p>
    <w:p>
      <w:pPr>
        <w:spacing w:before="23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741"/>
        <w:spacing w:before="27" w:line="189" w:lineRule="exact"/>
        <w:rPr>
          <w:rFonts w:ascii="DengXian" w:hAnsi="DengXian" w:eastAsia="DengXian" w:cs="DengXian"/>
          <w:sz w:val="13"/>
          <w:szCs w:val="1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249162</wp:posOffset>
            </wp:positionV>
            <wp:extent cx="4203192" cy="167944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3192" cy="167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ngXian" w:hAnsi="DengXian" w:eastAsia="DengXian" w:cs="DengXian"/>
          <w:sz w:val="13"/>
          <w:szCs w:val="13"/>
          <w:color w:val="595959"/>
          <w:spacing w:val="2"/>
          <w:position w:val="2"/>
        </w:rPr>
        <w:t>140</w:t>
      </w:r>
    </w:p>
    <w:p>
      <w:pPr>
        <w:ind w:left="6741"/>
        <w:spacing w:before="229" w:line="189" w:lineRule="exac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2"/>
          <w:position w:val="2"/>
        </w:rPr>
        <w:t>120</w:t>
      </w:r>
    </w:p>
    <w:p>
      <w:pPr>
        <w:ind w:left="6741"/>
        <w:spacing w:before="230" w:line="189" w:lineRule="exact"/>
        <w:rPr>
          <w:rFonts w:ascii="DengXian" w:hAnsi="DengXian" w:eastAsia="DengXian" w:cs="DengXian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4306331</wp:posOffset>
                </wp:positionH>
                <wp:positionV relativeFrom="paragraph">
                  <wp:posOffset>500127</wp:posOffset>
                </wp:positionV>
                <wp:extent cx="429894" cy="17907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4306331" y="500127"/>
                          <a:ext cx="429894" cy="1790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1"/>
                              </w:rPr>
                              <w:t>项目数量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339.081pt;margin-top:39.3801pt;mso-position-vertical-relative:text;mso-position-horizontal-relative:text;width:33.85pt;height:14.1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1"/>
                        </w:rPr>
                        <w:t>项目数量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engXian" w:hAnsi="DengXian" w:eastAsia="DengXian" w:cs="DengXian"/>
          <w:sz w:val="13"/>
          <w:szCs w:val="13"/>
          <w:color w:val="595959"/>
          <w:spacing w:val="2"/>
          <w:position w:val="2"/>
        </w:rPr>
        <w:t>100</w:t>
      </w:r>
    </w:p>
    <w:p>
      <w:pPr>
        <w:ind w:left="6737"/>
        <w:spacing w:before="230" w:line="189" w:lineRule="exac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1"/>
          <w:position w:val="2"/>
        </w:rPr>
        <w:t>80</w:t>
      </w:r>
    </w:p>
    <w:p>
      <w:pPr>
        <w:ind w:left="6738"/>
        <w:spacing w:before="229" w:line="189" w:lineRule="exac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1"/>
          <w:position w:val="2"/>
        </w:rPr>
        <w:t>60</w:t>
      </w:r>
    </w:p>
    <w:p>
      <w:pPr>
        <w:ind w:left="6734"/>
        <w:spacing w:before="230" w:line="189" w:lineRule="exac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3"/>
          <w:position w:val="2"/>
        </w:rPr>
        <w:t>40</w:t>
      </w:r>
    </w:p>
    <w:p>
      <w:pPr>
        <w:ind w:left="6738"/>
        <w:spacing w:before="229" w:line="189" w:lineRule="exact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595959"/>
          <w:spacing w:val="1"/>
          <w:position w:val="2"/>
        </w:rPr>
        <w:t>20</w:t>
      </w:r>
    </w:p>
    <w:p>
      <w:pPr>
        <w:ind w:left="6737"/>
        <w:spacing w:before="230" w:line="189" w:lineRule="exact"/>
        <w:rPr>
          <w:rFonts w:ascii="DengXian" w:hAnsi="DengXian" w:eastAsia="DengXian" w:cs="DengXian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22927</wp:posOffset>
                </wp:positionH>
                <wp:positionV relativeFrom="paragraph">
                  <wp:posOffset>188966</wp:posOffset>
                </wp:positionV>
                <wp:extent cx="225425" cy="316865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22927" y="188966"/>
                          <a:ext cx="225425" cy="3168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广东</w:t>
                            </w:r>
                          </w:p>
                          <w:p>
                            <w:pPr>
                              <w:ind w:left="34"/>
                              <w:spacing w:before="46"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5"/>
                              </w:rPr>
                              <w:t>山东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.80528pt;margin-top:14.8792pt;mso-position-vertical-relative:text;mso-position-horizontal-relative:text;width:17.75pt;height:24.95pt;z-index:251663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广东</w:t>
                      </w:r>
                    </w:p>
                    <w:p>
                      <w:pPr>
                        <w:ind w:left="34"/>
                        <w:spacing w:before="46"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5"/>
                        </w:rPr>
                        <w:t>山东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179921</wp:posOffset>
                </wp:positionH>
                <wp:positionV relativeFrom="paragraph">
                  <wp:posOffset>305218</wp:posOffset>
                </wp:positionV>
                <wp:extent cx="318770" cy="178435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179921" y="305218"/>
                          <a:ext cx="318770" cy="1784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26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5"/>
                              </w:rPr>
                              <w:t>内蒙古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4.1671pt;margin-top:24.0329pt;mso-position-vertical-relative:text;mso-position-horizontal-relative:text;width:25.1pt;height:14.05pt;z-index:251666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26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5"/>
                        </w:rPr>
                        <w:t>内蒙古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1581989</wp:posOffset>
                </wp:positionH>
                <wp:positionV relativeFrom="paragraph">
                  <wp:posOffset>-963592</wp:posOffset>
                </wp:positionV>
                <wp:extent cx="226695" cy="2621914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1581989" y="-963592"/>
                          <a:ext cx="226695" cy="262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1"/>
                              </w:rPr>
                              <w:t>江苏</w:t>
                            </w:r>
                          </w:p>
                          <w:p>
                            <w:pPr>
                              <w:ind w:left="22"/>
                              <w:spacing w:before="7" w:line="230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新疆</w:t>
                            </w:r>
                          </w:p>
                          <w:p>
                            <w:pPr>
                              <w:ind w:left="34"/>
                              <w:spacing w:before="5" w:line="23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5"/>
                              </w:rPr>
                              <w:t>四川</w:t>
                            </w:r>
                          </w:p>
                          <w:p>
                            <w:pPr>
                              <w:ind w:left="20"/>
                              <w:spacing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浙江</w:t>
                            </w:r>
                          </w:p>
                          <w:p>
                            <w:pPr>
                              <w:ind w:left="35"/>
                              <w:spacing w:before="7" w:line="231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5"/>
                              </w:rPr>
                              <w:t>山西</w:t>
                            </w:r>
                          </w:p>
                          <w:p>
                            <w:pPr>
                              <w:ind w:left="25"/>
                              <w:spacing w:before="5" w:line="230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3"/>
                              </w:rPr>
                              <w:t>云南</w:t>
                            </w:r>
                          </w:p>
                          <w:p>
                            <w:pPr>
                              <w:ind w:left="21"/>
                              <w:spacing w:before="5" w:line="231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河北</w:t>
                            </w:r>
                          </w:p>
                          <w:p>
                            <w:pPr>
                              <w:ind w:left="22"/>
                              <w:spacing w:before="5" w:line="232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湖北</w:t>
                            </w:r>
                          </w:p>
                          <w:p>
                            <w:pPr>
                              <w:ind w:left="25"/>
                              <w:spacing w:before="5" w:line="226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3"/>
                              </w:rPr>
                              <w:t>安徽</w:t>
                            </w:r>
                          </w:p>
                          <w:p>
                            <w:pPr>
                              <w:ind w:left="21"/>
                              <w:spacing w:before="9" w:line="230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河南</w:t>
                            </w:r>
                          </w:p>
                          <w:p>
                            <w:pPr>
                              <w:ind w:left="20"/>
                              <w:spacing w:before="4" w:line="230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福建</w:t>
                            </w:r>
                          </w:p>
                          <w:p>
                            <w:pPr>
                              <w:ind w:left="29"/>
                              <w:spacing w:before="7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4"/>
                              </w:rPr>
                              <w:t>陕西</w:t>
                            </w:r>
                          </w:p>
                          <w:p>
                            <w:pPr>
                              <w:ind w:left="21"/>
                              <w:spacing w:before="9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贵州</w:t>
                            </w:r>
                          </w:p>
                          <w:p>
                            <w:pPr>
                              <w:ind w:left="22"/>
                              <w:spacing w:before="8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辽宁</w:t>
                            </w:r>
                          </w:p>
                          <w:p>
                            <w:pPr>
                              <w:ind w:left="28"/>
                              <w:spacing w:before="9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4"/>
                              </w:rPr>
                              <w:t>宁夏</w:t>
                            </w:r>
                          </w:p>
                          <w:p>
                            <w:pPr>
                              <w:ind w:left="21"/>
                              <w:spacing w:before="8" w:line="229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广西</w:t>
                            </w:r>
                          </w:p>
                          <w:p>
                            <w:pPr>
                              <w:ind w:left="23"/>
                              <w:spacing w:before="7"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甘肃</w:t>
                            </w:r>
                          </w:p>
                          <w:p>
                            <w:pPr>
                              <w:ind w:left="22"/>
                              <w:spacing w:before="8" w:line="230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湖南</w:t>
                            </w:r>
                          </w:p>
                          <w:p>
                            <w:pPr>
                              <w:ind w:left="20"/>
                              <w:spacing w:before="45"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1"/>
                              </w:rPr>
                              <w:t>江西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24.566pt;margin-top:-75.8734pt;mso-position-vertical-relative:text;mso-position-horizontal-relative:text;width:17.85pt;height:206.45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1"/>
                        </w:rPr>
                        <w:t>江苏</w:t>
                      </w:r>
                    </w:p>
                    <w:p>
                      <w:pPr>
                        <w:ind w:left="22"/>
                        <w:spacing w:before="7" w:line="230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新疆</w:t>
                      </w:r>
                    </w:p>
                    <w:p>
                      <w:pPr>
                        <w:ind w:left="34"/>
                        <w:spacing w:before="5" w:line="23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5"/>
                        </w:rPr>
                        <w:t>四川</w:t>
                      </w:r>
                    </w:p>
                    <w:p>
                      <w:pPr>
                        <w:ind w:left="20"/>
                        <w:spacing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浙江</w:t>
                      </w:r>
                    </w:p>
                    <w:p>
                      <w:pPr>
                        <w:ind w:left="35"/>
                        <w:spacing w:before="7" w:line="231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5"/>
                        </w:rPr>
                        <w:t>山西</w:t>
                      </w:r>
                    </w:p>
                    <w:p>
                      <w:pPr>
                        <w:ind w:left="25"/>
                        <w:spacing w:before="5" w:line="230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3"/>
                        </w:rPr>
                        <w:t>云南</w:t>
                      </w:r>
                    </w:p>
                    <w:p>
                      <w:pPr>
                        <w:ind w:left="21"/>
                        <w:spacing w:before="5" w:line="231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河北</w:t>
                      </w:r>
                    </w:p>
                    <w:p>
                      <w:pPr>
                        <w:ind w:left="22"/>
                        <w:spacing w:before="5" w:line="232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湖北</w:t>
                      </w:r>
                    </w:p>
                    <w:p>
                      <w:pPr>
                        <w:ind w:left="25"/>
                        <w:spacing w:before="5" w:line="226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3"/>
                        </w:rPr>
                        <w:t>安徽</w:t>
                      </w:r>
                    </w:p>
                    <w:p>
                      <w:pPr>
                        <w:ind w:left="21"/>
                        <w:spacing w:before="9" w:line="230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河南</w:t>
                      </w:r>
                    </w:p>
                    <w:p>
                      <w:pPr>
                        <w:ind w:left="20"/>
                        <w:spacing w:before="4" w:line="230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福建</w:t>
                      </w:r>
                    </w:p>
                    <w:p>
                      <w:pPr>
                        <w:ind w:left="29"/>
                        <w:spacing w:before="7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4"/>
                        </w:rPr>
                        <w:t>陕西</w:t>
                      </w:r>
                    </w:p>
                    <w:p>
                      <w:pPr>
                        <w:ind w:left="21"/>
                        <w:spacing w:before="9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贵州</w:t>
                      </w:r>
                    </w:p>
                    <w:p>
                      <w:pPr>
                        <w:ind w:left="22"/>
                        <w:spacing w:before="8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辽宁</w:t>
                      </w:r>
                    </w:p>
                    <w:p>
                      <w:pPr>
                        <w:ind w:left="28"/>
                        <w:spacing w:before="9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4"/>
                        </w:rPr>
                        <w:t>宁夏</w:t>
                      </w:r>
                    </w:p>
                    <w:p>
                      <w:pPr>
                        <w:ind w:left="21"/>
                        <w:spacing w:before="8" w:line="229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广西</w:t>
                      </w:r>
                    </w:p>
                    <w:p>
                      <w:pPr>
                        <w:ind w:left="23"/>
                        <w:spacing w:before="7"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甘肃</w:t>
                      </w:r>
                    </w:p>
                    <w:p>
                      <w:pPr>
                        <w:ind w:left="22"/>
                        <w:spacing w:before="8" w:line="230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湖南</w:t>
                      </w:r>
                    </w:p>
                    <w:p>
                      <w:pPr>
                        <w:ind w:left="20"/>
                        <w:spacing w:before="45"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1"/>
                        </w:rPr>
                        <w:t>江西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2888227</wp:posOffset>
                </wp:positionH>
                <wp:positionV relativeFrom="paragraph">
                  <wp:posOffset>308308</wp:posOffset>
                </wp:positionV>
                <wp:extent cx="326390" cy="18033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2888227" y="308308"/>
                          <a:ext cx="326390" cy="1803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黑龙江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227.42pt;margin-top:24.2762pt;mso-position-vertical-relative:text;mso-position-horizontal-relative:text;width:25.7pt;height:14.2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黑龙江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3548276</wp:posOffset>
                </wp:positionH>
                <wp:positionV relativeFrom="paragraph">
                  <wp:posOffset>-217242</wp:posOffset>
                </wp:positionV>
                <wp:extent cx="227329" cy="112966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3548276" y="-217242"/>
                          <a:ext cx="227329" cy="11296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6"/>
                              <w:spacing w:before="19" w:line="226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3"/>
                              </w:rPr>
                              <w:t>吉林</w:t>
                            </w:r>
                          </w:p>
                          <w:p>
                            <w:pPr>
                              <w:ind w:left="25"/>
                              <w:spacing w:before="9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3"/>
                              </w:rPr>
                              <w:t>上海</w:t>
                            </w:r>
                          </w:p>
                          <w:p>
                            <w:pPr>
                              <w:ind w:left="25"/>
                              <w:spacing w:before="8" w:line="226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3"/>
                              </w:rPr>
                              <w:t>青海</w:t>
                            </w:r>
                          </w:p>
                          <w:p>
                            <w:pPr>
                              <w:ind w:left="24"/>
                              <w:spacing w:before="9" w:line="229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重庆</w:t>
                            </w:r>
                          </w:p>
                          <w:p>
                            <w:pPr>
                              <w:ind w:left="23"/>
                              <w:spacing w:before="7" w:line="226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天津</w:t>
                            </w:r>
                          </w:p>
                          <w:p>
                            <w:pPr>
                              <w:ind w:left="20"/>
                              <w:spacing w:before="9" w:line="226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1"/>
                              </w:rPr>
                              <w:t>北京</w:t>
                            </w:r>
                          </w:p>
                          <w:p>
                            <w:pPr>
                              <w:ind w:left="23"/>
                              <w:spacing w:before="10" w:line="227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海南</w:t>
                            </w:r>
                          </w:p>
                          <w:p>
                            <w:pPr>
                              <w:ind w:left="24"/>
                              <w:spacing w:before="46" w:line="228" w:lineRule="auto"/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6"/>
                                <w:szCs w:val="16"/>
                                <w:color w:val="595959"/>
                                <w:spacing w:val="-2"/>
                              </w:rPr>
                              <w:t>西藏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279.392pt;margin-top:-17.1057pt;mso-position-vertical-relative:text;mso-position-horizontal-relative:text;width:17.9pt;height:88.95pt;z-index:251661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6"/>
                        <w:spacing w:before="19" w:line="226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3"/>
                        </w:rPr>
                        <w:t>吉林</w:t>
                      </w:r>
                    </w:p>
                    <w:p>
                      <w:pPr>
                        <w:ind w:left="25"/>
                        <w:spacing w:before="9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3"/>
                        </w:rPr>
                        <w:t>上海</w:t>
                      </w:r>
                    </w:p>
                    <w:p>
                      <w:pPr>
                        <w:ind w:left="25"/>
                        <w:spacing w:before="8" w:line="226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3"/>
                        </w:rPr>
                        <w:t>青海</w:t>
                      </w:r>
                    </w:p>
                    <w:p>
                      <w:pPr>
                        <w:ind w:left="24"/>
                        <w:spacing w:before="9" w:line="229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重庆</w:t>
                      </w:r>
                    </w:p>
                    <w:p>
                      <w:pPr>
                        <w:ind w:left="23"/>
                        <w:spacing w:before="7" w:line="226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天津</w:t>
                      </w:r>
                    </w:p>
                    <w:p>
                      <w:pPr>
                        <w:ind w:left="20"/>
                        <w:spacing w:before="9" w:line="226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1"/>
                        </w:rPr>
                        <w:t>北京</w:t>
                      </w:r>
                    </w:p>
                    <w:p>
                      <w:pPr>
                        <w:ind w:left="23"/>
                        <w:spacing w:before="10" w:line="227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海南</w:t>
                      </w:r>
                    </w:p>
                    <w:p>
                      <w:pPr>
                        <w:ind w:left="24"/>
                        <w:spacing w:before="46" w:line="228" w:lineRule="auto"/>
                        <w:rPr>
                          <w:rFonts w:ascii="DengXian" w:hAnsi="DengXian" w:eastAsia="DengXian" w:cs="DengXian"/>
                          <w:sz w:val="16"/>
                          <w:szCs w:val="16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6"/>
                          <w:szCs w:val="16"/>
                          <w:color w:val="595959"/>
                          <w:spacing w:val="-2"/>
                        </w:rPr>
                        <w:t>西藏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engXian" w:hAnsi="DengXian" w:eastAsia="DengXian" w:cs="DengXian"/>
          <w:sz w:val="13"/>
          <w:szCs w:val="13"/>
          <w:color w:val="595959"/>
          <w:position w:val="2"/>
        </w:rPr>
        <w:t>0</w:t>
      </w:r>
    </w:p>
    <w:p>
      <w:pPr>
        <w:spacing w:line="189" w:lineRule="exact"/>
        <w:sectPr>
          <w:type w:val="continuous"/>
          <w:pgSz w:w="11907" w:h="16839"/>
          <w:pgMar w:top="1223" w:right="1654" w:bottom="0" w:left="1656" w:header="832" w:footer="0" w:gutter="0"/>
          <w:cols w:equalWidth="0" w:num="2">
            <w:col w:w="978" w:space="100"/>
            <w:col w:w="7519" w:space="0"/>
          </w:cols>
        </w:sectPr>
        <w:rPr>
          <w:rFonts w:ascii="DengXian" w:hAnsi="DengXian" w:eastAsia="DengXian" w:cs="DengXian"/>
          <w:sz w:val="13"/>
          <w:szCs w:val="13"/>
        </w:rPr>
      </w:pPr>
    </w:p>
    <w:p>
      <w:pPr>
        <w:ind w:left="2286"/>
        <w:spacing w:before="164" w:line="212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</w:rPr>
        <w:drawing>
          <wp:inline distT="0" distB="0" distL="0" distR="0">
            <wp:extent cx="243839" cy="5333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39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ngXian" w:hAnsi="DengXian" w:eastAsia="DengXian" w:cs="DengXian"/>
          <w:sz w:val="18"/>
          <w:szCs w:val="18"/>
          <w:color w:val="595959"/>
          <w:spacing w:val="4"/>
        </w:rPr>
        <w:t xml:space="preserve"> </w:t>
      </w:r>
      <w:r>
        <w:rPr>
          <w:rFonts w:ascii="DengXian" w:hAnsi="DengXian" w:eastAsia="DengXian" w:cs="DengXian"/>
          <w:sz w:val="18"/>
          <w:szCs w:val="18"/>
          <w:color w:val="595959"/>
        </w:rPr>
        <w:t>2021年发电量(亿千瓦小时)      </w:t>
      </w:r>
      <w:r>
        <w:rPr>
          <w:sz w:val="18"/>
          <w:szCs w:val="18"/>
          <w:position w:val="2"/>
        </w:rPr>
        <w:drawing>
          <wp:inline distT="0" distB="0" distL="0" distR="0">
            <wp:extent cx="252983" cy="3962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83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ngXian" w:hAnsi="DengXian" w:eastAsia="DengXian" w:cs="DengXian"/>
          <w:sz w:val="18"/>
          <w:szCs w:val="18"/>
          <w:color w:val="595959"/>
          <w:spacing w:val="-6"/>
        </w:rPr>
        <w:t xml:space="preserve"> </w:t>
      </w:r>
      <w:r>
        <w:rPr>
          <w:rFonts w:ascii="DengXian" w:hAnsi="DengXian" w:eastAsia="DengXian" w:cs="DengXian"/>
          <w:sz w:val="18"/>
          <w:szCs w:val="18"/>
          <w:color w:val="595959"/>
        </w:rPr>
        <w:t>2022项目数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526"/>
        <w:spacing w:before="98" w:line="23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    </w:t>
      </w:r>
      <w:r>
        <w:rPr>
          <w:rFonts w:ascii="KaiTi" w:hAnsi="KaiTi" w:eastAsia="KaiTi" w:cs="KaiTi"/>
          <w:sz w:val="30"/>
          <w:szCs w:val="30"/>
          <w:spacing w:val="-5"/>
        </w:rPr>
        <w:t>我国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</w:t>
      </w:r>
      <w:r>
        <w:rPr>
          <w:rFonts w:ascii="KaiTi" w:hAnsi="KaiTi" w:eastAsia="KaiTi" w:cs="KaiTi"/>
          <w:sz w:val="30"/>
          <w:szCs w:val="30"/>
          <w:spacing w:val="-5"/>
        </w:rPr>
        <w:t>智慧电力应用地域分布情况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751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．头部企业：发电侧五大四小集团打造数字化创新标杆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160" w:right="62" w:firstLine="598"/>
        <w:spacing w:before="9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从头部企业看，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年发电侧头部企业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应用快速推进，</w:t>
      </w:r>
      <w:r>
        <w:rPr>
          <w:rFonts w:ascii="SimSun" w:hAnsi="SimSun" w:eastAsia="SimSun" w:cs="SimSun"/>
          <w:sz w:val="30"/>
          <w:szCs w:val="30"/>
          <w:spacing w:val="-4"/>
        </w:rPr>
        <w:t>打造了一批电力行业创新标杆。发电侧五大四小集团积极推进水</w:t>
      </w:r>
    </w:p>
    <w:p>
      <w:pPr>
        <w:spacing w:line="259" w:lineRule="auto"/>
        <w:sectPr>
          <w:type w:val="continuous"/>
          <w:pgSz w:w="11907" w:h="16839"/>
          <w:pgMar w:top="1223" w:right="1654" w:bottom="0" w:left="1656" w:header="832" w:footer="0" w:gutter="0"/>
          <w:cols w:equalWidth="0" w:num="1">
            <w:col w:w="8596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ind w:left="255" w:right="237" w:firstLine="1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火核风光运营全面数字化，正在加速低碳清洁转型，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2022 </w:t>
      </w:r>
      <w:r>
        <w:rPr>
          <w:rFonts w:ascii="SimSun" w:hAnsi="SimSun" w:eastAsia="SimSun" w:cs="SimSun"/>
          <w:sz w:val="30"/>
          <w:szCs w:val="30"/>
          <w:spacing w:val="-6"/>
        </w:rPr>
        <w:t>年项目</w:t>
      </w:r>
      <w:r>
        <w:rPr>
          <w:rFonts w:ascii="SimSun" w:hAnsi="SimSun" w:eastAsia="SimSun" w:cs="SimSun"/>
          <w:sz w:val="30"/>
          <w:szCs w:val="30"/>
          <w:spacing w:val="-4"/>
        </w:rPr>
        <w:t>数量相比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2021 </w:t>
      </w:r>
      <w:r>
        <w:rPr>
          <w:rFonts w:ascii="SimSun" w:hAnsi="SimSun" w:eastAsia="SimSun" w:cs="SimSun"/>
          <w:sz w:val="30"/>
          <w:szCs w:val="30"/>
          <w:spacing w:val="-4"/>
        </w:rPr>
        <w:t>年增长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144%</w:t>
      </w:r>
      <w:r>
        <w:rPr>
          <w:rFonts w:ascii="SimSun" w:hAnsi="SimSun" w:eastAsia="SimSun" w:cs="SimSun"/>
          <w:sz w:val="30"/>
          <w:szCs w:val="30"/>
          <w:spacing w:val="-4"/>
        </w:rPr>
        <w:t>，获奖数量增长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175%</w:t>
      </w:r>
      <w:r>
        <w:rPr>
          <w:rFonts w:ascii="SimSun" w:hAnsi="SimSun" w:eastAsia="SimSun" w:cs="SimSun"/>
          <w:sz w:val="30"/>
          <w:szCs w:val="30"/>
          <w:spacing w:val="-4"/>
        </w:rPr>
        <w:t>；输配</w:t>
      </w:r>
      <w:r>
        <w:rPr>
          <w:rFonts w:ascii="SimSun" w:hAnsi="SimSun" w:eastAsia="SimSun" w:cs="SimSun"/>
          <w:sz w:val="30"/>
          <w:szCs w:val="30"/>
          <w:spacing w:val="-5"/>
        </w:rPr>
        <w:t>用侧两</w:t>
      </w:r>
      <w:r>
        <w:rPr>
          <w:rFonts w:ascii="SimSun" w:hAnsi="SimSun" w:eastAsia="SimSun" w:cs="SimSun"/>
          <w:sz w:val="30"/>
          <w:szCs w:val="30"/>
          <w:spacing w:val="-5"/>
        </w:rPr>
        <w:t>大电网仍是拉动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</w:t>
      </w:r>
      <w:r>
        <w:rPr>
          <w:rFonts w:ascii="SimSun" w:hAnsi="SimSun" w:eastAsia="SimSun" w:cs="SimSun"/>
          <w:sz w:val="30"/>
          <w:szCs w:val="30"/>
          <w:spacing w:val="-5"/>
        </w:rPr>
        <w:t>智慧电力应用市场增长的主力军，以数字化</w:t>
      </w:r>
      <w:r>
        <w:rPr>
          <w:rFonts w:ascii="SimSun" w:hAnsi="SimSun" w:eastAsia="SimSun" w:cs="SimSun"/>
          <w:sz w:val="30"/>
          <w:szCs w:val="30"/>
          <w:spacing w:val="-1"/>
        </w:rPr>
        <w:t>智能化电网支撑新型电力系统建设，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年项目数量相比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021</w:t>
      </w:r>
      <w:r>
        <w:rPr>
          <w:rFonts w:ascii="SimSun" w:hAnsi="SimSun" w:eastAsia="SimSun" w:cs="SimSun"/>
          <w:sz w:val="30"/>
          <w:szCs w:val="30"/>
          <w:spacing w:val="-5"/>
        </w:rPr>
        <w:t>年增长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132%</w:t>
      </w:r>
      <w:r>
        <w:rPr>
          <w:rFonts w:ascii="SimSun" w:hAnsi="SimSun" w:eastAsia="SimSun" w:cs="SimSun"/>
          <w:sz w:val="30"/>
          <w:szCs w:val="30"/>
          <w:spacing w:val="-5"/>
        </w:rPr>
        <w:t>，但获奖数量仅由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13 </w:t>
      </w:r>
      <w:r>
        <w:rPr>
          <w:rFonts w:ascii="SimSun" w:hAnsi="SimSun" w:eastAsia="SimSun" w:cs="SimSun"/>
          <w:sz w:val="30"/>
          <w:szCs w:val="30"/>
          <w:spacing w:val="-5"/>
        </w:rPr>
        <w:t>个提升到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15 </w:t>
      </w:r>
      <w:r>
        <w:rPr>
          <w:rFonts w:ascii="SimSun" w:hAnsi="SimSun" w:eastAsia="SimSun" w:cs="SimSun"/>
          <w:sz w:val="30"/>
          <w:szCs w:val="30"/>
          <w:spacing w:val="-5"/>
        </w:rPr>
        <w:t>个。</w:t>
      </w:r>
    </w:p>
    <w:p>
      <w:pPr>
        <w:ind w:left="1629"/>
        <w:spacing w:before="155" w:line="23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    </w:t>
      </w:r>
      <w:r>
        <w:rPr>
          <w:rFonts w:ascii="KaiTi" w:hAnsi="KaiTi" w:eastAsia="KaiTi" w:cs="KaiTi"/>
          <w:sz w:val="30"/>
          <w:szCs w:val="30"/>
          <w:spacing w:val="-2"/>
        </w:rPr>
        <w:t>我国头部电力企业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KaiTi" w:hAnsi="KaiTi" w:eastAsia="KaiTi" w:cs="KaiTi"/>
          <w:sz w:val="30"/>
          <w:szCs w:val="30"/>
          <w:spacing w:val="-2"/>
        </w:rPr>
        <w:t>应用渗透情况</w:t>
      </w:r>
    </w:p>
    <w:p>
      <w:pPr>
        <w:spacing w:line="73" w:lineRule="exact"/>
        <w:rPr/>
      </w:pPr>
      <w:r/>
    </w:p>
    <w:tbl>
      <w:tblPr>
        <w:tblStyle w:val="TableNormal"/>
        <w:tblW w:w="878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8"/>
        <w:gridCol w:w="602"/>
        <w:gridCol w:w="602"/>
        <w:gridCol w:w="598"/>
        <w:gridCol w:w="794"/>
        <w:gridCol w:w="600"/>
        <w:gridCol w:w="597"/>
        <w:gridCol w:w="600"/>
        <w:gridCol w:w="597"/>
        <w:gridCol w:w="696"/>
        <w:gridCol w:w="597"/>
        <w:gridCol w:w="600"/>
        <w:gridCol w:w="597"/>
        <w:gridCol w:w="597"/>
      </w:tblGrid>
      <w:tr>
        <w:trPr>
          <w:trHeight w:val="649" w:hRule="atLeast"/>
        </w:trPr>
        <w:tc>
          <w:tcPr>
            <w:tcW w:w="708" w:type="dxa"/>
            <w:vAlign w:val="top"/>
          </w:tcPr>
          <w:p>
            <w:pPr>
              <w:pStyle w:val="TableText"/>
              <w:ind w:left="185"/>
              <w:spacing w:before="231" w:line="218" w:lineRule="auto"/>
              <w:rPr/>
            </w:pPr>
            <w:r>
              <w:rPr>
                <w:spacing w:val="-4"/>
              </w:rPr>
              <w:t>年份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28"/>
              <w:spacing w:before="75" w:line="221" w:lineRule="auto"/>
              <w:rPr/>
            </w:pPr>
            <w:r>
              <w:rPr>
                <w:spacing w:val="-4"/>
              </w:rPr>
              <w:t>渗透</w:t>
            </w:r>
          </w:p>
          <w:p>
            <w:pPr>
              <w:pStyle w:val="TableText"/>
              <w:ind w:left="131"/>
              <w:spacing w:before="96" w:line="218" w:lineRule="auto"/>
              <w:rPr/>
            </w:pPr>
            <w:r>
              <w:rPr>
                <w:spacing w:val="-5"/>
              </w:rPr>
              <w:t>情况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47"/>
              <w:spacing w:before="75" w:line="219" w:lineRule="auto"/>
              <w:rPr/>
            </w:pPr>
            <w:r>
              <w:rPr>
                <w:spacing w:val="-9"/>
              </w:rPr>
              <w:t>国家</w:t>
            </w:r>
          </w:p>
          <w:p>
            <w:pPr>
              <w:pStyle w:val="TableText"/>
              <w:ind w:left="146"/>
              <w:spacing w:before="98" w:line="220" w:lineRule="auto"/>
              <w:rPr/>
            </w:pPr>
            <w:r>
              <w:rPr>
                <w:spacing w:val="-8"/>
              </w:rPr>
              <w:t>电网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136"/>
              <w:spacing w:before="75" w:line="220" w:lineRule="auto"/>
              <w:rPr/>
            </w:pPr>
            <w:r>
              <w:rPr>
                <w:spacing w:val="-6"/>
              </w:rPr>
              <w:t>南方</w:t>
            </w:r>
          </w:p>
          <w:p>
            <w:pPr>
              <w:pStyle w:val="TableText"/>
              <w:ind w:left="147"/>
              <w:spacing w:before="96" w:line="220" w:lineRule="auto"/>
              <w:rPr/>
            </w:pPr>
            <w:r>
              <w:rPr>
                <w:spacing w:val="-8"/>
              </w:rPr>
              <w:t>电网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57"/>
              <w:spacing w:before="75" w:line="217" w:lineRule="auto"/>
              <w:rPr/>
            </w:pPr>
            <w:r>
              <w:rPr>
                <w:spacing w:val="-8"/>
              </w:rPr>
              <w:t>国家能</w:t>
            </w:r>
          </w:p>
          <w:p>
            <w:pPr>
              <w:pStyle w:val="TableText"/>
              <w:ind w:left="140"/>
              <w:spacing w:before="100" w:line="217" w:lineRule="auto"/>
              <w:rPr/>
            </w:pPr>
            <w:r>
              <w:rPr>
                <w:spacing w:val="-4"/>
              </w:rPr>
              <w:t>源集团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133"/>
              <w:spacing w:before="75" w:line="217" w:lineRule="auto"/>
              <w:rPr/>
            </w:pPr>
            <w:r>
              <w:rPr>
                <w:spacing w:val="-5"/>
              </w:rPr>
              <w:t>华能</w:t>
            </w:r>
          </w:p>
          <w:p>
            <w:pPr>
              <w:pStyle w:val="TableText"/>
              <w:ind w:left="148"/>
              <w:spacing w:before="99" w:line="220" w:lineRule="auto"/>
              <w:rPr/>
            </w:pPr>
            <w:r>
              <w:rPr>
                <w:spacing w:val="-8"/>
              </w:rPr>
              <w:t>电力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30"/>
              <w:spacing w:before="75" w:line="217" w:lineRule="auto"/>
              <w:rPr/>
            </w:pPr>
            <w:r>
              <w:rPr>
                <w:spacing w:val="-4"/>
              </w:rPr>
              <w:t>大唐</w:t>
            </w:r>
          </w:p>
          <w:p>
            <w:pPr>
              <w:pStyle w:val="TableText"/>
              <w:ind w:left="148"/>
              <w:spacing w:before="100" w:line="220" w:lineRule="auto"/>
              <w:rPr/>
            </w:pPr>
            <w:r>
              <w:rPr>
                <w:spacing w:val="-8"/>
              </w:rPr>
              <w:t>电力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154"/>
              <w:spacing w:before="75" w:line="218" w:lineRule="auto"/>
              <w:rPr/>
            </w:pPr>
            <w:r>
              <w:rPr>
                <w:spacing w:val="-9"/>
              </w:rPr>
              <w:t>中国</w:t>
            </w:r>
          </w:p>
          <w:p>
            <w:pPr>
              <w:pStyle w:val="TableText"/>
              <w:ind w:left="136"/>
              <w:spacing w:before="99" w:line="217" w:lineRule="auto"/>
              <w:rPr/>
            </w:pPr>
            <w:r>
              <w:rPr>
                <w:spacing w:val="-5"/>
              </w:rPr>
              <w:t>华电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49"/>
              <w:spacing w:before="75" w:line="219" w:lineRule="auto"/>
              <w:rPr/>
            </w:pPr>
            <w:r>
              <w:rPr>
                <w:spacing w:val="-9"/>
              </w:rPr>
              <w:t>国家</w:t>
            </w:r>
          </w:p>
          <w:p>
            <w:pPr>
              <w:pStyle w:val="TableText"/>
              <w:ind w:left="149"/>
              <w:spacing w:before="98" w:line="220" w:lineRule="auto"/>
              <w:rPr/>
            </w:pPr>
            <w:r>
              <w:rPr>
                <w:spacing w:val="-8"/>
              </w:rPr>
              <w:t>电投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01"/>
              <w:spacing w:before="75" w:line="218" w:lineRule="auto"/>
              <w:rPr/>
            </w:pPr>
            <w:r>
              <w:rPr>
                <w:spacing w:val="-9"/>
              </w:rPr>
              <w:t>中国</w:t>
            </w:r>
          </w:p>
          <w:p>
            <w:pPr>
              <w:pStyle w:val="TableText"/>
              <w:ind w:left="177"/>
              <w:spacing w:before="99" w:line="218" w:lineRule="auto"/>
              <w:rPr/>
            </w:pPr>
            <w:r>
              <w:rPr>
                <w:spacing w:val="-3"/>
              </w:rPr>
              <w:t>核电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18" w:right="114" w:hanging="65"/>
              <w:spacing w:before="75" w:line="289" w:lineRule="auto"/>
              <w:rPr/>
            </w:pPr>
            <w:r>
              <w:rPr>
                <w:spacing w:val="-18"/>
              </w:rPr>
              <w:t>中广</w:t>
            </w:r>
            <w:r>
              <w:rPr/>
              <w:t>核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137"/>
              <w:spacing w:before="75" w:line="217" w:lineRule="auto"/>
              <w:rPr/>
            </w:pPr>
            <w:r>
              <w:rPr>
                <w:spacing w:val="-5"/>
              </w:rPr>
              <w:t>华润</w:t>
            </w:r>
          </w:p>
          <w:p>
            <w:pPr>
              <w:pStyle w:val="TableText"/>
              <w:ind w:left="152"/>
              <w:spacing w:before="99" w:line="220" w:lineRule="auto"/>
              <w:rPr/>
            </w:pPr>
            <w:r>
              <w:rPr>
                <w:spacing w:val="-8"/>
              </w:rPr>
              <w:t>电力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36"/>
              <w:spacing w:before="75" w:line="219" w:lineRule="auto"/>
              <w:rPr/>
            </w:pPr>
            <w:r>
              <w:rPr>
                <w:spacing w:val="-5"/>
              </w:rPr>
              <w:t>三峡</w:t>
            </w:r>
          </w:p>
          <w:p>
            <w:pPr>
              <w:pStyle w:val="TableText"/>
              <w:ind w:left="131"/>
              <w:spacing w:before="99" w:line="217" w:lineRule="auto"/>
              <w:rPr/>
            </w:pPr>
            <w:r>
              <w:rPr>
                <w:spacing w:val="-4"/>
              </w:rPr>
              <w:t>集团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49"/>
              <w:spacing w:before="75" w:line="220" w:lineRule="auto"/>
              <w:rPr/>
            </w:pPr>
            <w:r>
              <w:rPr>
                <w:spacing w:val="-9"/>
              </w:rPr>
              <w:t>国投</w:t>
            </w:r>
          </w:p>
          <w:p>
            <w:pPr>
              <w:pStyle w:val="TableText"/>
              <w:ind w:left="148"/>
              <w:spacing w:before="97" w:line="220" w:lineRule="auto"/>
              <w:rPr/>
            </w:pPr>
            <w:r>
              <w:rPr>
                <w:spacing w:val="-8"/>
              </w:rPr>
              <w:t>电力</w:t>
            </w:r>
          </w:p>
        </w:tc>
      </w:tr>
      <w:tr>
        <w:trPr>
          <w:trHeight w:val="522" w:hRule="atLeast"/>
        </w:trPr>
        <w:tc>
          <w:tcPr>
            <w:tcW w:w="708" w:type="dxa"/>
            <w:vAlign w:val="top"/>
            <w:vMerge w:val="restart"/>
            <w:tcBorders>
              <w:bottom w:val="nil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237" w:lineRule="auto"/>
              <w:rPr/>
            </w:pPr>
            <w:r>
              <w:rPr>
                <w:spacing w:val="-2"/>
              </w:rPr>
              <w:t>2021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29"/>
              <w:spacing w:before="54" w:line="220" w:lineRule="auto"/>
              <w:rPr/>
            </w:pPr>
            <w:r>
              <w:rPr>
                <w:spacing w:val="-4"/>
              </w:rPr>
              <w:t>参赛</w:t>
            </w:r>
          </w:p>
          <w:p>
            <w:pPr>
              <w:pStyle w:val="TableText"/>
              <w:ind w:left="126"/>
              <w:spacing w:before="44" w:line="203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213"/>
              <w:spacing w:before="167" w:line="237" w:lineRule="auto"/>
              <w:rPr/>
            </w:pPr>
            <w:r>
              <w:rPr>
                <w:spacing w:val="-2"/>
              </w:rPr>
              <w:t>86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257"/>
              <w:spacing w:before="167" w:line="237" w:lineRule="auto"/>
              <w:rPr/>
            </w:pPr>
            <w:r>
              <w:rPr/>
              <w:t>8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25"/>
              <w:spacing w:before="167" w:line="237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24"/>
              <w:spacing w:before="168" w:line="238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7"/>
              <w:spacing w:before="167" w:line="237" w:lineRule="auto"/>
              <w:rPr/>
            </w:pPr>
            <w:r>
              <w:rPr/>
              <w:t>8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59"/>
              <w:spacing w:before="168" w:line="238" w:lineRule="auto"/>
              <w:rPr/>
            </w:pPr>
            <w:r>
              <w:rPr/>
              <w:t>4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8"/>
              <w:spacing w:before="167" w:line="237" w:lineRule="auto"/>
              <w:rPr/>
            </w:pPr>
            <w:r>
              <w:rPr/>
              <w:t>8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310"/>
              <w:spacing w:before="167" w:line="237" w:lineRule="auto"/>
              <w:rPr/>
            </w:pPr>
            <w:r>
              <w:rPr/>
              <w:t>5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60"/>
              <w:spacing w:before="168" w:line="238" w:lineRule="auto"/>
              <w:rPr/>
            </w:pPr>
            <w:r>
              <w:rPr/>
              <w:t>2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64"/>
              <w:spacing w:before="168" w:line="238" w:lineRule="auto"/>
              <w:rPr/>
            </w:pPr>
            <w:r>
              <w:rPr/>
              <w:t>2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61"/>
              <w:spacing w:before="167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9"/>
              <w:spacing w:before="167" w:line="237" w:lineRule="auto"/>
              <w:rPr/>
            </w:pPr>
            <w:r>
              <w:rPr/>
              <w:t>0</w:t>
            </w:r>
          </w:p>
        </w:tc>
      </w:tr>
      <w:tr>
        <w:trPr>
          <w:trHeight w:val="524" w:hRule="atLeast"/>
        </w:trPr>
        <w:tc>
          <w:tcPr>
            <w:tcW w:w="7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2" w:type="dxa"/>
            <w:vAlign w:val="top"/>
          </w:tcPr>
          <w:p>
            <w:pPr>
              <w:pStyle w:val="TableText"/>
              <w:ind w:left="129"/>
              <w:spacing w:before="58" w:line="218" w:lineRule="auto"/>
              <w:rPr/>
            </w:pPr>
            <w:r>
              <w:rPr>
                <w:spacing w:val="-4"/>
              </w:rPr>
              <w:t>获奖</w:t>
            </w:r>
          </w:p>
          <w:p>
            <w:pPr>
              <w:pStyle w:val="TableText"/>
              <w:ind w:left="126"/>
              <w:spacing w:before="46" w:line="201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226"/>
              <w:spacing w:before="171" w:line="237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260"/>
              <w:spacing w:before="171" w:line="237" w:lineRule="auto"/>
              <w:rPr/>
            </w:pPr>
            <w:r>
              <w:rPr/>
              <w:t>3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68"/>
              <w:spacing w:before="171" w:line="238" w:lineRule="auto"/>
              <w:rPr/>
            </w:pPr>
            <w:r>
              <w:rPr/>
              <w:t>1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58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8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61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71"/>
              <w:spacing w:before="171" w:line="238" w:lineRule="auto"/>
              <w:rPr/>
            </w:pPr>
            <w:r>
              <w:rPr/>
              <w:t>1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308"/>
              <w:spacing w:before="171" w:line="238" w:lineRule="auto"/>
              <w:rPr/>
            </w:pPr>
            <w:r>
              <w:rPr/>
              <w:t>2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60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63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61"/>
              <w:spacing w:before="171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9"/>
              <w:spacing w:before="171" w:line="237" w:lineRule="auto"/>
              <w:rPr/>
            </w:pPr>
            <w:r>
              <w:rPr/>
              <w:t>0</w:t>
            </w:r>
          </w:p>
        </w:tc>
      </w:tr>
      <w:tr>
        <w:trPr>
          <w:trHeight w:val="544" w:hRule="atLeast"/>
        </w:trPr>
        <w:tc>
          <w:tcPr>
            <w:tcW w:w="708" w:type="dxa"/>
            <w:vAlign w:val="top"/>
            <w:vMerge w:val="restart"/>
            <w:tcBorders>
              <w:bottom w:val="nil"/>
            </w:tcBorders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237" w:lineRule="auto"/>
              <w:rPr/>
            </w:pPr>
            <w:r>
              <w:rPr>
                <w:spacing w:val="-2"/>
              </w:rPr>
              <w:t>2022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29"/>
              <w:spacing w:before="69" w:line="220" w:lineRule="auto"/>
              <w:rPr/>
            </w:pPr>
            <w:r>
              <w:rPr>
                <w:spacing w:val="-4"/>
              </w:rPr>
              <w:t>参赛</w:t>
            </w:r>
          </w:p>
          <w:p>
            <w:pPr>
              <w:pStyle w:val="TableText"/>
              <w:ind w:left="126"/>
              <w:spacing w:before="45" w:line="210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169"/>
              <w:spacing w:before="182" w:line="237" w:lineRule="auto"/>
              <w:rPr/>
            </w:pPr>
            <w:r>
              <w:rPr>
                <w:spacing w:val="-2"/>
              </w:rPr>
              <w:t>201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224"/>
              <w:spacing w:before="182" w:line="237" w:lineRule="auto"/>
              <w:rPr/>
            </w:pPr>
            <w:r>
              <w:rPr>
                <w:spacing w:val="-5"/>
              </w:rPr>
              <w:t>17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15"/>
              <w:spacing w:before="182" w:line="237" w:lineRule="auto"/>
              <w:rPr/>
            </w:pPr>
            <w:r>
              <w:rPr>
                <w:spacing w:val="-3"/>
              </w:rPr>
              <w:t>31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13"/>
              <w:spacing w:before="182" w:line="237" w:lineRule="auto"/>
              <w:rPr/>
            </w:pPr>
            <w:r>
              <w:rPr>
                <w:spacing w:val="-2"/>
              </w:rPr>
              <w:t>23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13"/>
              <w:spacing w:before="182" w:line="238" w:lineRule="auto"/>
              <w:rPr/>
            </w:pPr>
            <w:r>
              <w:rPr>
                <w:spacing w:val="-2"/>
              </w:rPr>
              <w:t>22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28"/>
              <w:spacing w:before="182" w:line="238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9"/>
              <w:spacing w:before="182" w:line="237" w:lineRule="auto"/>
              <w:rPr/>
            </w:pPr>
            <w:r>
              <w:rPr/>
              <w:t>6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310"/>
              <w:spacing w:before="182" w:line="237" w:lineRule="auto"/>
              <w:rPr/>
            </w:pPr>
            <w:r>
              <w:rPr/>
              <w:t>5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9"/>
              <w:spacing w:before="182" w:line="237" w:lineRule="auto"/>
              <w:rPr/>
            </w:pPr>
            <w:r>
              <w:rPr/>
              <w:t>8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62"/>
              <w:spacing w:before="182" w:line="237" w:lineRule="auto"/>
              <w:rPr/>
            </w:pPr>
            <w:r>
              <w:rPr/>
              <w:t>8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9"/>
              <w:spacing w:before="182" w:line="238" w:lineRule="auto"/>
              <w:rPr/>
            </w:pPr>
            <w:r>
              <w:rPr/>
              <w:t>4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71"/>
              <w:spacing w:before="182" w:line="238" w:lineRule="auto"/>
              <w:rPr/>
            </w:pPr>
            <w:r>
              <w:rPr/>
              <w:t>1</w:t>
            </w:r>
          </w:p>
        </w:tc>
      </w:tr>
      <w:tr>
        <w:trPr>
          <w:trHeight w:val="529" w:hRule="atLeast"/>
        </w:trPr>
        <w:tc>
          <w:tcPr>
            <w:tcW w:w="7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2" w:type="dxa"/>
            <w:vAlign w:val="top"/>
          </w:tcPr>
          <w:p>
            <w:pPr>
              <w:pStyle w:val="TableText"/>
              <w:ind w:left="129"/>
              <w:spacing w:before="60" w:line="218" w:lineRule="auto"/>
              <w:rPr/>
            </w:pPr>
            <w:r>
              <w:rPr>
                <w:spacing w:val="-4"/>
              </w:rPr>
              <w:t>获奖</w:t>
            </w:r>
          </w:p>
          <w:p>
            <w:pPr>
              <w:pStyle w:val="TableText"/>
              <w:ind w:left="126"/>
              <w:spacing w:before="46" w:line="204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226"/>
              <w:spacing w:before="173" w:line="238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270"/>
              <w:spacing w:before="173" w:line="238" w:lineRule="auto"/>
              <w:rPr/>
            </w:pPr>
            <w:r>
              <w:rPr/>
              <w:t>1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57"/>
              <w:spacing w:before="173" w:line="238" w:lineRule="auto"/>
              <w:rPr/>
            </w:pPr>
            <w:r>
              <w:rPr/>
              <w:t>2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56"/>
              <w:spacing w:before="173" w:line="238" w:lineRule="auto"/>
              <w:rPr/>
            </w:pPr>
            <w:r>
              <w:rPr/>
              <w:t>4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8"/>
              <w:spacing w:before="173" w:line="237" w:lineRule="auto"/>
              <w:rPr/>
            </w:pPr>
            <w:r>
              <w:rPr/>
              <w:t>0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62"/>
              <w:spacing w:before="173" w:line="238" w:lineRule="auto"/>
              <w:rPr/>
            </w:pPr>
            <w:r>
              <w:rPr/>
              <w:t>2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71"/>
              <w:spacing w:before="173" w:line="238" w:lineRule="auto"/>
              <w:rPr/>
            </w:pPr>
            <w:r>
              <w:rPr/>
              <w:t>1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308"/>
              <w:spacing w:before="173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60"/>
              <w:spacing w:before="173" w:line="238" w:lineRule="auto"/>
              <w:rPr/>
            </w:pPr>
            <w:r>
              <w:rPr/>
              <w:t>2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  <w:ind w:left="263"/>
              <w:spacing w:before="173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61"/>
              <w:spacing w:before="173" w:line="237" w:lineRule="auto"/>
              <w:rPr/>
            </w:pPr>
            <w:r>
              <w:rPr/>
              <w:t>0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59"/>
              <w:spacing w:before="173" w:line="237" w:lineRule="auto"/>
              <w:rPr/>
            </w:pPr>
            <w:r>
              <w:rPr/>
              <w:t>0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ind w:left="1732"/>
        <w:spacing w:before="97" w:line="23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    </w:t>
      </w:r>
      <w:r>
        <w:rPr>
          <w:rFonts w:ascii="KaiTi" w:hAnsi="KaiTi" w:eastAsia="KaiTi" w:cs="KaiTi"/>
          <w:sz w:val="30"/>
          <w:szCs w:val="30"/>
          <w:spacing w:val="-2"/>
        </w:rPr>
        <w:t>三大运营商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5G+</w:t>
      </w:r>
      <w:r>
        <w:rPr>
          <w:rFonts w:ascii="KaiTi" w:hAnsi="KaiTi" w:eastAsia="KaiTi" w:cs="KaiTi"/>
          <w:sz w:val="30"/>
          <w:szCs w:val="30"/>
          <w:spacing w:val="-2"/>
        </w:rPr>
        <w:t>智慧电力项目情况</w:t>
      </w:r>
    </w:p>
    <w:p>
      <w:pPr>
        <w:spacing w:line="74" w:lineRule="exact"/>
        <w:rPr/>
      </w:pPr>
      <w:r/>
    </w:p>
    <w:tbl>
      <w:tblPr>
        <w:tblStyle w:val="TableNormal"/>
        <w:tblW w:w="8506" w:type="dxa"/>
        <w:tblInd w:w="2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710"/>
        <w:gridCol w:w="850"/>
        <w:gridCol w:w="851"/>
        <w:gridCol w:w="5388"/>
      </w:tblGrid>
      <w:tr>
        <w:trPr>
          <w:trHeight w:val="52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85"/>
              <w:spacing w:before="174" w:line="218" w:lineRule="auto"/>
              <w:rPr/>
            </w:pPr>
            <w:r>
              <w:rPr>
                <w:b/>
                <w:bCs/>
                <w:spacing w:val="-6"/>
              </w:rPr>
              <w:t>年份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82"/>
              <w:spacing w:before="58" w:line="221" w:lineRule="auto"/>
              <w:rPr/>
            </w:pPr>
            <w:r>
              <w:rPr>
                <w:b/>
                <w:bCs/>
                <w:spacing w:val="-5"/>
              </w:rPr>
              <w:t>渗透</w:t>
            </w:r>
          </w:p>
          <w:p>
            <w:pPr>
              <w:pStyle w:val="TableText"/>
              <w:ind w:left="184"/>
              <w:spacing w:before="45" w:line="204" w:lineRule="auto"/>
              <w:rPr/>
            </w:pPr>
            <w:r>
              <w:rPr>
                <w:b/>
                <w:bCs/>
                <w:spacing w:val="-6"/>
              </w:rPr>
              <w:t>情况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64"/>
              <w:spacing w:before="58" w:line="220" w:lineRule="auto"/>
              <w:rPr/>
            </w:pPr>
            <w:r>
              <w:rPr>
                <w:b/>
                <w:bCs/>
                <w:spacing w:val="-7"/>
              </w:rPr>
              <w:t>参赛项</w:t>
            </w:r>
          </w:p>
          <w:p>
            <w:pPr>
              <w:pStyle w:val="TableText"/>
              <w:ind w:left="193"/>
              <w:spacing w:before="47" w:line="204" w:lineRule="auto"/>
              <w:rPr/>
            </w:pPr>
            <w:r>
              <w:rPr>
                <w:b/>
                <w:bCs/>
                <w:spacing w:val="-16"/>
              </w:rPr>
              <w:t>目数量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64"/>
              <w:spacing w:before="58" w:line="218" w:lineRule="auto"/>
              <w:rPr/>
            </w:pPr>
            <w:r>
              <w:rPr>
                <w:b/>
                <w:bCs/>
                <w:spacing w:val="-7"/>
              </w:rPr>
              <w:t>获奖项</w:t>
            </w:r>
          </w:p>
          <w:p>
            <w:pPr>
              <w:pStyle w:val="TableText"/>
              <w:ind w:left="193"/>
              <w:spacing w:before="48" w:line="204" w:lineRule="auto"/>
              <w:rPr/>
            </w:pPr>
            <w:r>
              <w:rPr>
                <w:b/>
                <w:bCs/>
                <w:spacing w:val="-16"/>
              </w:rPr>
              <w:t>目数量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1526"/>
              <w:spacing w:before="174" w:line="218" w:lineRule="auto"/>
              <w:rPr/>
            </w:pPr>
            <w:r>
              <w:rPr>
                <w:b/>
                <w:bCs/>
                <w:spacing w:val="-3"/>
              </w:rPr>
              <w:t>优秀项目（全国赛获奖项目）</w:t>
            </w:r>
          </w:p>
        </w:tc>
      </w:tr>
      <w:tr>
        <w:trPr>
          <w:trHeight w:val="940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237" w:lineRule="auto"/>
              <w:rPr/>
            </w:pPr>
            <w:r>
              <w:rPr>
                <w:spacing w:val="-2"/>
              </w:rPr>
              <w:t>2021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00" w:right="176" w:firstLine="3"/>
              <w:spacing w:before="220" w:line="321" w:lineRule="auto"/>
              <w:rPr/>
            </w:pPr>
            <w:r>
              <w:rPr>
                <w:spacing w:val="-18"/>
              </w:rPr>
              <w:t>中国</w:t>
            </w:r>
            <w:r>
              <w:rPr>
                <w:spacing w:val="-16"/>
              </w:rPr>
              <w:t>电信</w:t>
            </w:r>
          </w:p>
        </w:tc>
        <w:tc>
          <w:tcPr>
            <w:tcW w:w="850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336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70</w:t>
            </w:r>
          </w:p>
        </w:tc>
        <w:tc>
          <w:tcPr>
            <w:tcW w:w="851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382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228" w:right="578" w:hanging="19"/>
              <w:spacing w:before="64" w:line="320" w:lineRule="auto"/>
              <w:rPr/>
            </w:pPr>
            <w:r>
              <w:rPr>
                <w:spacing w:val="-2"/>
              </w:rPr>
              <w:t>云南电网基于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5G+相控阵天线（Phased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array）的智能电网</w:t>
            </w:r>
            <w:r>
              <w:rPr>
                <w:spacing w:val="-3"/>
              </w:rPr>
              <w:t>国电投集团五凌电力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5G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云边协同智慧水电站</w:t>
            </w:r>
          </w:p>
          <w:p>
            <w:pPr>
              <w:pStyle w:val="TableText"/>
              <w:ind w:left="212"/>
              <w:spacing w:line="216" w:lineRule="auto"/>
              <w:rPr/>
            </w:pPr>
            <w:r>
              <w:rPr>
                <w:spacing w:val="-2"/>
              </w:rPr>
              <w:t>阜宁阿特斯阳光电力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5G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赋能光伏制造，助力贯彻双碳战略</w:t>
            </w:r>
          </w:p>
        </w:tc>
      </w:tr>
      <w:tr>
        <w:trPr>
          <w:trHeight w:val="940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pStyle w:val="TableText"/>
              <w:ind w:left="180" w:right="176" w:firstLine="23"/>
              <w:spacing w:before="220" w:line="322" w:lineRule="auto"/>
              <w:rPr/>
            </w:pPr>
            <w:r>
              <w:rPr>
                <w:spacing w:val="-18"/>
              </w:rPr>
              <w:t>中国</w:t>
            </w:r>
            <w:r>
              <w:rPr>
                <w:spacing w:val="-6"/>
              </w:rPr>
              <w:t>移动</w:t>
            </w:r>
          </w:p>
        </w:tc>
        <w:tc>
          <w:tcPr>
            <w:tcW w:w="850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305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150</w:t>
            </w:r>
          </w:p>
        </w:tc>
        <w:tc>
          <w:tcPr>
            <w:tcW w:w="851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353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13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229"/>
              <w:spacing w:before="65" w:line="217" w:lineRule="auto"/>
              <w:rPr/>
            </w:pPr>
            <w:r>
              <w:rPr>
                <w:spacing w:val="-3"/>
              </w:rPr>
              <w:t>国网山东双碳背景下智能电网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5G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规模化应用</w:t>
            </w:r>
          </w:p>
          <w:p>
            <w:pPr>
              <w:pStyle w:val="TableText"/>
              <w:ind w:left="208"/>
              <w:spacing w:before="100" w:line="218" w:lineRule="auto"/>
              <w:rPr/>
            </w:pPr>
            <w:r>
              <w:rPr>
                <w:spacing w:val="-3"/>
              </w:rPr>
              <w:t>徐大堡核电站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5G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智慧工地</w:t>
            </w:r>
          </w:p>
          <w:p>
            <w:pPr>
              <w:pStyle w:val="TableText"/>
              <w:ind w:left="229"/>
              <w:spacing w:before="99" w:line="217" w:lineRule="auto"/>
              <w:rPr/>
            </w:pPr>
            <w:r>
              <w:rPr>
                <w:spacing w:val="-3"/>
              </w:rPr>
              <w:t>国电电力国电建投内蒙古能源有限公司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5G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网络服务</w:t>
            </w:r>
            <w:r>
              <w:rPr>
                <w:spacing w:val="-4"/>
              </w:rPr>
              <w:t>与应用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pStyle w:val="TableText"/>
              <w:ind w:left="203"/>
              <w:spacing w:before="66" w:line="218" w:lineRule="auto"/>
              <w:rPr/>
            </w:pPr>
            <w:r>
              <w:rPr>
                <w:spacing w:val="-9"/>
              </w:rPr>
              <w:t>中国</w:t>
            </w:r>
          </w:p>
          <w:p>
            <w:pPr>
              <w:pStyle w:val="TableText"/>
              <w:ind w:left="178"/>
              <w:spacing w:before="99" w:line="221" w:lineRule="auto"/>
              <w:rPr/>
            </w:pPr>
            <w:r>
              <w:rPr>
                <w:spacing w:val="-3"/>
              </w:rPr>
              <w:t>联通</w:t>
            </w:r>
          </w:p>
        </w:tc>
        <w:tc>
          <w:tcPr>
            <w:tcW w:w="850" w:type="dxa"/>
            <w:vAlign w:val="top"/>
          </w:tcPr>
          <w:p>
            <w:pPr>
              <w:ind w:left="332"/>
              <w:spacing w:before="251" w:line="23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44</w:t>
            </w:r>
          </w:p>
        </w:tc>
        <w:tc>
          <w:tcPr>
            <w:tcW w:w="851" w:type="dxa"/>
            <w:vAlign w:val="top"/>
          </w:tcPr>
          <w:p>
            <w:pPr>
              <w:ind w:left="383"/>
              <w:spacing w:before="2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229"/>
              <w:spacing w:before="66" w:line="217" w:lineRule="auto"/>
              <w:rPr/>
            </w:pPr>
            <w:r>
              <w:rPr>
                <w:spacing w:val="-5"/>
              </w:rPr>
              <w:t>国网浙江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5G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电力虚拟专网赋能“零碳”亚运</w:t>
            </w:r>
          </w:p>
          <w:p>
            <w:pPr>
              <w:pStyle w:val="TableText"/>
              <w:ind w:left="229"/>
              <w:spacing w:before="101" w:line="217" w:lineRule="auto"/>
              <w:rPr/>
            </w:pPr>
            <w:r>
              <w:rPr>
                <w:spacing w:val="-3"/>
              </w:rPr>
              <w:t>国网北京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5G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智能电网天空地一体化冬奥全景实践应用</w:t>
            </w:r>
          </w:p>
        </w:tc>
      </w:tr>
      <w:tr>
        <w:trPr>
          <w:trHeight w:val="1254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9" w:line="237" w:lineRule="auto"/>
              <w:rPr/>
            </w:pPr>
            <w:r>
              <w:rPr>
                <w:spacing w:val="-2"/>
              </w:rPr>
              <w:t>2022</w:t>
            </w:r>
          </w:p>
        </w:tc>
        <w:tc>
          <w:tcPr>
            <w:tcW w:w="710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 w:right="176" w:firstLine="3"/>
              <w:spacing w:before="58" w:line="321" w:lineRule="auto"/>
              <w:rPr/>
            </w:pPr>
            <w:r>
              <w:rPr>
                <w:spacing w:val="-18"/>
              </w:rPr>
              <w:t>中国</w:t>
            </w:r>
            <w:r>
              <w:rPr>
                <w:spacing w:val="-16"/>
              </w:rPr>
              <w:t>电信</w:t>
            </w:r>
          </w:p>
        </w:tc>
        <w:tc>
          <w:tcPr>
            <w:tcW w:w="850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305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172</w:t>
            </w:r>
          </w:p>
        </w:tc>
        <w:tc>
          <w:tcPr>
            <w:tcW w:w="851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386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116" w:right="237" w:firstLine="112"/>
              <w:spacing w:before="69" w:line="320" w:lineRule="auto"/>
              <w:rPr/>
            </w:pPr>
            <w:r>
              <w:rPr>
                <w:spacing w:val="-2"/>
              </w:rPr>
              <w:t>国电电力东胜热电基于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5G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技术的工业无线网在智能化火电</w:t>
            </w:r>
            <w:r>
              <w:rPr>
                <w:spacing w:val="-3"/>
              </w:rPr>
              <w:t>厂建</w:t>
            </w:r>
            <w:r>
              <w:rPr>
                <w:spacing w:val="-2"/>
              </w:rPr>
              <w:t>设中的实践应用</w:t>
            </w:r>
          </w:p>
          <w:p>
            <w:pPr>
              <w:pStyle w:val="TableText"/>
              <w:ind w:left="206" w:right="823" w:firstLine="22"/>
              <w:spacing w:line="282" w:lineRule="auto"/>
              <w:rPr/>
            </w:pPr>
            <w:r>
              <w:rPr>
                <w:spacing w:val="-2"/>
              </w:rPr>
              <w:t>国网重庆“5G+量子”省级广域通信赋能新型电力系统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5G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赋能光伏产业，打造绿色协鑫、科技协鑫、数字</w:t>
            </w:r>
            <w:r>
              <w:rPr>
                <w:spacing w:val="-2"/>
              </w:rPr>
              <w:t>协鑫</w:t>
            </w:r>
          </w:p>
        </w:tc>
      </w:tr>
      <w:tr>
        <w:trPr>
          <w:trHeight w:val="940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pStyle w:val="TableText"/>
              <w:ind w:left="180" w:right="176" w:firstLine="23"/>
              <w:spacing w:before="223" w:line="322" w:lineRule="auto"/>
              <w:rPr/>
            </w:pPr>
            <w:r>
              <w:rPr>
                <w:spacing w:val="-18"/>
              </w:rPr>
              <w:t>中国</w:t>
            </w:r>
            <w:r>
              <w:rPr>
                <w:spacing w:val="-6"/>
              </w:rPr>
              <w:t>移动</w:t>
            </w:r>
          </w:p>
        </w:tc>
        <w:tc>
          <w:tcPr>
            <w:tcW w:w="850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312</w:t>
            </w:r>
          </w:p>
        </w:tc>
        <w:tc>
          <w:tcPr>
            <w:tcW w:w="851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353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18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212"/>
              <w:spacing w:before="68" w:line="217" w:lineRule="auto"/>
              <w:rPr/>
            </w:pPr>
            <w:r>
              <w:rPr>
                <w:spacing w:val="-3"/>
              </w:rPr>
              <w:t>全域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5G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边缘云专网赋能秦山核电安全高效</w:t>
            </w:r>
          </w:p>
          <w:p>
            <w:pPr>
              <w:pStyle w:val="TableText"/>
              <w:ind w:left="137"/>
              <w:spacing w:before="100" w:line="218" w:lineRule="auto"/>
              <w:rPr/>
            </w:pPr>
            <w:r>
              <w:rPr>
                <w:spacing w:val="-2"/>
              </w:rPr>
              <w:t>国网浙江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5G+直流微电网打造杭州亚运全绿电零碳示范园区</w:t>
            </w:r>
          </w:p>
          <w:p>
            <w:pPr>
              <w:pStyle w:val="TableText"/>
              <w:ind w:left="116"/>
              <w:spacing w:before="99" w:line="217" w:lineRule="auto"/>
              <w:rPr/>
            </w:pPr>
            <w:r>
              <w:rPr>
                <w:spacing w:val="-1"/>
              </w:rPr>
              <w:t>广西长洲水电茶船古道四通达，5G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物联载智慧水电开辟新航道</w:t>
            </w:r>
          </w:p>
        </w:tc>
      </w:tr>
      <w:tr>
        <w:trPr>
          <w:trHeight w:val="945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8" w:right="176" w:firstLine="25"/>
              <w:spacing w:before="224" w:line="323" w:lineRule="auto"/>
              <w:rPr/>
            </w:pPr>
            <w:r>
              <w:rPr>
                <w:spacing w:val="-18"/>
              </w:rPr>
              <w:t>中国</w:t>
            </w:r>
            <w:r>
              <w:rPr>
                <w:spacing w:val="-5"/>
              </w:rPr>
              <w:t>联通</w:t>
            </w:r>
          </w:p>
        </w:tc>
        <w:tc>
          <w:tcPr>
            <w:tcW w:w="850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288"/>
              <w:spacing w:before="5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291</w:t>
            </w:r>
          </w:p>
        </w:tc>
        <w:tc>
          <w:tcPr>
            <w:tcW w:w="851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353"/>
              <w:spacing w:before="52" w:line="23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11</w:t>
            </w:r>
          </w:p>
        </w:tc>
        <w:tc>
          <w:tcPr>
            <w:tcW w:w="5388" w:type="dxa"/>
            <w:vAlign w:val="top"/>
          </w:tcPr>
          <w:p>
            <w:pPr>
              <w:pStyle w:val="TableText"/>
              <w:ind w:left="229"/>
              <w:spacing w:before="68" w:line="216" w:lineRule="auto"/>
              <w:rPr/>
            </w:pPr>
            <w:r>
              <w:rPr>
                <w:spacing w:val="-2"/>
              </w:rPr>
              <w:t>国网山东电力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5G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智慧电力专网助力分布式</w:t>
            </w:r>
            <w:r>
              <w:rPr>
                <w:spacing w:val="-3"/>
              </w:rPr>
              <w:t>光伏应用发展</w:t>
            </w:r>
          </w:p>
          <w:p>
            <w:pPr>
              <w:pStyle w:val="TableText"/>
              <w:ind w:left="231"/>
              <w:spacing w:before="101" w:line="217" w:lineRule="auto"/>
              <w:rPr/>
            </w:pPr>
            <w:r>
              <w:rPr>
                <w:spacing w:val="-3"/>
              </w:rPr>
              <w:t>中国华电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5G+智慧电厂筑牢安全生产屏障</w:t>
            </w:r>
          </w:p>
          <w:p>
            <w:pPr>
              <w:pStyle w:val="TableText"/>
              <w:ind w:left="229"/>
              <w:spacing w:before="100" w:line="218" w:lineRule="auto"/>
              <w:rPr/>
            </w:pPr>
            <w:r>
              <w:rPr>
                <w:spacing w:val="-2"/>
              </w:rPr>
              <w:t>国网山东基于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5G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和联邦学习的整县光伏数据共享及增值</w:t>
            </w:r>
            <w:r>
              <w:rPr>
                <w:spacing w:val="-3"/>
              </w:rPr>
              <w:t>系统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7" w:h="16839"/>
          <w:pgMar w:top="1223" w:right="1557" w:bottom="0" w:left="1558" w:header="832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ind w:left="638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．运营商参与：积极与头部能源企业合作，项目拓展迅速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41" w:right="28" w:firstLine="602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从参与情况看，运营商积极与头部能源企业合作。电信前五</w:t>
      </w:r>
      <w:r>
        <w:rPr>
          <w:rFonts w:ascii="SimSun" w:hAnsi="SimSun" w:eastAsia="SimSun" w:cs="SimSun"/>
          <w:sz w:val="30"/>
          <w:szCs w:val="30"/>
          <w:spacing w:val="-4"/>
        </w:rPr>
        <w:t>大合作伙伴是国家电网、国家能源集团、华能电力、大唐电力和</w:t>
      </w:r>
      <w:r>
        <w:rPr>
          <w:rFonts w:ascii="SimSun" w:hAnsi="SimSun" w:eastAsia="SimSun" w:cs="SimSun"/>
          <w:sz w:val="30"/>
          <w:szCs w:val="30"/>
          <w:spacing w:val="-2"/>
        </w:rPr>
        <w:t>南方电网，合作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94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次；移动前五大合作伙伴是国家电网、华能</w:t>
      </w:r>
      <w:r>
        <w:rPr>
          <w:rFonts w:ascii="SimSun" w:hAnsi="SimSun" w:eastAsia="SimSun" w:cs="SimSun"/>
          <w:sz w:val="30"/>
          <w:szCs w:val="30"/>
          <w:spacing w:val="-11"/>
        </w:rPr>
        <w:t>电力、国家能源集团、南方电网和大唐电力， 合作</w:t>
      </w:r>
      <w:r>
        <w:rPr>
          <w:rFonts w:ascii="SimSun" w:hAnsi="SimSun" w:eastAsia="SimSun" w:cs="SimSun"/>
          <w:sz w:val="30"/>
          <w:szCs w:val="3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176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次；联通</w:t>
      </w:r>
      <w:r>
        <w:rPr>
          <w:rFonts w:ascii="SimSun" w:hAnsi="SimSun" w:eastAsia="SimSun" w:cs="SimSun"/>
          <w:sz w:val="30"/>
          <w:szCs w:val="30"/>
          <w:spacing w:val="-4"/>
        </w:rPr>
        <w:t>前五大合作伙伴是国家电网、大唐电力、中国华电、南方电网和</w:t>
      </w:r>
      <w:r>
        <w:rPr>
          <w:rFonts w:ascii="SimSun" w:hAnsi="SimSun" w:eastAsia="SimSun" w:cs="SimSun"/>
          <w:sz w:val="30"/>
          <w:szCs w:val="30"/>
          <w:spacing w:val="-3"/>
        </w:rPr>
        <w:t>国家能源集团，合作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116  </w:t>
      </w:r>
      <w:r>
        <w:rPr>
          <w:rFonts w:ascii="SimSun" w:hAnsi="SimSun" w:eastAsia="SimSun" w:cs="SimSun"/>
          <w:sz w:val="30"/>
          <w:szCs w:val="30"/>
          <w:spacing w:val="-3"/>
        </w:rPr>
        <w:t>次。其中，联通发展迅猛，相比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2021</w:t>
      </w:r>
      <w:r>
        <w:rPr>
          <w:rFonts w:ascii="SimSun" w:hAnsi="SimSun" w:eastAsia="SimSun" w:cs="SimSun"/>
          <w:sz w:val="30"/>
          <w:szCs w:val="30"/>
          <w:spacing w:val="-2"/>
        </w:rPr>
        <w:t>年，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年项目数量翻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6.6 </w:t>
      </w:r>
      <w:r>
        <w:rPr>
          <w:rFonts w:ascii="SimSun" w:hAnsi="SimSun" w:eastAsia="SimSun" w:cs="SimSun"/>
          <w:sz w:val="30"/>
          <w:szCs w:val="30"/>
          <w:spacing w:val="-2"/>
        </w:rPr>
        <w:t>倍，获奖数量翻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3.7 </w:t>
      </w:r>
      <w:r>
        <w:rPr>
          <w:rFonts w:ascii="SimSun" w:hAnsi="SimSun" w:eastAsia="SimSun" w:cs="SimSun"/>
          <w:sz w:val="30"/>
          <w:szCs w:val="30"/>
          <w:spacing w:val="-2"/>
        </w:rPr>
        <w:t>倍，其增量主要</w:t>
      </w:r>
      <w:r>
        <w:rPr>
          <w:rFonts w:ascii="SimSun" w:hAnsi="SimSun" w:eastAsia="SimSun" w:cs="SimSun"/>
          <w:sz w:val="30"/>
          <w:szCs w:val="30"/>
          <w:spacing w:val="-1"/>
        </w:rPr>
        <w:t>来自山东和广东两省，重点拓展风光核等新能源发电侧场景。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二、5G+智慧电力主要问题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ind w:left="38" w:right="27" w:firstLine="601"/>
        <w:spacing w:before="97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近年来，国家发改委、能源局出台《能源领</w:t>
      </w:r>
      <w:r>
        <w:rPr>
          <w:rFonts w:ascii="SimSun" w:hAnsi="SimSun" w:eastAsia="SimSun" w:cs="SimSun"/>
          <w:sz w:val="30"/>
          <w:szCs w:val="30"/>
          <w:spacing w:val="-2"/>
        </w:rPr>
        <w:t>域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SimSun" w:hAnsi="SimSun" w:eastAsia="SimSun" w:cs="SimSun"/>
          <w:sz w:val="30"/>
          <w:szCs w:val="30"/>
          <w:spacing w:val="-2"/>
        </w:rPr>
        <w:t>应用实施</w:t>
      </w:r>
      <w:r>
        <w:rPr>
          <w:rFonts w:ascii="SimSun" w:hAnsi="SimSun" w:eastAsia="SimSun" w:cs="SimSun"/>
          <w:sz w:val="30"/>
          <w:szCs w:val="30"/>
          <w:spacing w:val="-17"/>
        </w:rPr>
        <w:t>方案》、《“十四五</w:t>
      </w:r>
      <w:r>
        <w:rPr>
          <w:rFonts w:ascii="SimSun" w:hAnsi="SimSun" w:eastAsia="SimSun" w:cs="SimSun"/>
          <w:sz w:val="30"/>
          <w:szCs w:val="30"/>
          <w:spacing w:val="-10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”现代能源体系规划》等一系列政策引导 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5G+</w:t>
      </w:r>
      <w:r>
        <w:rPr>
          <w:rFonts w:ascii="SimSun" w:hAnsi="SimSun" w:eastAsia="SimSun" w:cs="SimSun"/>
          <w:sz w:val="30"/>
          <w:szCs w:val="30"/>
          <w:spacing w:val="-4"/>
        </w:rPr>
        <w:t>智慧电力建设，“十四五”期间，能源电力领域的数字化转型将</w:t>
      </w:r>
      <w:r>
        <w:rPr>
          <w:rFonts w:ascii="SimSun" w:hAnsi="SimSun" w:eastAsia="SimSun" w:cs="SimSun"/>
          <w:sz w:val="30"/>
          <w:szCs w:val="30"/>
          <w:spacing w:val="-8"/>
        </w:rPr>
        <w:t>进一步加快推进。艾瑞研究表明，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我国电力行业数字化市场规模</w:t>
      </w:r>
      <w:r>
        <w:rPr>
          <w:rFonts w:ascii="SimSun" w:hAnsi="SimSun" w:eastAsia="SimSun" w:cs="SimSun"/>
          <w:sz w:val="30"/>
          <w:szCs w:val="30"/>
          <w:spacing w:val="-1"/>
        </w:rPr>
        <w:t>呈稳健增长态势，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414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亿元，</w:t>
      </w:r>
      <w:r>
        <w:rPr>
          <w:rFonts w:ascii="SimSun" w:hAnsi="SimSun" w:eastAsia="SimSun" w:cs="SimSun"/>
          <w:sz w:val="30"/>
          <w:szCs w:val="30"/>
          <w:spacing w:val="-2"/>
        </w:rPr>
        <w:t>未来五年复合增长率为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19.3%</w:t>
      </w:r>
      <w:r>
        <w:rPr>
          <w:rFonts w:ascii="SimSun" w:hAnsi="SimSun" w:eastAsia="SimSun" w:cs="SimSun"/>
          <w:sz w:val="30"/>
          <w:szCs w:val="30"/>
          <w:spacing w:val="-5"/>
        </w:rPr>
        <w:t>，预计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2025 </w:t>
      </w:r>
      <w:r>
        <w:rPr>
          <w:rFonts w:ascii="SimSun" w:hAnsi="SimSun" w:eastAsia="SimSun" w:cs="SimSun"/>
          <w:sz w:val="30"/>
          <w:szCs w:val="30"/>
          <w:spacing w:val="-5"/>
        </w:rPr>
        <w:t>年将达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839 </w:t>
      </w:r>
      <w:r>
        <w:rPr>
          <w:rFonts w:ascii="SimSun" w:hAnsi="SimSun" w:eastAsia="SimSun" w:cs="SimSun"/>
          <w:sz w:val="30"/>
          <w:szCs w:val="30"/>
          <w:spacing w:val="-5"/>
        </w:rPr>
        <w:t>亿元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5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</w:t>
      </w:r>
      <w:r>
        <w:rPr>
          <w:rFonts w:ascii="SimSun" w:hAnsi="SimSun" w:eastAsia="SimSun" w:cs="SimSun"/>
          <w:sz w:val="30"/>
          <w:szCs w:val="30"/>
          <w:spacing w:val="-5"/>
        </w:rPr>
        <w:t>智慧电力整体市场空间</w:t>
      </w:r>
      <w:r>
        <w:rPr>
          <w:rFonts w:ascii="SimSun" w:hAnsi="SimSun" w:eastAsia="SimSun" w:cs="SimSun"/>
          <w:sz w:val="30"/>
          <w:szCs w:val="30"/>
          <w:spacing w:val="-3"/>
        </w:rPr>
        <w:t>巨大。与此同时，电力行业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 </w:t>
      </w:r>
      <w:r>
        <w:rPr>
          <w:rFonts w:ascii="SimSun" w:hAnsi="SimSun" w:eastAsia="SimSun" w:cs="SimSun"/>
          <w:sz w:val="30"/>
          <w:szCs w:val="30"/>
          <w:spacing w:val="-3"/>
        </w:rPr>
        <w:t>应用尚存在部分问题。</w:t>
      </w:r>
    </w:p>
    <w:p>
      <w:pPr>
        <w:ind w:left="650"/>
        <w:spacing w:before="25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．应用场景仍待拓展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39" w:right="28" w:firstLine="628"/>
        <w:spacing w:before="99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pict>
          <v:shape id="_x0000_s26" style="position:absolute;margin-left:1.43999pt;margin-top:93.1898pt;mso-position-vertical-relative:text;mso-position-horizontal-relative:text;width:144.05pt;height:0.5pt;z-index:251675648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2"/>
        </w:rPr>
        <w:t>围绕电力系统发电、输电、变配电与用电全流程，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 </w:t>
      </w:r>
      <w:r>
        <w:rPr>
          <w:rFonts w:ascii="SimSun" w:hAnsi="SimSun" w:eastAsia="SimSun" w:cs="SimSun"/>
          <w:sz w:val="30"/>
          <w:szCs w:val="30"/>
          <w:spacing w:val="-2"/>
        </w:rPr>
        <w:t>应用</w:t>
      </w:r>
      <w:r>
        <w:rPr>
          <w:rFonts w:ascii="SimSun" w:hAnsi="SimSun" w:eastAsia="SimSun" w:cs="SimSun"/>
          <w:sz w:val="30"/>
          <w:szCs w:val="30"/>
          <w:spacing w:val="-4"/>
        </w:rPr>
        <w:t>场景主要包括控制类业务、采集类业务、移动应用类业务以及多</w:t>
      </w:r>
      <w:r>
        <w:rPr>
          <w:rFonts w:ascii="SimSun" w:hAnsi="SimSun" w:eastAsia="SimSun" w:cs="SimSun"/>
          <w:sz w:val="30"/>
          <w:szCs w:val="30"/>
          <w:spacing w:val="-1"/>
        </w:rPr>
        <w:t>站融合为代表的电网新型业务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4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35"/>
        <w:spacing w:before="291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1"/>
          <w:szCs w:val="11"/>
          <w:spacing w:val="-1"/>
          <w:position w:val="10"/>
        </w:rPr>
        <w:t>3  </w:t>
      </w:r>
      <w:r>
        <w:rPr>
          <w:rFonts w:ascii="SimSun" w:hAnsi="SimSun" w:eastAsia="SimSun" w:cs="SimSun"/>
          <w:sz w:val="21"/>
          <w:szCs w:val="21"/>
          <w:spacing w:val="-1"/>
        </w:rPr>
        <w:t>资料来源于《2022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年中国电力产业数字化研究报告》</w:t>
      </w:r>
    </w:p>
    <w:p>
      <w:pPr>
        <w:ind w:left="32"/>
        <w:spacing w:before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1"/>
          <w:szCs w:val="11"/>
          <w:spacing w:val="-1"/>
          <w:position w:val="10"/>
        </w:rPr>
        <w:t>4  </w:t>
      </w:r>
      <w:r>
        <w:rPr>
          <w:rFonts w:ascii="SimSun" w:hAnsi="SimSun" w:eastAsia="SimSun" w:cs="SimSun"/>
          <w:sz w:val="21"/>
          <w:szCs w:val="21"/>
          <w:spacing w:val="-1"/>
        </w:rPr>
        <w:t>资料来源于德勤《5G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赋能未来电力》</w:t>
      </w:r>
    </w:p>
    <w:p>
      <w:pPr>
        <w:sectPr>
          <w:headerReference w:type="default" r:id="rId7"/>
          <w:pgSz w:w="11907" w:h="16839"/>
          <w:pgMar w:top="1223" w:right="1769" w:bottom="0" w:left="1771" w:header="832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ind w:left="39" w:right="172" w:firstLine="601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基于网络切片、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TSN</w:t>
      </w:r>
      <w:r>
        <w:rPr>
          <w:rFonts w:ascii="SimSun" w:hAnsi="SimSun" w:eastAsia="SimSun" w:cs="SimSun"/>
          <w:sz w:val="30"/>
          <w:szCs w:val="30"/>
          <w:spacing w:val="-3"/>
        </w:rPr>
        <w:t>、机器视觉、大数据、机器人等技术的</w:t>
      </w:r>
      <w:r>
        <w:rPr>
          <w:rFonts w:ascii="SimSun" w:hAnsi="SimSun" w:eastAsia="SimSun" w:cs="SimSun"/>
          <w:sz w:val="30"/>
          <w:szCs w:val="30"/>
          <w:spacing w:val="-1"/>
        </w:rPr>
        <w:t>创新融合，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已逐步在大型电厂实现配网控制、机器人巡检等</w:t>
      </w:r>
      <w:r>
        <w:rPr>
          <w:rFonts w:ascii="SimSun" w:hAnsi="SimSun" w:eastAsia="SimSun" w:cs="SimSun"/>
          <w:sz w:val="30"/>
          <w:szCs w:val="30"/>
          <w:spacing w:val="-9"/>
        </w:rPr>
        <w:t>生产控制、智能运维、安全应急场景的应用覆盖， 但大多数输电</w:t>
      </w:r>
      <w:r>
        <w:rPr>
          <w:rFonts w:ascii="SimSun" w:hAnsi="SimSun" w:eastAsia="SimSun" w:cs="SimSun"/>
          <w:sz w:val="30"/>
          <w:szCs w:val="30"/>
          <w:spacing w:val="-1"/>
        </w:rPr>
        <w:t>线路、变电站尚未实现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应用，输变电巡检、控制</w:t>
      </w:r>
      <w:r>
        <w:rPr>
          <w:rFonts w:ascii="SimSun" w:hAnsi="SimSun" w:eastAsia="SimSun" w:cs="SimSun"/>
          <w:sz w:val="30"/>
          <w:szCs w:val="30"/>
          <w:spacing w:val="-2"/>
        </w:rPr>
        <w:t>类业务场景</w:t>
      </w:r>
      <w:r>
        <w:rPr>
          <w:rFonts w:ascii="SimSun" w:hAnsi="SimSun" w:eastAsia="SimSun" w:cs="SimSun"/>
          <w:sz w:val="30"/>
          <w:szCs w:val="30"/>
          <w:spacing w:val="-3"/>
        </w:rPr>
        <w:t>的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应用难以规模化，依托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专网实现多业务场景接入虽能</w:t>
      </w:r>
      <w:r>
        <w:rPr>
          <w:rFonts w:ascii="SimSun" w:hAnsi="SimSun" w:eastAsia="SimSun" w:cs="SimSun"/>
          <w:sz w:val="30"/>
          <w:szCs w:val="30"/>
          <w:spacing w:val="-1"/>
        </w:rPr>
        <w:t>在一定程度上解决上述问题，但当前网络部署成本较高。同时，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终端模组形态数量较少且业务适配度较低、关键核心芯片与</w:t>
      </w:r>
      <w:r>
        <w:rPr>
          <w:rFonts w:ascii="SimSun" w:hAnsi="SimSun" w:eastAsia="SimSun" w:cs="SimSun"/>
          <w:sz w:val="30"/>
          <w:szCs w:val="30"/>
          <w:spacing w:val="-4"/>
        </w:rPr>
        <w:t>元器件技术落后等一系列问题，进一步制约电力物联网发展，阻</w:t>
      </w:r>
      <w:r>
        <w:rPr>
          <w:rFonts w:ascii="SimSun" w:hAnsi="SimSun" w:eastAsia="SimSun" w:cs="SimSun"/>
          <w:sz w:val="30"/>
          <w:szCs w:val="30"/>
          <w:spacing w:val="-4"/>
        </w:rPr>
        <w:t>碍新型业务场景的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 </w:t>
      </w:r>
      <w:r>
        <w:rPr>
          <w:rFonts w:ascii="SimSun" w:hAnsi="SimSun" w:eastAsia="SimSun" w:cs="SimSun"/>
          <w:sz w:val="30"/>
          <w:szCs w:val="30"/>
          <w:spacing w:val="-4"/>
        </w:rPr>
        <w:t>深层次应用。</w:t>
      </w:r>
    </w:p>
    <w:p>
      <w:pPr>
        <w:ind w:left="638"/>
        <w:spacing w:before="25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．安全能力仍需提升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39" w:firstLine="636"/>
        <w:spacing w:before="97" w:line="334" w:lineRule="auto"/>
        <w:tabs>
          <w:tab w:val="left" w:pos="8590"/>
        </w:tabs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电力系统对网络的可靠性与安全性具有特殊要求，同时不同</w:t>
      </w:r>
      <w:r>
        <w:rPr>
          <w:rFonts w:ascii="SimSun" w:hAnsi="SimSun" w:eastAsia="SimSun" w:cs="SimSun"/>
          <w:sz w:val="30"/>
          <w:szCs w:val="30"/>
          <w:spacing w:val="-4"/>
        </w:rPr>
        <w:t>业务具有不同的网络安全等级要求，涉及实时控制及感知采集的</w:t>
      </w:r>
      <w:r>
        <w:rPr>
          <w:rFonts w:ascii="SimSun" w:hAnsi="SimSun" w:eastAsia="SimSun" w:cs="SimSun"/>
          <w:sz w:val="30"/>
          <w:szCs w:val="30"/>
          <w:spacing w:val="-5"/>
        </w:rPr>
        <w:t>生产控制类业务安全防护需求最高，需要搭建专网接入信</w:t>
      </w:r>
      <w:r>
        <w:rPr>
          <w:rFonts w:ascii="SimSun" w:hAnsi="SimSun" w:eastAsia="SimSun" w:cs="SimSun"/>
          <w:sz w:val="30"/>
          <w:szCs w:val="30"/>
          <w:spacing w:val="-6"/>
        </w:rPr>
        <w:t>息内网。</w:t>
      </w:r>
      <w:r>
        <w:rPr>
          <w:rFonts w:ascii="SimSun" w:hAnsi="SimSun" w:eastAsia="SimSun" w:cs="SimSun"/>
          <w:sz w:val="30"/>
          <w:szCs w:val="30"/>
          <w:spacing w:val="-4"/>
        </w:rPr>
        <w:t>电力生产管理、调度运行等管理类业务分布广泛、安全防护需求</w:t>
      </w:r>
      <w:r>
        <w:rPr>
          <w:rFonts w:ascii="SimSun" w:hAnsi="SimSun" w:eastAsia="SimSun" w:cs="SimSun"/>
          <w:sz w:val="30"/>
          <w:szCs w:val="30"/>
          <w:spacing w:val="-6"/>
        </w:rPr>
        <w:t>次之，而移动应用类业务安全防护需求最低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10"/>
        </w:rPr>
        <w:t>5</w:t>
      </w:r>
      <w:r>
        <w:rPr>
          <w:rFonts w:ascii="SimSun" w:hAnsi="SimSun" w:eastAsia="SimSun" w:cs="SimSun"/>
          <w:sz w:val="30"/>
          <w:szCs w:val="30"/>
          <w:spacing w:val="-6"/>
        </w:rPr>
        <w:t>，当前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网络切片</w:t>
      </w:r>
      <w:r>
        <w:rPr>
          <w:rFonts w:ascii="SimSun" w:hAnsi="SimSun" w:eastAsia="SimSun" w:cs="SimSun"/>
          <w:sz w:val="30"/>
          <w:szCs w:val="30"/>
          <w:spacing w:val="-1"/>
        </w:rPr>
        <w:t>针对不同业务需求尚未构建定制化安全保护机制，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网络切片</w:t>
      </w:r>
      <w:r>
        <w:rPr>
          <w:rFonts w:ascii="SimSun" w:hAnsi="SimSun" w:eastAsia="SimSun" w:cs="SimSun"/>
          <w:sz w:val="30"/>
          <w:szCs w:val="30"/>
          <w:spacing w:val="-4"/>
        </w:rPr>
        <w:t>安全性、超低时延业务承载及业务安全隔离等均对现有电力网络</w:t>
      </w:r>
      <w:r>
        <w:rPr>
          <w:rFonts w:ascii="SimSun" w:hAnsi="SimSun" w:eastAsia="SimSun" w:cs="SimSun"/>
          <w:sz w:val="30"/>
          <w:szCs w:val="30"/>
          <w:spacing w:val="-4"/>
        </w:rPr>
        <w:t>架构及管理提出新的要求，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电力虚拟专网亟待升级。</w:t>
      </w:r>
    </w:p>
    <w:p>
      <w:pPr>
        <w:ind w:left="39" w:right="146" w:firstLine="602"/>
        <w:spacing w:before="251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此外，电力行业数据类型多、规模大，采集范围广，发电、</w:t>
      </w:r>
      <w:r>
        <w:rPr>
          <w:rFonts w:ascii="SimSun" w:hAnsi="SimSun" w:eastAsia="SimSun" w:cs="SimSun"/>
          <w:sz w:val="30"/>
          <w:szCs w:val="30"/>
        </w:rPr>
        <w:t>输电、用电等各环节均产生大量数据，海量数据存在泄露风险。</w:t>
      </w:r>
      <w:r>
        <w:rPr>
          <w:rFonts w:ascii="SimSun" w:hAnsi="SimSun" w:eastAsia="SimSun" w:cs="SimSun"/>
          <w:sz w:val="30"/>
          <w:szCs w:val="30"/>
          <w:spacing w:val="-3"/>
        </w:rPr>
        <w:t>复杂电力场景也容易与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网络发生电磁干扰，影响网络传输甚</w:t>
      </w:r>
      <w:r>
        <w:rPr>
          <w:rFonts w:ascii="SimSun" w:hAnsi="SimSun" w:eastAsia="SimSun" w:cs="SimSun"/>
          <w:sz w:val="30"/>
          <w:szCs w:val="30"/>
          <w:spacing w:val="-1"/>
        </w:rPr>
        <w:t>至造成通信中断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6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spacing w:line="460" w:lineRule="auto"/>
        <w:rPr>
          <w:rFonts w:ascii="Arial"/>
          <w:sz w:val="21"/>
        </w:rPr>
      </w:pPr>
      <w:r>
        <w:pict>
          <v:shape id="_x0000_s30" style="position:absolute;margin-left:1.43999pt;margin-top:19.4251pt;mso-position-vertical-relative:text;mso-position-horizontal-relative:text;width:144.05pt;height:0.5pt;z-index:251683840;" fillcolor="#000000" filled="true" stroked="false" coordsize="2881,10" coordorigin="0,0" path="m0,9l2880,9l2880,0l0,0l0,9xe"/>
        </w:pict>
      </w:r>
      <w:r/>
    </w:p>
    <w:p>
      <w:pPr>
        <w:ind w:left="35"/>
        <w:spacing w:before="68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1"/>
          <w:szCs w:val="11"/>
          <w:spacing w:val="-2"/>
          <w:position w:val="10"/>
        </w:rPr>
        <w:t>5  </w:t>
      </w:r>
      <w:r>
        <w:rPr>
          <w:rFonts w:ascii="SimSun" w:hAnsi="SimSun" w:eastAsia="SimSun" w:cs="SimSun"/>
          <w:sz w:val="21"/>
          <w:szCs w:val="21"/>
          <w:spacing w:val="-2"/>
        </w:rPr>
        <w:t>资料来源于《5G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电力行业应用安全需求与架构白皮书》</w:t>
      </w:r>
    </w:p>
    <w:p>
      <w:pPr>
        <w:ind w:left="33"/>
        <w:spacing w:before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1"/>
          <w:szCs w:val="11"/>
          <w:spacing w:val="-2"/>
          <w:position w:val="10"/>
        </w:rPr>
        <w:t>6  </w:t>
      </w:r>
      <w:r>
        <w:rPr>
          <w:rFonts w:ascii="SimSun" w:hAnsi="SimSun" w:eastAsia="SimSun" w:cs="SimSun"/>
          <w:sz w:val="21"/>
          <w:szCs w:val="21"/>
          <w:spacing w:val="-2"/>
        </w:rPr>
        <w:t>资料来源于《5G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电力虚拟专网网络安全白皮书》</w:t>
      </w:r>
    </w:p>
    <w:p>
      <w:pPr>
        <w:sectPr>
          <w:headerReference w:type="default" r:id="rId8"/>
          <w:pgSz w:w="11907" w:h="16839"/>
          <w:pgMar w:top="1223" w:right="1543" w:bottom="0" w:left="1771" w:header="832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ind w:left="635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．技术融合仍待探索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39" w:right="30" w:firstLine="599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在构建以新能源为主体的新型电力系统过程中，清洁能</w:t>
      </w:r>
      <w:r>
        <w:rPr>
          <w:rFonts w:ascii="SimSun" w:hAnsi="SimSun" w:eastAsia="SimSun" w:cs="SimSun"/>
          <w:sz w:val="30"/>
          <w:szCs w:val="30"/>
          <w:spacing w:val="-5"/>
        </w:rPr>
        <w:t>源发</w:t>
      </w:r>
      <w:r>
        <w:rPr>
          <w:rFonts w:ascii="SimSun" w:hAnsi="SimSun" w:eastAsia="SimSun" w:cs="SimSun"/>
          <w:sz w:val="30"/>
          <w:szCs w:val="30"/>
          <w:spacing w:val="-9"/>
        </w:rPr>
        <w:t>电的波动性、间歇性导致电力系统不稳定性增加， 同时高比例可</w:t>
      </w:r>
      <w:r>
        <w:rPr>
          <w:rFonts w:ascii="SimSun" w:hAnsi="SimSun" w:eastAsia="SimSun" w:cs="SimSun"/>
          <w:sz w:val="30"/>
          <w:szCs w:val="30"/>
          <w:spacing w:val="-4"/>
        </w:rPr>
        <w:t>再生能源接入、负荷多元互动、供需平衡一系列发展新要求，涉</w:t>
      </w:r>
      <w:r>
        <w:rPr>
          <w:rFonts w:ascii="SimSun" w:hAnsi="SimSun" w:eastAsia="SimSun" w:cs="SimSun"/>
          <w:sz w:val="30"/>
          <w:szCs w:val="30"/>
          <w:spacing w:val="-4"/>
        </w:rPr>
        <w:t>及电力系统数据体系、算法体系、网络通道等基础设施的整体性</w:t>
      </w:r>
      <w:r>
        <w:rPr>
          <w:rFonts w:ascii="SimSun" w:hAnsi="SimSun" w:eastAsia="SimSun" w:cs="SimSun"/>
          <w:sz w:val="30"/>
          <w:szCs w:val="30"/>
          <w:spacing w:val="-9"/>
        </w:rPr>
        <w:t>革新，需要多种技术的融合应用。因此， 数字技术融合创新与应</w:t>
      </w:r>
      <w:r>
        <w:rPr>
          <w:rFonts w:ascii="SimSun" w:hAnsi="SimSun" w:eastAsia="SimSun" w:cs="SimSun"/>
          <w:sz w:val="30"/>
          <w:szCs w:val="30"/>
          <w:spacing w:val="-1"/>
        </w:rPr>
        <w:t>用是构建新型智慧电力系统的重要基础，然而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</w:t>
      </w:r>
      <w:r>
        <w:rPr>
          <w:rFonts w:ascii="SimSun" w:hAnsi="SimSun" w:eastAsia="SimSun" w:cs="SimSun"/>
          <w:sz w:val="30"/>
          <w:szCs w:val="30"/>
          <w:spacing w:val="-2"/>
        </w:rPr>
        <w:t>区块链、数</w:t>
      </w:r>
      <w:r>
        <w:rPr>
          <w:rFonts w:ascii="SimSun" w:hAnsi="SimSun" w:eastAsia="SimSun" w:cs="SimSun"/>
          <w:sz w:val="30"/>
          <w:szCs w:val="30"/>
          <w:spacing w:val="-4"/>
        </w:rPr>
        <w:t>字孪生、人工智能等多种数字技术在电力行业的融合应用尚处于</w:t>
      </w:r>
      <w:r>
        <w:rPr>
          <w:rFonts w:ascii="SimSun" w:hAnsi="SimSun" w:eastAsia="SimSun" w:cs="SimSun"/>
          <w:sz w:val="30"/>
          <w:szCs w:val="30"/>
          <w:spacing w:val="-4"/>
        </w:rPr>
        <w:t>研究试验阶段，技术应用呈现碎片化与独立性特征，表现为以点</w:t>
      </w:r>
      <w:r>
        <w:rPr>
          <w:rFonts w:ascii="SimSun" w:hAnsi="SimSun" w:eastAsia="SimSun" w:cs="SimSun"/>
          <w:sz w:val="30"/>
          <w:szCs w:val="30"/>
          <w:spacing w:val="-8"/>
        </w:rPr>
        <w:t>状探索为主、集中于非核心业务场景以及融合应用水平较低，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制</w:t>
      </w:r>
      <w:r>
        <w:rPr>
          <w:rFonts w:ascii="SimSun" w:hAnsi="SimSun" w:eastAsia="SimSun" w:cs="SimSun"/>
          <w:sz w:val="30"/>
          <w:szCs w:val="30"/>
          <w:spacing w:val="-3"/>
        </w:rPr>
        <w:t>约电力系统“源网荷储用”全流程数字化转型。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三、5G+智慧电力发展建议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650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．强化标准体系建设，拓展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5G+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电力应用场景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33" w:right="25" w:firstLine="613"/>
        <w:spacing w:before="97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统筹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SimSun" w:hAnsi="SimSun" w:eastAsia="SimSun" w:cs="SimSun"/>
          <w:sz w:val="30"/>
          <w:szCs w:val="30"/>
          <w:spacing w:val="-2"/>
        </w:rPr>
        <w:t>在电力行业通用场景与特殊场景的应用技术规范与</w:t>
      </w:r>
      <w:r>
        <w:rPr>
          <w:rFonts w:ascii="SimSun" w:hAnsi="SimSun" w:eastAsia="SimSun" w:cs="SimSun"/>
          <w:sz w:val="30"/>
          <w:szCs w:val="30"/>
          <w:spacing w:val="-4"/>
        </w:rPr>
        <w:t>标准体系，鼓励电力企业、中国电科院、运营商等联合开展电力</w:t>
      </w:r>
      <w:r>
        <w:rPr>
          <w:rFonts w:ascii="SimSun" w:hAnsi="SimSun" w:eastAsia="SimSun" w:cs="SimSun"/>
          <w:sz w:val="30"/>
          <w:szCs w:val="30"/>
          <w:spacing w:val="-1"/>
        </w:rPr>
        <w:t>行业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标准研制，全面构建覆盖电力终端模组、网络、平台与</w:t>
      </w:r>
      <w:r>
        <w:rPr>
          <w:rFonts w:ascii="SimSun" w:hAnsi="SimSun" w:eastAsia="SimSun" w:cs="SimSun"/>
          <w:sz w:val="30"/>
          <w:szCs w:val="30"/>
          <w:spacing w:val="-4"/>
        </w:rPr>
        <w:t>场景应用的全方位技术标准体系。总结智能巡检、远程维护等场</w:t>
      </w:r>
      <w:r>
        <w:rPr>
          <w:rFonts w:ascii="SimSun" w:hAnsi="SimSun" w:eastAsia="SimSun" w:cs="SimSun"/>
          <w:sz w:val="30"/>
          <w:szCs w:val="30"/>
          <w:spacing w:val="-12"/>
        </w:rPr>
        <w:t>景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5G </w:t>
      </w:r>
      <w:r>
        <w:rPr>
          <w:rFonts w:ascii="SimSun" w:hAnsi="SimSun" w:eastAsia="SimSun" w:cs="SimSun"/>
          <w:sz w:val="30"/>
          <w:szCs w:val="30"/>
          <w:spacing w:val="-12"/>
        </w:rPr>
        <w:t>应用经验，拓展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5G+</w:t>
      </w:r>
      <w:r>
        <w:rPr>
          <w:rFonts w:ascii="SimSun" w:hAnsi="SimSun" w:eastAsia="SimSun" w:cs="SimSun"/>
          <w:sz w:val="30"/>
          <w:szCs w:val="30"/>
          <w:spacing w:val="-12"/>
        </w:rPr>
        <w:t>电力应用场景</w:t>
      </w:r>
      <w:r>
        <w:rPr>
          <w:rFonts w:ascii="SimSun" w:hAnsi="SimSun" w:eastAsia="SimSun" w:cs="SimSun"/>
          <w:sz w:val="30"/>
          <w:szCs w:val="30"/>
          <w:spacing w:val="-13"/>
        </w:rPr>
        <w:t>，加速探索新能源并网、</w:t>
      </w:r>
      <w:r>
        <w:rPr>
          <w:rFonts w:ascii="SimSun" w:hAnsi="SimSun" w:eastAsia="SimSun" w:cs="SimSun"/>
          <w:sz w:val="30"/>
          <w:szCs w:val="30"/>
          <w:spacing w:val="-9"/>
        </w:rPr>
        <w:t>精准负荷控制、数字孪生电厂等场景应用，</w:t>
      </w:r>
      <w:r>
        <w:rPr>
          <w:rFonts w:ascii="SimSun" w:hAnsi="SimSun" w:eastAsia="SimSun" w:cs="SimSun"/>
          <w:sz w:val="30"/>
          <w:szCs w:val="30"/>
          <w:spacing w:val="8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推动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 </w:t>
      </w:r>
      <w:r>
        <w:rPr>
          <w:rFonts w:ascii="SimSun" w:hAnsi="SimSun" w:eastAsia="SimSun" w:cs="SimSun"/>
          <w:sz w:val="30"/>
          <w:szCs w:val="30"/>
          <w:spacing w:val="-9"/>
        </w:rPr>
        <w:t>广泛应用于</w:t>
      </w:r>
      <w:r>
        <w:rPr>
          <w:rFonts w:ascii="SimSun" w:hAnsi="SimSun" w:eastAsia="SimSun" w:cs="SimSun"/>
          <w:sz w:val="30"/>
          <w:szCs w:val="30"/>
          <w:spacing w:val="-9"/>
        </w:rPr>
        <w:t>发电、输电、配电、用电及综合管理各个环节。加强电力场景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RedCap</w:t>
      </w:r>
      <w:r>
        <w:rPr>
          <w:rFonts w:ascii="Times New Roman" w:hAnsi="Times New Roman" w:eastAsia="Times New Roman" w:cs="Times New Roman"/>
          <w:sz w:val="30"/>
          <w:szCs w:val="30"/>
          <w:spacing w:val="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技术验证及规范制定，优化电力不同业务场景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6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部署</w:t>
      </w:r>
      <w:r>
        <w:rPr>
          <w:rFonts w:ascii="SimSun" w:hAnsi="SimSun" w:eastAsia="SimSun" w:cs="SimSun"/>
          <w:sz w:val="30"/>
          <w:szCs w:val="30"/>
          <w:spacing w:val="-4"/>
        </w:rPr>
        <w:t>成本。加快打造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5G+</w:t>
      </w:r>
      <w:r>
        <w:rPr>
          <w:rFonts w:ascii="SimSun" w:hAnsi="SimSun" w:eastAsia="SimSun" w:cs="SimSun"/>
          <w:sz w:val="30"/>
          <w:szCs w:val="30"/>
          <w:spacing w:val="-4"/>
        </w:rPr>
        <w:t>智慧电力应用标杆，发</w:t>
      </w:r>
      <w:r>
        <w:rPr>
          <w:rFonts w:ascii="SimSun" w:hAnsi="SimSun" w:eastAsia="SimSun" w:cs="SimSun"/>
          <w:sz w:val="30"/>
          <w:szCs w:val="30"/>
          <w:spacing w:val="-5"/>
        </w:rPr>
        <w:t>挥典型应用示范引领</w:t>
      </w:r>
      <w:r>
        <w:rPr>
          <w:rFonts w:ascii="SimSun" w:hAnsi="SimSun" w:eastAsia="SimSun" w:cs="SimSun"/>
          <w:sz w:val="30"/>
          <w:szCs w:val="30"/>
          <w:spacing w:val="-3"/>
        </w:rPr>
        <w:t>作用，推动全国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5G+</w:t>
      </w:r>
      <w:r>
        <w:rPr>
          <w:rFonts w:ascii="SimSun" w:hAnsi="SimSun" w:eastAsia="SimSun" w:cs="SimSun"/>
          <w:sz w:val="30"/>
          <w:szCs w:val="30"/>
          <w:spacing w:val="-3"/>
        </w:rPr>
        <w:t>智慧电力协同发展。</w:t>
      </w:r>
    </w:p>
    <w:p>
      <w:pPr>
        <w:spacing w:line="333" w:lineRule="auto"/>
        <w:sectPr>
          <w:headerReference w:type="default" r:id="rId7"/>
          <w:pgSz w:w="11907" w:h="16839"/>
          <w:pgMar w:top="1223" w:right="1769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ind w:left="638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．加快定制技术研发，构建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5G+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电力安全体系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40" w:firstLine="607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统筹新型电力系统安全防护体系设计，围绕智慧电力发展个</w:t>
      </w:r>
      <w:r>
        <w:rPr>
          <w:rFonts w:ascii="SimSun" w:hAnsi="SimSun" w:eastAsia="SimSun" w:cs="SimSun"/>
          <w:sz w:val="30"/>
          <w:szCs w:val="30"/>
          <w:spacing w:val="-11"/>
        </w:rPr>
        <w:t>性需求，加快相关定制技术研发。一是加快新能源芯片自主</w:t>
      </w:r>
      <w:r>
        <w:rPr>
          <w:rFonts w:ascii="SimSun" w:hAnsi="SimSun" w:eastAsia="SimSun" w:cs="SimSun"/>
          <w:sz w:val="30"/>
          <w:szCs w:val="30"/>
          <w:spacing w:val="-12"/>
        </w:rPr>
        <w:t>研发，</w:t>
      </w:r>
      <w:r>
        <w:rPr>
          <w:rFonts w:ascii="SimSun" w:hAnsi="SimSun" w:eastAsia="SimSun" w:cs="SimSun"/>
          <w:sz w:val="30"/>
          <w:szCs w:val="30"/>
          <w:spacing w:val="-1"/>
        </w:rPr>
        <w:t>研制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通信终端、模块样机、智能传感器等</w:t>
      </w:r>
      <w:r>
        <w:rPr>
          <w:rFonts w:ascii="SimSun" w:hAnsi="SimSun" w:eastAsia="SimSun" w:cs="SimSun"/>
          <w:sz w:val="30"/>
          <w:szCs w:val="30"/>
          <w:spacing w:val="-2"/>
        </w:rPr>
        <w:t>电力行业定制化设</w:t>
      </w:r>
      <w:r>
        <w:rPr>
          <w:rFonts w:ascii="SimSun" w:hAnsi="SimSun" w:eastAsia="SimSun" w:cs="SimSun"/>
          <w:sz w:val="30"/>
          <w:szCs w:val="30"/>
          <w:spacing w:val="-1"/>
        </w:rPr>
        <w:t>备，积极构建电力物联网，广泛布置感知装置与边缘控制装置，</w:t>
      </w:r>
      <w:r>
        <w:rPr>
          <w:rFonts w:ascii="SimSun" w:hAnsi="SimSun" w:eastAsia="SimSun" w:cs="SimSun"/>
          <w:sz w:val="30"/>
          <w:szCs w:val="30"/>
          <w:spacing w:val="-3"/>
        </w:rPr>
        <w:t>系统保障电力安全生产。二是以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网络切片与专网技术支撑电</w:t>
      </w:r>
      <w:r>
        <w:rPr>
          <w:rFonts w:ascii="SimSun" w:hAnsi="SimSun" w:eastAsia="SimSun" w:cs="SimSun"/>
          <w:sz w:val="30"/>
          <w:szCs w:val="30"/>
          <w:spacing w:val="-4"/>
        </w:rPr>
        <w:t>力领域安全体系建设，优化网络切片隔离要求与架构设计，提升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网络切片基于不同业务的差异化安全防护能力。三是打造电</w:t>
      </w:r>
      <w:r>
        <w:rPr>
          <w:rFonts w:ascii="SimSun" w:hAnsi="SimSun" w:eastAsia="SimSun" w:cs="SimSun"/>
          <w:sz w:val="30"/>
          <w:szCs w:val="30"/>
          <w:spacing w:val="-4"/>
        </w:rPr>
        <w:t>力行业专业数字化平台，充分发挥电力数据要素价值，推动电力</w:t>
      </w:r>
      <w:r>
        <w:rPr>
          <w:rFonts w:ascii="SimSun" w:hAnsi="SimSun" w:eastAsia="SimSun" w:cs="SimSun"/>
          <w:sz w:val="30"/>
          <w:szCs w:val="30"/>
          <w:spacing w:val="-4"/>
        </w:rPr>
        <w:t>领域海量数据融通共享与分析，同时强化电力各类数据管控，在</w:t>
      </w:r>
      <w:r>
        <w:rPr>
          <w:rFonts w:ascii="SimSun" w:hAnsi="SimSun" w:eastAsia="SimSun" w:cs="SimSun"/>
          <w:sz w:val="30"/>
          <w:szCs w:val="30"/>
          <w:spacing w:val="-4"/>
        </w:rPr>
        <w:t>数据全生命周期及时开展数据采集、脱敏、加密、防泄漏等系列</w:t>
      </w:r>
      <w:r>
        <w:rPr>
          <w:rFonts w:ascii="SimSun" w:hAnsi="SimSun" w:eastAsia="SimSun" w:cs="SimSun"/>
          <w:sz w:val="30"/>
          <w:szCs w:val="30"/>
          <w:spacing w:val="-4"/>
        </w:rPr>
        <w:t>举措，构建电力数据安全运营体系。</w:t>
      </w:r>
    </w:p>
    <w:p>
      <w:pPr>
        <w:ind w:left="635"/>
        <w:spacing w:before="28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．创新生态协作机制，推动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5G+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多元技术融合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40" w:right="82" w:firstLine="599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加强发电、输电、配电、用电各环节设备制造商</w:t>
      </w:r>
      <w:r>
        <w:rPr>
          <w:rFonts w:ascii="SimSun" w:hAnsi="SimSun" w:eastAsia="SimSun" w:cs="SimSun"/>
          <w:sz w:val="30"/>
          <w:szCs w:val="30"/>
          <w:spacing w:val="-5"/>
        </w:rPr>
        <w:t>、互联网公</w:t>
      </w:r>
      <w:r>
        <w:rPr>
          <w:rFonts w:ascii="SimSun" w:hAnsi="SimSun" w:eastAsia="SimSun" w:cs="SimSun"/>
          <w:sz w:val="30"/>
          <w:szCs w:val="30"/>
          <w:spacing w:val="-8"/>
        </w:rPr>
        <w:t>司、科研院所等不同主体之间的创新协作，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鼓励头部电力企业与</w:t>
      </w:r>
      <w:r>
        <w:rPr>
          <w:rFonts w:ascii="SimSun" w:hAnsi="SimSun" w:eastAsia="SimSun" w:cs="SimSun"/>
          <w:sz w:val="30"/>
          <w:szCs w:val="30"/>
          <w:spacing w:val="-2"/>
        </w:rPr>
        <w:t>运营商联合牵头建设开放共享的数字化技术平台，加快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</w:t>
      </w:r>
      <w:r>
        <w:rPr>
          <w:rFonts w:ascii="SimSun" w:hAnsi="SimSun" w:eastAsia="SimSun" w:cs="SimSun"/>
          <w:sz w:val="30"/>
          <w:szCs w:val="30"/>
          <w:spacing w:val="-2"/>
        </w:rPr>
        <w:t>、智</w:t>
      </w:r>
      <w:r>
        <w:rPr>
          <w:rFonts w:ascii="SimSun" w:hAnsi="SimSun" w:eastAsia="SimSun" w:cs="SimSun"/>
          <w:sz w:val="30"/>
          <w:szCs w:val="30"/>
          <w:spacing w:val="-8"/>
        </w:rPr>
        <w:t>能传感、数字孪生等多元数字化技术在电力行业的融合应用，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驱</w:t>
      </w:r>
      <w:r>
        <w:rPr>
          <w:rFonts w:ascii="SimSun" w:hAnsi="SimSun" w:eastAsia="SimSun" w:cs="SimSun"/>
          <w:sz w:val="30"/>
          <w:szCs w:val="30"/>
          <w:spacing w:val="-4"/>
        </w:rPr>
        <w:t>动传统电力配置方式由部分感知、单向控制、计划为主向高度感</w:t>
      </w:r>
      <w:r>
        <w:rPr>
          <w:rFonts w:ascii="SimSun" w:hAnsi="SimSun" w:eastAsia="SimSun" w:cs="SimSun"/>
          <w:sz w:val="30"/>
          <w:szCs w:val="30"/>
          <w:spacing w:val="-9"/>
        </w:rPr>
        <w:t>知、双向互动、智能高效转变， 建设适应新能源发展的新型智慧</w:t>
      </w:r>
      <w:r>
        <w:rPr>
          <w:rFonts w:ascii="SimSun" w:hAnsi="SimSun" w:eastAsia="SimSun" w:cs="SimSun"/>
          <w:sz w:val="30"/>
          <w:szCs w:val="30"/>
          <w:spacing w:val="-1"/>
        </w:rPr>
        <w:t>化调度运行体系。一是基于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、北斗卫星建设“空天地海”一</w:t>
      </w:r>
      <w:r>
        <w:rPr>
          <w:rFonts w:ascii="SimSun" w:hAnsi="SimSun" w:eastAsia="SimSun" w:cs="SimSun"/>
          <w:sz w:val="30"/>
          <w:szCs w:val="30"/>
          <w:spacing w:val="-4"/>
        </w:rPr>
        <w:t>体化通信网，实现电力场景全覆盖、网络快速传输以及低能耗低</w:t>
      </w:r>
      <w:r>
        <w:rPr>
          <w:rFonts w:ascii="SimSun" w:hAnsi="SimSun" w:eastAsia="SimSun" w:cs="SimSun"/>
          <w:sz w:val="30"/>
          <w:szCs w:val="30"/>
          <w:spacing w:val="-1"/>
        </w:rPr>
        <w:t>成本精准定位。二是创新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虚拟专网网络切</w:t>
      </w:r>
      <w:r>
        <w:rPr>
          <w:rFonts w:ascii="SimSun" w:hAnsi="SimSun" w:eastAsia="SimSun" w:cs="SimSun"/>
          <w:sz w:val="30"/>
          <w:szCs w:val="30"/>
          <w:spacing w:val="-2"/>
        </w:rPr>
        <w:t>片、多接入边缘计</w:t>
      </w:r>
      <w:r>
        <w:rPr>
          <w:rFonts w:ascii="SimSun" w:hAnsi="SimSun" w:eastAsia="SimSun" w:cs="SimSun"/>
          <w:sz w:val="30"/>
          <w:szCs w:val="30"/>
          <w:spacing w:val="-9"/>
        </w:rPr>
        <w:t>算等关键技术，助力突破源网荷储互动、长周期储能等技术， 推</w:t>
      </w:r>
      <w:r>
        <w:rPr>
          <w:rFonts w:ascii="SimSun" w:hAnsi="SimSun" w:eastAsia="SimSun" w:cs="SimSun"/>
          <w:sz w:val="30"/>
          <w:szCs w:val="30"/>
          <w:spacing w:val="-3"/>
        </w:rPr>
        <w:t>动能源技术与各类数字化技术深度融合。</w:t>
      </w:r>
    </w:p>
    <w:p>
      <w:pPr>
        <w:spacing w:line="332" w:lineRule="auto"/>
        <w:sectPr>
          <w:headerReference w:type="default" r:id="rId9"/>
          <w:pgSz w:w="11907" w:h="16839"/>
          <w:pgMar w:top="1223" w:right="1715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28" w:lineRule="auto"/>
        <w:rPr>
          <w:rFonts w:ascii="Arial"/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274015</wp:posOffset>
            </wp:positionH>
            <wp:positionV relativeFrom="paragraph">
              <wp:posOffset>103813</wp:posOffset>
            </wp:positionV>
            <wp:extent cx="699515" cy="93116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515" cy="93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2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296" w:right="232" w:firstLine="258"/>
        <w:spacing w:before="119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270967</wp:posOffset>
            </wp:positionH>
            <wp:positionV relativeFrom="paragraph">
              <wp:posOffset>88081</wp:posOffset>
            </wp:positionV>
            <wp:extent cx="711707" cy="94488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707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8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马政</w:t>
      </w:r>
    </w:p>
    <w:p>
      <w:pPr>
        <w:ind w:left="2296" w:right="232" w:firstLine="258"/>
        <w:spacing w:before="112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硕士，主要从事企业数字化转型、数字经济研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472" w:lineRule="auto"/>
        <w:rPr>
          <w:rFonts w:ascii="Arial"/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293827</wp:posOffset>
            </wp:positionH>
            <wp:positionV relativeFrom="paragraph">
              <wp:posOffset>164682</wp:posOffset>
            </wp:positionV>
            <wp:extent cx="665988" cy="99517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988" cy="995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3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李泰</w:t>
      </w:r>
    </w:p>
    <w:p>
      <w:pPr>
        <w:ind w:left="2279" w:right="233" w:firstLine="276"/>
        <w:spacing w:before="12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硕士，主要从事重点行业研究、企业数字化转</w:t>
      </w:r>
      <w:r>
        <w:rPr>
          <w:rFonts w:ascii="KaiTi" w:hAnsi="KaiTi" w:eastAsia="KaiTi" w:cs="KaiTi"/>
          <w:sz w:val="28"/>
          <w:szCs w:val="28"/>
          <w:spacing w:val="-2"/>
        </w:rPr>
        <w:t>型研究等工作。</w:t>
      </w:r>
    </w:p>
    <w:p>
      <w:pPr>
        <w:spacing w:line="337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281635</wp:posOffset>
            </wp:positionH>
            <wp:positionV relativeFrom="paragraph">
              <wp:posOffset>201567</wp:posOffset>
            </wp:positionV>
            <wp:extent cx="690372" cy="94487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372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70"/>
        <w:spacing w:before="92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何菁钦</w:t>
      </w:r>
    </w:p>
    <w:p>
      <w:pPr>
        <w:ind w:left="2265" w:right="222" w:firstLine="289"/>
        <w:spacing w:before="123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硕士，主要从事重点行业研究、产业生态图谱</w:t>
      </w:r>
      <w:r>
        <w:rPr>
          <w:rFonts w:ascii="KaiTi" w:hAnsi="KaiTi" w:eastAsia="KaiTi" w:cs="KaiTi"/>
          <w:sz w:val="28"/>
          <w:szCs w:val="28"/>
          <w:spacing w:val="-1"/>
        </w:rPr>
        <w:t>研究、政企产品与业务研究、客户体验研究等工</w:t>
      </w:r>
      <w:r>
        <w:rPr>
          <w:rFonts w:ascii="KaiTi" w:hAnsi="KaiTi" w:eastAsia="KaiTi" w:cs="KaiTi"/>
          <w:sz w:val="28"/>
          <w:szCs w:val="28"/>
          <w:spacing w:val="-10"/>
        </w:rPr>
        <w:t>作。</w:t>
      </w:r>
    </w:p>
    <w:sectPr>
      <w:headerReference w:type="default" r:id="rId7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83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5G+智慧电力：规模化特征、主要问题及发展建议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9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5G+智慧电力：规模化特征、主要问题及发展建议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7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22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5G+智慧电力：规模化特征、主要问题及发展建议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83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24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5G+智慧电力：规模化特征、主要问题及发展建议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83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28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5G+智慧电力：规模化特征、主要问题及发展建议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83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32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5G+智慧电力：规模化特征、主要问题及发展建议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2023-12-11T15:14:57Z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2025-11-04T14:43:43</vt:filetime>
  </property>
</Properties>
</file>