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1CE66">
      <w:pPr>
        <w:pStyle w:val="2"/>
        <w:bidi w:val="0"/>
        <w:spacing w:line="240" w:lineRule="auto"/>
        <w:jc w:val="center"/>
        <w:rPr>
          <w:rFonts w:hint="default"/>
          <w:b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sz w:val="36"/>
          <w:szCs w:val="36"/>
          <w:lang w:val="en-US" w:eastAsia="zh-CN"/>
        </w:rPr>
        <w:t>AI已进入前所未有的加速变革期</w:t>
      </w:r>
    </w:p>
    <w:p w14:paraId="69B9F786">
      <w:pPr>
        <w:pStyle w:val="2"/>
        <w:bidi w:val="0"/>
        <w:spacing w:line="240" w:lineRule="auto"/>
        <w:jc w:val="center"/>
        <w:rPr>
          <w:rFonts w:hint="eastAsia"/>
          <w:b/>
          <w:sz w:val="36"/>
          <w:szCs w:val="36"/>
          <w:lang w:val="en-US"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——BOND公司《AI趋势报告》解读分析</w:t>
      </w:r>
    </w:p>
    <w:p w14:paraId="1B7630C4">
      <w:pPr>
        <w:numPr>
          <w:ilvl w:val="0"/>
          <w:numId w:val="0"/>
        </w:numPr>
        <w:spacing w:line="360" w:lineRule="auto"/>
        <w:ind w:firstLine="640" w:firstLineChars="200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凭借25年科技行业洞察积淀，“互联网女皇”Mary Meeker 领导的 BOND 公司5月份发布了《AI 趋势报告》，引起科技行业的广泛关注。报告指出，AI 基础设施规模加速增长、大模型实用性加速提升、应用领域加速拓展，正以前所未有的速度影响社会、企业和个人。建议中国电信抓住机会窗口，以息壤为核心，加快打造升级国家级AI基础设施；丰富高实用性的大模型产品体系，加快内外部应用拓展。</w:t>
      </w:r>
    </w:p>
    <w:p w14:paraId="3F6AB23C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</w:p>
    <w:p w14:paraId="6EE9C273">
      <w:pPr>
        <w:numPr>
          <w:ilvl w:val="-1"/>
          <w:numId w:val="0"/>
        </w:numPr>
        <w:spacing w:line="360" w:lineRule="auto"/>
        <w:ind w:firstLine="0" w:firstLineChars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AI基础设施规模加速增长，头部科技公司持续加大投资</w:t>
      </w:r>
    </w:p>
    <w:p w14:paraId="578BD6D4">
      <w:pPr>
        <w:numPr>
          <w:ilvl w:val="-1"/>
          <w:numId w:val="0"/>
        </w:numPr>
        <w:spacing w:line="360" w:lineRule="auto"/>
        <w:ind w:firstLine="0" w:firstLineChars="0"/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 xml:space="preserve">   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在2010-2025年期间，用于模型训练的算力规模（以FLOP计）年均增长360%，数据集规模（以token计）年均增长250%，引爆大规模AIDC、网络、数据等AI基础设施建设需求。头部科技公司是AI基础设施的主要投资者和需求者，美国六大科技公司</w:t>
      </w:r>
      <w:r>
        <w:rPr>
          <w:rStyle w:val="15"/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footnoteReference w:id="0"/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2024年资本支出2120亿美元（同比+63%），占收入比15%，重点投向超大数据中心、网络和算力等领域。目前，AI基础设施厂商已获得高额回报，如Astera Labs（提供AI服务器和集群连接服务）2024年收入增长242%，Scale AI（提供数据标注与评估服务）年收入增幅达160%。未来，AI基础设施规模还将进一步提升，美国政府、头部科技公司、欧盟均宣布了千亿美元级投资计划，阿里宣布未来三年投入3800亿元用于云和AI硬件基础设施建设，总额超过去十年之和。</w:t>
      </w:r>
    </w:p>
    <w:p w14:paraId="690CF9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textAlignment w:val="auto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二、大模型实用性加速提升，迈入规模落地阶段</w:t>
      </w:r>
    </w:p>
    <w:p w14:paraId="2862F4CB">
      <w:pPr>
        <w:numPr>
          <w:ilvl w:val="0"/>
          <w:numId w:val="0"/>
        </w:numPr>
        <w:spacing w:line="360" w:lineRule="auto"/>
        <w:ind w:firstLine="641" w:firstLineChars="200"/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1、大模型性能加速突破和使用成本快速下降，实用性显著提升。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性能方面，</w:t>
      </w:r>
      <w:r>
        <w:rPr>
          <w:rFonts w:hint="eastAsia" w:ascii="仿宋_GB2312" w:hAnsi="仿宋" w:eastAsia="仿宋_GB2312" w:cstheme="minorBidi"/>
          <w:sz w:val="32"/>
          <w:szCs w:val="32"/>
        </w:rPr>
        <w:t>0penAI</w:t>
      </w:r>
      <w:r>
        <w:rPr>
          <w:rFonts w:hint="eastAsia" w:ascii="仿宋_GB2312" w:hAnsi="仿宋" w:eastAsia="仿宋_GB2312" w:cstheme="minorBidi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" w:eastAsia="仿宋_GB2312" w:cstheme="minorBidi"/>
          <w:sz w:val="32"/>
          <w:szCs w:val="32"/>
        </w:rPr>
        <w:t>o1-preview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在MMLU基准测试准确率92.3%，超越人类水平的89.8%。开源模型性能已可比肩闭源模型，如DeepSeek R1在MATH Level 5测试中得分为93%，接近o3-mini的95%；成本方面，2022-2024年间，模型推理的每百万token成本下降99.7%。实用性的大幅提高，使得大模型的用户量与使用量以前所未有的速度激增。</w:t>
      </w:r>
    </w:p>
    <w:p w14:paraId="1015C8FA">
      <w:pPr>
        <w:numPr>
          <w:ilvl w:val="0"/>
          <w:numId w:val="0"/>
        </w:numPr>
        <w:spacing w:line="360" w:lineRule="auto"/>
        <w:ind w:firstLine="641" w:firstLineChars="200"/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2、MaaS模式是AI大模型商业化的核心路径。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OpenAI、Anthropic等模型公司推出API、生成式搜索、企业用户订阅等服务，实现用户和收入暴增，表明商业路径已经走通。如OpenAI 2024年营收37亿美元，较2022年增长1050%，ChatGPT企业版用户达200万；截至2025年3月Anthropic年化营收20亿美元，较2024年底增长100%。</w:t>
      </w:r>
    </w:p>
    <w:p w14:paraId="4F113DC0">
      <w:pPr>
        <w:numPr>
          <w:ilvl w:val="0"/>
          <w:numId w:val="0"/>
        </w:numPr>
        <w:spacing w:line="360" w:lineRule="auto"/>
        <w:ind w:firstLine="641" w:firstLineChars="200"/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3、</w:t>
      </w: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AI Agent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加速成熟，将</w:t>
      </w:r>
      <w:r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  <w:t>成主流应用形态。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AI Agent能力从单一任务执行向复杂场景自主决策演进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，应用场景大幅拓展。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如 xAI Grok-1.5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可进行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差旅自主规划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。截至25年6月，代码编辑器Cursor的年经常性收入已超5亿美元。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2"/>
          <w:lang w:val="en-US" w:eastAsia="zh-CN"/>
        </w:rPr>
        <w:t>OpenAI 预计其AI Agent及其他新产品合计销售额将在2025年末超越ChatGPT。</w:t>
      </w:r>
    </w:p>
    <w:p w14:paraId="6343BE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三、大模型应用领域加速拓展，深刻影响生产生活方式</w:t>
      </w:r>
    </w:p>
    <w:p w14:paraId="12DEB9B8">
      <w:pPr>
        <w:pStyle w:val="3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1"/>
        <w:textAlignment w:val="auto"/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 w:bidi="ar"/>
        </w:rPr>
        <w:t>1、2B领域，</w:t>
      </w:r>
      <w:r>
        <w:rPr>
          <w:rFonts w:ascii="华文仿宋" w:hAnsi="华文仿宋" w:eastAsia="华文仿宋" w:cs="华文仿宋"/>
          <w:b/>
          <w:bCs/>
          <w:color w:val="333333"/>
          <w:kern w:val="0"/>
          <w:sz w:val="32"/>
          <w:szCs w:val="32"/>
          <w:shd w:val="clear" w:fill="FFFFFF"/>
          <w:lang w:bidi="ar"/>
        </w:rPr>
        <w:t>AI</w:t>
      </w:r>
      <w:r>
        <w:rPr>
          <w:rFonts w:hint="eastAsia" w:ascii="华文仿宋" w:hAnsi="华文仿宋" w:eastAsia="华文仿宋" w:cs="华文仿宋"/>
          <w:b/>
          <w:bCs/>
          <w:color w:val="333333"/>
          <w:kern w:val="0"/>
          <w:sz w:val="32"/>
          <w:szCs w:val="32"/>
          <w:shd w:val="clear" w:fill="FFFFFF"/>
          <w:lang w:val="en-US" w:eastAsia="zh-CN" w:bidi="ar"/>
        </w:rPr>
        <w:t>加速向重点行业、公共服务和前沿科技等领域渗透</w:t>
      </w:r>
      <w:r>
        <w:rPr>
          <w:rFonts w:ascii="华文仿宋" w:hAnsi="华文仿宋" w:eastAsia="华文仿宋" w:cs="华文仿宋"/>
          <w:b/>
          <w:bCs/>
          <w:color w:val="333333"/>
          <w:kern w:val="0"/>
          <w:sz w:val="32"/>
          <w:szCs w:val="32"/>
          <w:shd w:val="clear" w:fill="FFFFFF"/>
          <w:lang w:bidi="ar"/>
        </w:rPr>
        <w:t>。</w:t>
      </w:r>
      <w:r>
        <w:rPr>
          <w:rFonts w:hint="eastAsia" w:ascii="华文仿宋" w:hAnsi="华文仿宋" w:eastAsia="华文仿宋" w:cs="华文仿宋"/>
          <w:b w:val="0"/>
          <w:bCs w:val="0"/>
          <w:color w:val="333333"/>
          <w:kern w:val="0"/>
          <w:sz w:val="32"/>
          <w:szCs w:val="32"/>
          <w:shd w:val="clear" w:fill="FFFFFF"/>
          <w:lang w:val="en-US" w:eastAsia="zh-CN" w:bidi="ar"/>
        </w:rPr>
        <w:t>在重点行业，</w:t>
      </w:r>
      <w:r>
        <w:rPr>
          <w:rFonts w:ascii="华文仿宋" w:hAnsi="华文仿宋" w:eastAsia="华文仿宋" w:cs="华文仿宋"/>
          <w:b w:val="0"/>
          <w:bCs w:val="0"/>
          <w:color w:val="333333"/>
          <w:kern w:val="0"/>
          <w:sz w:val="32"/>
          <w:szCs w:val="32"/>
          <w:shd w:val="clear" w:fill="FFFFFF"/>
          <w:lang w:bidi="ar"/>
        </w:rPr>
        <w:t>2024年四季度，50%的标普500公司在季报中提及AI（2022年仅15%）</w:t>
      </w:r>
      <w:r>
        <w:rPr>
          <w:rFonts w:hint="eastAsia" w:ascii="华文仿宋" w:hAnsi="华文仿宋" w:eastAsia="华文仿宋" w:cs="华文仿宋"/>
          <w:b w:val="0"/>
          <w:bCs w:val="0"/>
          <w:color w:val="333333"/>
          <w:kern w:val="0"/>
          <w:sz w:val="32"/>
          <w:szCs w:val="32"/>
          <w:shd w:val="clear" w:fill="FFFFFF"/>
          <w:lang w:eastAsia="zh-CN" w:bidi="ar"/>
        </w:rPr>
        <w:t>。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 w:bidi="ar"/>
        </w:rPr>
        <w:t>AI已在自动驾驶、机器人、采矿等领域开展应用并实现产能提升，</w:t>
      </w:r>
      <w:r>
        <w:rPr>
          <w:rFonts w:hint="eastAsia" w:ascii="华文仿宋" w:hAnsi="华文仿宋" w:eastAsia="华文仿宋" w:cs="华文仿宋"/>
          <w:b w:val="0"/>
          <w:bCs w:val="0"/>
          <w:color w:val="333333"/>
          <w:kern w:val="0"/>
          <w:sz w:val="32"/>
          <w:szCs w:val="32"/>
          <w:shd w:val="clear" w:fill="FFFFFF"/>
          <w:lang w:val="en-US" w:eastAsia="zh-CN" w:bidi="ar"/>
        </w:rPr>
        <w:t>驱动金融、医疗等重点行业营收增长，如</w:t>
      </w:r>
      <w:r>
        <w:rPr>
          <w:rFonts w:ascii="华文仿宋" w:hAnsi="华文仿宋" w:eastAsia="华文仿宋" w:cs="华文仿宋"/>
          <w:b w:val="0"/>
          <w:bCs w:val="0"/>
          <w:color w:val="333333"/>
          <w:kern w:val="0"/>
          <w:sz w:val="32"/>
          <w:szCs w:val="32"/>
          <w:shd w:val="clear" w:fill="FFFFFF"/>
          <w:lang w:bidi="ar"/>
        </w:rPr>
        <w:t>摩根大通</w:t>
      </w:r>
      <w:r>
        <w:rPr>
          <w:rFonts w:hint="eastAsia" w:ascii="华文仿宋" w:hAnsi="华文仿宋" w:eastAsia="华文仿宋" w:cs="华文仿宋"/>
          <w:b w:val="0"/>
          <w:bCs w:val="0"/>
          <w:color w:val="333333"/>
          <w:kern w:val="0"/>
          <w:sz w:val="32"/>
          <w:szCs w:val="32"/>
          <w:shd w:val="clear" w:fill="FFFFFF"/>
          <w:lang w:val="en-US" w:eastAsia="zh-CN" w:bidi="ar"/>
        </w:rPr>
        <w:t>的</w:t>
      </w:r>
      <w:r>
        <w:rPr>
          <w:rFonts w:ascii="华文仿宋" w:hAnsi="华文仿宋" w:eastAsia="华文仿宋" w:cs="华文仿宋"/>
          <w:b w:val="0"/>
          <w:bCs w:val="0"/>
          <w:color w:val="333333"/>
          <w:kern w:val="0"/>
          <w:sz w:val="32"/>
          <w:szCs w:val="32"/>
          <w:shd w:val="clear" w:fill="FFFFFF"/>
          <w:lang w:bidi="ar"/>
        </w:rPr>
        <w:t>AI价值贡献预计从2023年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 w:bidi="ar"/>
        </w:rPr>
        <w:t>20亿美元增至2025年33亿美元。在教育、科研、国家安全等战略领域，AI也被快速采用，如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bidi="ar"/>
        </w:rPr>
        <w:t>亚利桑那州立大学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 w:bidi="ar"/>
        </w:rPr>
        <w:t>开发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bidi="ar"/>
        </w:rPr>
        <w:t>AI教学系统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eastAsia="zh-CN" w:bidi="ar"/>
        </w:rPr>
        <w:t>，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bidi="ar"/>
        </w:rPr>
        <w:t>OpenAI与国家实验室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 w:bidi="ar"/>
        </w:rPr>
        <w:t>开展深度合作，美国、加拿大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bidi="ar"/>
        </w:rPr>
        <w:t>等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 w:bidi="ar"/>
        </w:rPr>
        <w:t>多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bidi="ar"/>
        </w:rPr>
        <w:t>国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 w:bidi="ar"/>
        </w:rPr>
        <w:t>布局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bidi="ar"/>
        </w:rPr>
        <w:t>主权AI基建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eastAsia="zh-CN" w:bidi="ar"/>
        </w:rPr>
        <w:t>。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  <w:t>在前沿科技领域，AI在</w:t>
      </w:r>
      <w:r>
        <w:rPr>
          <w:rFonts w:ascii="华文仿宋" w:hAnsi="华文仿宋" w:eastAsia="华文仿宋" w:cs="华文仿宋"/>
          <w:b w:val="0"/>
          <w:bCs w:val="0"/>
          <w:color w:val="333333"/>
          <w:kern w:val="0"/>
          <w:sz w:val="32"/>
          <w:szCs w:val="32"/>
          <w:shd w:val="clear" w:fill="FFFFFF"/>
          <w:lang w:bidi="ar"/>
        </w:rPr>
        <w:t>药物发现、自主科研等十</w:t>
      </w:r>
      <w:r>
        <w:rPr>
          <w:rFonts w:hint="eastAsia" w:ascii="华文仿宋" w:hAnsi="华文仿宋" w:eastAsia="华文仿宋" w:cs="华文仿宋"/>
          <w:b w:val="0"/>
          <w:bCs w:val="0"/>
          <w:color w:val="333333"/>
          <w:kern w:val="0"/>
          <w:sz w:val="32"/>
          <w:szCs w:val="32"/>
          <w:shd w:val="clear" w:fill="FFFFFF"/>
          <w:lang w:val="en-US" w:eastAsia="zh-CN" w:bidi="ar"/>
        </w:rPr>
        <w:t>大</w:t>
      </w:r>
      <w:r>
        <w:rPr>
          <w:rFonts w:ascii="华文仿宋" w:hAnsi="华文仿宋" w:eastAsia="华文仿宋" w:cs="华文仿宋"/>
          <w:b w:val="0"/>
          <w:bCs w:val="0"/>
          <w:color w:val="333333"/>
          <w:kern w:val="0"/>
          <w:sz w:val="32"/>
          <w:szCs w:val="32"/>
          <w:shd w:val="clear" w:fill="FFFFFF"/>
          <w:lang w:bidi="ar"/>
        </w:rPr>
        <w:t>前沿领域</w:t>
      </w:r>
      <w:r>
        <w:rPr>
          <w:rFonts w:hint="eastAsia" w:ascii="华文仿宋" w:hAnsi="华文仿宋" w:eastAsia="华文仿宋" w:cs="华文仿宋"/>
          <w:b w:val="0"/>
          <w:bCs w:val="0"/>
          <w:color w:val="333333"/>
          <w:kern w:val="0"/>
          <w:sz w:val="32"/>
          <w:szCs w:val="32"/>
          <w:shd w:val="clear" w:fill="FFFFFF"/>
          <w:lang w:val="en-US" w:eastAsia="zh-CN" w:bidi="ar"/>
        </w:rPr>
        <w:t>持续突破</w:t>
      </w:r>
      <w:r>
        <w:rPr>
          <w:rFonts w:ascii="华文仿宋" w:hAnsi="华文仿宋" w:eastAsia="华文仿宋" w:cs="华文仿宋"/>
          <w:b w:val="0"/>
          <w:bCs w:val="0"/>
          <w:color w:val="333333"/>
          <w:kern w:val="0"/>
          <w:sz w:val="32"/>
          <w:szCs w:val="32"/>
          <w:shd w:val="clear" w:fill="FFFFFF"/>
          <w:lang w:bidi="ar"/>
        </w:rPr>
        <w:t>，</w:t>
      </w:r>
      <w:r>
        <w:rPr>
          <w:rFonts w:hint="eastAsia" w:ascii="华文仿宋" w:hAnsi="华文仿宋" w:eastAsia="华文仿宋" w:cs="华文仿宋"/>
          <w:b w:val="0"/>
          <w:bCs w:val="0"/>
          <w:color w:val="333333"/>
          <w:kern w:val="0"/>
          <w:sz w:val="32"/>
          <w:szCs w:val="32"/>
          <w:shd w:val="clear" w:fill="FFFFFF"/>
          <w:lang w:val="en-US" w:eastAsia="zh-CN" w:bidi="ar"/>
        </w:rPr>
        <w:t>成为科技创新的核心驱动力</w:t>
      </w:r>
      <w:r>
        <w:rPr>
          <w:rFonts w:ascii="华文仿宋" w:hAnsi="华文仿宋" w:eastAsia="华文仿宋" w:cs="华文仿宋"/>
          <w:b w:val="0"/>
          <w:bCs w:val="0"/>
          <w:color w:val="333333"/>
          <w:kern w:val="0"/>
          <w:sz w:val="32"/>
          <w:szCs w:val="32"/>
          <w:shd w:val="clear" w:fill="FFFFFF"/>
          <w:lang w:bidi="ar"/>
        </w:rPr>
        <w:t>。</w:t>
      </w:r>
    </w:p>
    <w:p w14:paraId="6BCBB1DC">
      <w:pPr>
        <w:keepNext w:val="0"/>
        <w:keepLines w:val="0"/>
        <w:pageBreakBefore w:val="0"/>
        <w:widowControl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2、2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  <w:t>C领域，个人用户对AI的黏性与应用深度同步提升，智能交互正成为主流连接方式。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  <w:t>美国活跃用户ChatGPT 日均使用时长从2023年7月的约6分钟增长到2025年4月的约18分钟，增幅高达202%。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bidi="ar"/>
        </w:rPr>
        <w:t>OpenAI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  <w:t>数据显示，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  <w:t>ChatGPT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  <w:t>日均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bidi="ar"/>
        </w:rPr>
        <w:t>搜索量达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  <w:t>10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bidi="ar"/>
        </w:rPr>
        <w:t>亿次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eastAsia="zh-CN" w:bidi="ar"/>
        </w:rPr>
        <w:t>，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bidi="ar"/>
        </w:rPr>
        <w:t>近半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  <w:t>数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bidi="ar"/>
        </w:rPr>
        <w:t>美国大学生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  <w:t>用其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bidi="ar"/>
        </w:rPr>
        <w:t>进行学术研究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  <w:t>，</w:t>
      </w:r>
      <w:r>
        <w:rPr>
          <w:rFonts w:hint="eastAsia" w:ascii="华文仿宋" w:hAnsi="华文仿宋" w:eastAsia="华文仿宋" w:cs="华文仿宋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  <w:t>超七成美国职场人士认为AI显著提升工作效率。</w:t>
      </w:r>
    </w:p>
    <w:p w14:paraId="1E6824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textAlignment w:val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四、对中国电信的建议</w:t>
      </w:r>
    </w:p>
    <w:p w14:paraId="5A3B1751">
      <w:pPr>
        <w:spacing w:line="360" w:lineRule="auto"/>
        <w:ind w:firstLine="641" w:firstLineChars="200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华文仿宋" w:hAnsi="华文仿宋" w:eastAsia="华文仿宋" w:cs="华文仿宋"/>
          <w:b/>
          <w:bCs/>
          <w:kern w:val="2"/>
          <w:sz w:val="32"/>
          <w:szCs w:val="32"/>
          <w:lang w:val="en-US" w:eastAsia="zh-CN" w:bidi="ar-SA"/>
        </w:rPr>
        <w:t>1、以息壤为核心，加快打造升级国家级AI基础设施。</w:t>
      </w:r>
      <w:r>
        <w:rPr>
          <w:rFonts w:hint="eastAsia" w:ascii="华文仿宋" w:hAnsi="华文仿宋" w:eastAsia="华文仿宋" w:cs="华文仿宋"/>
          <w:b w:val="0"/>
          <w:bCs w:val="0"/>
          <w:color w:val="auto"/>
          <w:sz w:val="32"/>
          <w:szCs w:val="32"/>
          <w:lang w:val="en-US" w:eastAsia="zh-CN"/>
        </w:rPr>
        <w:t>一是紧抓</w:t>
      </w:r>
      <w:r>
        <w:rPr>
          <w:rFonts w:hint="default" w:ascii="华文仿宋" w:hAnsi="华文仿宋" w:eastAsia="华文仿宋" w:cs="华文仿宋"/>
          <w:b w:val="0"/>
          <w:bCs w:val="0"/>
          <w:color w:val="auto"/>
          <w:sz w:val="32"/>
          <w:szCs w:val="32"/>
          <w:lang w:val="en-US" w:eastAsia="zh-CN"/>
        </w:rPr>
        <w:t>AI</w:t>
      </w:r>
      <w:r>
        <w:rPr>
          <w:rFonts w:hint="eastAsia" w:ascii="华文仿宋" w:hAnsi="华文仿宋" w:eastAsia="华文仿宋" w:cs="华文仿宋"/>
          <w:b w:val="0"/>
          <w:bCs w:val="0"/>
          <w:color w:val="auto"/>
          <w:sz w:val="32"/>
          <w:szCs w:val="32"/>
          <w:lang w:val="en-US" w:eastAsia="zh-CN"/>
        </w:rPr>
        <w:t>基础设施高速发展</w:t>
      </w:r>
      <w:r>
        <w:rPr>
          <w:rFonts w:hint="default" w:ascii="华文仿宋" w:hAnsi="华文仿宋" w:eastAsia="华文仿宋" w:cs="华文仿宋"/>
          <w:b w:val="0"/>
          <w:bCs w:val="0"/>
          <w:color w:val="auto"/>
          <w:sz w:val="32"/>
          <w:szCs w:val="32"/>
          <w:lang w:val="en-US" w:eastAsia="zh-CN"/>
        </w:rPr>
        <w:t>窗口期</w:t>
      </w:r>
      <w:r>
        <w:rPr>
          <w:rFonts w:hint="eastAsia" w:ascii="华文仿宋" w:hAnsi="华文仿宋" w:eastAsia="华文仿宋" w:cs="华文仿宋"/>
          <w:b w:val="0"/>
          <w:bCs w:val="0"/>
          <w:color w:val="auto"/>
          <w:sz w:val="32"/>
          <w:szCs w:val="32"/>
          <w:lang w:val="en-US" w:eastAsia="zh-CN"/>
        </w:rPr>
        <w:t>，对标头部企业40%-60%的投入增速，进一步提升智算规模，提高市场份额。二是加强算力网络等相关技术研发，提升息壤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kern w:val="2"/>
          <w:sz w:val="32"/>
          <w:szCs w:val="32"/>
          <w:shd w:val="clear"/>
          <w:vertAlign w:val="baseline"/>
          <w:lang w:val="en-US" w:eastAsia="zh-CN" w:bidi="ar-SA"/>
        </w:rPr>
        <w:t>一体化的智算云能力，提升资源利用率；坚持开闭源并重，提升大模型训练和推理效率，提供端到端大模型服务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2"/>
          <w:szCs w:val="32"/>
          <w:shd w:val="clear" w:fill="auto"/>
        </w:rPr>
        <w:t>。</w:t>
      </w:r>
    </w:p>
    <w:p w14:paraId="6126C46E">
      <w:pPr>
        <w:keepNext w:val="0"/>
        <w:keepLines w:val="0"/>
        <w:widowControl/>
        <w:suppressLineNumbers w:val="0"/>
        <w:ind w:firstLine="641" w:firstLineChars="200"/>
        <w:jc w:val="left"/>
        <w:rPr>
          <w:rFonts w:hint="eastAsia" w:ascii="华文仿宋" w:hAnsi="华文仿宋" w:eastAsia="华文仿宋" w:cs="华文仿宋"/>
          <w:b w:val="0"/>
          <w:bCs w:val="0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华文仿宋" w:hAnsi="华文仿宋" w:eastAsia="华文仿宋" w:cs="华文仿宋"/>
          <w:b/>
          <w:bCs/>
          <w:kern w:val="2"/>
          <w:sz w:val="32"/>
          <w:szCs w:val="32"/>
          <w:lang w:val="en-US" w:eastAsia="zh-CN" w:bidi="ar-SA"/>
        </w:rPr>
        <w:t>2、强化应用导向，丰富</w:t>
      </w:r>
      <w:r>
        <w:rPr>
          <w:rFonts w:hint="eastAsia" w:ascii="华文仿宋" w:hAnsi="华文仿宋" w:eastAsia="华文仿宋" w:cs="华文仿宋"/>
          <w:b/>
          <w:bCs/>
          <w:kern w:val="2"/>
          <w:sz w:val="32"/>
          <w:szCs w:val="32"/>
          <w:highlight w:val="none"/>
          <w:lang w:val="en-US" w:eastAsia="zh-CN" w:bidi="ar-SA"/>
        </w:rPr>
        <w:t>高实用性的</w:t>
      </w:r>
      <w:r>
        <w:rPr>
          <w:rFonts w:hint="eastAsia" w:ascii="华文仿宋" w:hAnsi="华文仿宋" w:eastAsia="华文仿宋" w:cs="华文仿宋"/>
          <w:b/>
          <w:bCs/>
          <w:kern w:val="2"/>
          <w:sz w:val="32"/>
          <w:szCs w:val="32"/>
          <w:lang w:val="en-US" w:eastAsia="zh-CN" w:bidi="ar-SA"/>
        </w:rPr>
        <w:t>大模型产品体系。</w:t>
      </w:r>
      <w:r>
        <w:rPr>
          <w:rFonts w:hint="eastAsia" w:ascii="华文仿宋" w:hAnsi="华文仿宋" w:eastAsia="华文仿宋" w:cs="华文仿宋"/>
          <w:b w:val="0"/>
          <w:bCs w:val="0"/>
          <w:kern w:val="2"/>
          <w:sz w:val="32"/>
          <w:szCs w:val="32"/>
          <w:lang w:val="en-US" w:eastAsia="zh-CN" w:bidi="ar-SA"/>
        </w:rPr>
        <w:t>面向2B市场，</w:t>
      </w:r>
      <w:r>
        <w:rPr>
          <w:rFonts w:hint="eastAsia" w:ascii="仿宋_GB2312" w:hAnsi="仿宋" w:eastAsia="仿宋_GB2312" w:cstheme="minorBidi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  <w:lang w:val="en-US" w:eastAsia="zh-CN"/>
        </w:rPr>
        <w:t>联合</w:t>
      </w:r>
      <w:r>
        <w:rPr>
          <w:rFonts w:hint="eastAsia" w:ascii="仿宋_GB2312" w:hAnsi="仿宋" w:eastAsia="仿宋_GB2312" w:cstheme="minorBidi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</w:rPr>
        <w:t>政务、</w:t>
      </w:r>
      <w:r>
        <w:rPr>
          <w:rFonts w:hint="eastAsia" w:ascii="仿宋_GB2312" w:hAnsi="仿宋" w:eastAsia="仿宋_GB2312" w:cstheme="minorBidi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  <w:lang w:val="en-US" w:eastAsia="zh-CN"/>
        </w:rPr>
        <w:t>金融</w:t>
      </w:r>
      <w:r>
        <w:rPr>
          <w:rFonts w:hint="eastAsia" w:ascii="仿宋_GB2312" w:hAnsi="仿宋" w:eastAsia="仿宋_GB2312" w:cstheme="minorBidi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</w:rPr>
        <w:t>等领域</w:t>
      </w:r>
      <w:r>
        <w:rPr>
          <w:rFonts w:hint="eastAsia" w:ascii="仿宋_GB2312" w:hAnsi="仿宋" w:eastAsia="仿宋_GB2312" w:cstheme="minorBidi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  <w:lang w:val="en-US" w:eastAsia="zh-CN"/>
        </w:rPr>
        <w:t>龙头深挖场景需求，在行业大模型基础上，打造</w:t>
      </w:r>
      <w:r>
        <w:rPr>
          <w:rFonts w:hint="eastAsia" w:ascii="仿宋_GB2312" w:hAnsi="仿宋" w:eastAsia="仿宋_GB2312" w:cstheme="minorBidi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</w:rPr>
        <w:t>“数</w:t>
      </w:r>
      <w:r>
        <w:rPr>
          <w:rFonts w:hint="eastAsia" w:ascii="仿宋_GB2312" w:hAnsi="仿宋" w:eastAsia="仿宋_GB2312" w:cstheme="minorBidi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</w:rPr>
        <w:t>据+</w:t>
      </w:r>
      <w:r>
        <w:rPr>
          <w:rFonts w:hint="eastAsia" w:ascii="仿宋_GB2312" w:hAnsi="仿宋" w:eastAsia="仿宋_GB2312" w:cstheme="minorBidi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  <w:lang w:val="en-US" w:eastAsia="zh-CN"/>
        </w:rPr>
        <w:t>大</w:t>
      </w:r>
      <w:r>
        <w:rPr>
          <w:rFonts w:hint="eastAsia" w:ascii="仿宋_GB2312" w:hAnsi="仿宋" w:eastAsia="仿宋_GB2312" w:cstheme="minorBidi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</w:rPr>
        <w:t>模型+业务系统”</w:t>
      </w:r>
      <w:r>
        <w:rPr>
          <w:rFonts w:hint="eastAsia" w:ascii="仿宋_GB2312" w:hAnsi="仿宋" w:eastAsia="仿宋_GB2312" w:cstheme="minorBidi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  <w:lang w:val="en-US" w:eastAsia="zh-CN"/>
        </w:rPr>
        <w:t>一体化</w:t>
      </w:r>
      <w:r>
        <w:rPr>
          <w:rFonts w:hint="eastAsia" w:ascii="仿宋_GB2312" w:hAnsi="仿宋" w:eastAsia="仿宋_GB2312" w:cstheme="minorBidi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</w:rPr>
        <w:t>解决方案</w:t>
      </w:r>
      <w:r>
        <w:rPr>
          <w:rFonts w:hint="eastAsia" w:ascii="仿宋_GB2312" w:hAnsi="仿宋" w:eastAsia="仿宋_GB2312" w:cstheme="minorBidi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  <w:lang w:eastAsia="zh-CN"/>
        </w:rPr>
        <w:t>，</w:t>
      </w:r>
      <w:r>
        <w:rPr>
          <w:rFonts w:hint="eastAsia" w:ascii="仿宋_GB2312" w:hAnsi="仿宋" w:eastAsia="仿宋_GB2312" w:cstheme="minorBidi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  <w:lang w:val="en-US" w:eastAsia="zh-CN"/>
        </w:rPr>
        <w:t>破解模型适配性不足、系统集成复杂等痛点</w:t>
      </w:r>
      <w:r>
        <w:rPr>
          <w:rFonts w:hint="eastAsia" w:ascii="仿宋_GB2312" w:hAnsi="仿宋" w:eastAsia="仿宋_GB2312" w:cstheme="minorBidi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</w:rPr>
        <w:t>；</w:t>
      </w:r>
      <w:r>
        <w:rPr>
          <w:rFonts w:hint="eastAsia" w:ascii="仿宋_GB2312" w:hAnsi="仿宋" w:eastAsia="仿宋_GB2312" w:cstheme="minorBidi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  <w:lang w:val="en-US" w:eastAsia="zh-CN"/>
        </w:rPr>
        <w:t>开发</w:t>
      </w:r>
      <w:r>
        <w:rPr>
          <w:rFonts w:hint="eastAsia" w:ascii="仿宋_GB2312" w:hAnsi="仿宋" w:eastAsia="仿宋_GB2312" w:cstheme="minorBidi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</w:rPr>
        <w:t>任务型智能体</w:t>
      </w:r>
      <w:r>
        <w:rPr>
          <w:rFonts w:hint="eastAsia" w:ascii="仿宋_GB2312" w:hAnsi="仿宋" w:eastAsia="仿宋_GB2312" w:cstheme="minorBidi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/>
          <w:vertAlign w:val="baseline"/>
          <w:lang w:eastAsia="zh-CN"/>
        </w:rPr>
        <w:t>，</w:t>
      </w:r>
      <w:r>
        <w:rPr>
          <w:rFonts w:hint="eastAsia" w:ascii="仿宋_GB2312" w:hAnsi="仿宋" w:eastAsia="仿宋_GB2312" w:cstheme="minorBidi"/>
          <w:i w:val="0"/>
          <w:iCs w:val="0"/>
          <w:caps w:val="0"/>
          <w:spacing w:val="0"/>
          <w:sz w:val="32"/>
          <w:szCs w:val="32"/>
          <w:shd w:val="clear" w:fill="auto"/>
        </w:rPr>
        <w:t>以 SaaS 订阅模式降低中小企业部署成本与运维门槛</w:t>
      </w:r>
      <w:r>
        <w:rPr>
          <w:rFonts w:hint="eastAsia" w:ascii="仿宋_GB2312" w:hAnsi="仿宋" w:eastAsia="仿宋_GB2312" w:cstheme="minorBidi"/>
          <w:i w:val="0"/>
          <w:iCs w:val="0"/>
          <w:caps w:val="0"/>
          <w:color w:val="auto"/>
          <w:spacing w:val="0"/>
          <w:sz w:val="32"/>
          <w:szCs w:val="32"/>
          <w:shd w:val="clear"/>
          <w:lang w:eastAsia="zh-CN"/>
        </w:rPr>
        <w:t>。</w:t>
      </w:r>
      <w:r>
        <w:rPr>
          <w:rFonts w:hint="eastAsia" w:ascii="仿宋_GB2312" w:hAnsi="仿宋" w:eastAsia="仿宋_GB2312" w:cstheme="minorBidi"/>
          <w:i w:val="0"/>
          <w:iCs w:val="0"/>
          <w:caps w:val="0"/>
          <w:color w:val="auto"/>
          <w:spacing w:val="0"/>
          <w:sz w:val="32"/>
          <w:szCs w:val="32"/>
          <w:shd w:val="clear"/>
          <w:lang w:val="en-US" w:eastAsia="zh-CN"/>
        </w:rPr>
        <w:t>面向2C、2H市场，全面提升AI手机、AI通信助理、AI视频监控等AI+产品能力，提升用户体验。面向企业内部，坚定加大</w:t>
      </w:r>
      <w:r>
        <w:rPr>
          <w:rFonts w:hint="eastAsia" w:ascii="华文仿宋" w:hAnsi="华文仿宋" w:eastAsia="华文仿宋" w:cs="华文仿宋"/>
          <w:color w:val="000000"/>
          <w:kern w:val="0"/>
          <w:sz w:val="31"/>
          <w:szCs w:val="31"/>
          <w:lang w:val="en-US" w:eastAsia="zh-CN" w:bidi="ar"/>
        </w:rPr>
        <w:t>智能体在营销、客服、云网运营等核心流程的应用范围和程度，出台配套</w:t>
      </w:r>
      <w:r>
        <w:rPr>
          <w:rFonts w:hint="eastAsia" w:ascii="华文仿宋" w:hAnsi="华文仿宋" w:eastAsia="华文仿宋" w:cs="华文仿宋"/>
          <w:b w:val="0"/>
          <w:bCs w:val="0"/>
          <w:color w:val="000000"/>
          <w:kern w:val="0"/>
          <w:sz w:val="31"/>
          <w:szCs w:val="31"/>
          <w:lang w:val="en-US" w:eastAsia="zh-CN" w:bidi="ar"/>
        </w:rPr>
        <w:t>考核体系，大力营造“提质增效用AI”的氛围，推动</w:t>
      </w:r>
      <w:r>
        <w:rPr>
          <w:rFonts w:hint="eastAsia" w:ascii="华文仿宋" w:hAnsi="华文仿宋" w:eastAsia="华文仿宋" w:cs="华文仿宋"/>
          <w:color w:val="000000"/>
          <w:kern w:val="0"/>
          <w:sz w:val="31"/>
          <w:szCs w:val="31"/>
          <w:lang w:val="en-US" w:eastAsia="zh-CN" w:bidi="ar"/>
        </w:rPr>
        <w:t>流程重塑升级</w:t>
      </w:r>
      <w:r>
        <w:rPr>
          <w:rFonts w:hint="eastAsia" w:ascii="华文仿宋" w:hAnsi="华文仿宋" w:eastAsia="华文仿宋" w:cs="华文仿宋"/>
          <w:b w:val="0"/>
          <w:bCs w:val="0"/>
          <w:color w:val="000000"/>
          <w:kern w:val="0"/>
          <w:sz w:val="31"/>
          <w:szCs w:val="31"/>
          <w:lang w:val="en-US" w:eastAsia="zh-CN" w:bidi="ar"/>
        </w:rPr>
        <w:t>。</w:t>
      </w:r>
    </w:p>
    <w:p w14:paraId="532FA366">
      <w:pPr>
        <w:keepNext w:val="0"/>
        <w:keepLines w:val="0"/>
        <w:widowControl/>
        <w:suppressLineNumbers w:val="0"/>
        <w:ind w:firstLine="560" w:firstLineChars="200"/>
        <w:jc w:val="right"/>
        <w:rPr>
          <w:rFonts w:hint="default" w:ascii="华文仿宋" w:hAnsi="华文仿宋" w:eastAsia="华文仿宋" w:cs="华文仿宋"/>
          <w:b w:val="0"/>
          <w:bCs w:val="0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华文仿宋" w:hAnsi="华文仿宋" w:eastAsia="华文仿宋" w:cs="华文仿宋"/>
          <w:b w:val="0"/>
          <w:bCs w:val="0"/>
          <w:sz w:val="28"/>
          <w:szCs w:val="36"/>
          <w:lang w:val="en-US" w:eastAsia="zh-CN"/>
        </w:rPr>
        <w:t>（分析师：申红梅、陈晓佳、彭卉、佘丛国）</w:t>
      </w:r>
    </w:p>
    <w:sectPr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DD2F0">
    <w:pPr>
      <w:pStyle w:val="5"/>
    </w:pPr>
    <w:r>
      <w:rPr>
        <w:sz w:val="18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1CEE8B5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2" o:spid="_x0000_s1026" o:spt="1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5dblS0AAAAAUBAAAPAAAAAAAAAAEAIAAAACIAAABkcnMv&#10;ZG93bnJldi54bWxQSwECFAAUAAAACACHTuJAWzOh3tIBAACeAwAADgAAAAAAAAABACAAAAAfAQAA&#10;ZHJzL2Uyb0RvYy54bWxQSwUGAAAAAAYABgBZAQAAY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CEE8B5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7784D0C3">
      <w:pPr>
        <w:pStyle w:val="7"/>
        <w:snapToGrid w:val="0"/>
        <w:rPr>
          <w:rFonts w:hint="default" w:eastAsia="宋体"/>
          <w:lang w:val="en-US" w:eastAsia="zh-CN"/>
        </w:rPr>
      </w:pPr>
      <w:r>
        <w:rPr>
          <w:rStyle w:val="15"/>
        </w:rPr>
        <w:footnoteRef/>
      </w:r>
      <w:r>
        <w:t xml:space="preserve"> </w:t>
      </w:r>
      <w:r>
        <w:rPr>
          <w:rFonts w:hint="eastAsia"/>
          <w:lang w:val="en-US" w:eastAsia="zh-CN"/>
        </w:rPr>
        <w:t>报告中的美国六大科技公司指苹果、英伟达、微软、Alphabet、亚马逊和Meta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4AEB"/>
    <w:rsid w:val="00586D48"/>
    <w:rsid w:val="00DF677C"/>
    <w:rsid w:val="01161381"/>
    <w:rsid w:val="01240ECB"/>
    <w:rsid w:val="02274EC8"/>
    <w:rsid w:val="02A94AF5"/>
    <w:rsid w:val="032E6454"/>
    <w:rsid w:val="03B67B07"/>
    <w:rsid w:val="05E87AC9"/>
    <w:rsid w:val="06A20A90"/>
    <w:rsid w:val="06E679F2"/>
    <w:rsid w:val="06F00FD2"/>
    <w:rsid w:val="072239C3"/>
    <w:rsid w:val="072A7D30"/>
    <w:rsid w:val="07E21FBD"/>
    <w:rsid w:val="0837350B"/>
    <w:rsid w:val="086C73F5"/>
    <w:rsid w:val="087D520C"/>
    <w:rsid w:val="088017D6"/>
    <w:rsid w:val="093D3223"/>
    <w:rsid w:val="0AB3259A"/>
    <w:rsid w:val="0AF52007"/>
    <w:rsid w:val="0BBA6D68"/>
    <w:rsid w:val="0DE46D10"/>
    <w:rsid w:val="0EAD69A2"/>
    <w:rsid w:val="0ECD6DF7"/>
    <w:rsid w:val="0F2B6888"/>
    <w:rsid w:val="0F704CD4"/>
    <w:rsid w:val="0FB726D8"/>
    <w:rsid w:val="10CB0E4B"/>
    <w:rsid w:val="114333A1"/>
    <w:rsid w:val="137D2B9A"/>
    <w:rsid w:val="169E6DA8"/>
    <w:rsid w:val="17A67141"/>
    <w:rsid w:val="19401D5E"/>
    <w:rsid w:val="19B14838"/>
    <w:rsid w:val="1B155DAE"/>
    <w:rsid w:val="1BC03F6C"/>
    <w:rsid w:val="1C262DC7"/>
    <w:rsid w:val="1DDF0164"/>
    <w:rsid w:val="1E195BB5"/>
    <w:rsid w:val="1E8E65A3"/>
    <w:rsid w:val="1FE60DE3"/>
    <w:rsid w:val="22BD7DA9"/>
    <w:rsid w:val="22D726E3"/>
    <w:rsid w:val="232D45BC"/>
    <w:rsid w:val="243C4B23"/>
    <w:rsid w:val="264E49CE"/>
    <w:rsid w:val="27764078"/>
    <w:rsid w:val="28660E58"/>
    <w:rsid w:val="286873DA"/>
    <w:rsid w:val="28884063"/>
    <w:rsid w:val="29233D8C"/>
    <w:rsid w:val="2A3F4BF5"/>
    <w:rsid w:val="2D1C77CC"/>
    <w:rsid w:val="2F642AAB"/>
    <w:rsid w:val="306929CC"/>
    <w:rsid w:val="31F94694"/>
    <w:rsid w:val="34FA5AA8"/>
    <w:rsid w:val="3803149E"/>
    <w:rsid w:val="387C443B"/>
    <w:rsid w:val="397D68DB"/>
    <w:rsid w:val="3986639D"/>
    <w:rsid w:val="3A545F5F"/>
    <w:rsid w:val="3D9F5C7F"/>
    <w:rsid w:val="40664832"/>
    <w:rsid w:val="40B6449F"/>
    <w:rsid w:val="418331C2"/>
    <w:rsid w:val="421C6B06"/>
    <w:rsid w:val="42327A73"/>
    <w:rsid w:val="432B3B11"/>
    <w:rsid w:val="44DF1057"/>
    <w:rsid w:val="4536363E"/>
    <w:rsid w:val="462C063A"/>
    <w:rsid w:val="47573126"/>
    <w:rsid w:val="47722139"/>
    <w:rsid w:val="47A26EA4"/>
    <w:rsid w:val="47DB5B06"/>
    <w:rsid w:val="47F94085"/>
    <w:rsid w:val="49BA510F"/>
    <w:rsid w:val="49FA5FEB"/>
    <w:rsid w:val="4A0B0B6D"/>
    <w:rsid w:val="4A6A4F1F"/>
    <w:rsid w:val="4B3E2033"/>
    <w:rsid w:val="4BC2748E"/>
    <w:rsid w:val="4C1C493F"/>
    <w:rsid w:val="4CA92142"/>
    <w:rsid w:val="4DA13256"/>
    <w:rsid w:val="4E836746"/>
    <w:rsid w:val="4EDA457C"/>
    <w:rsid w:val="4F610FE6"/>
    <w:rsid w:val="4FC926E8"/>
    <w:rsid w:val="4FDE2637"/>
    <w:rsid w:val="50100316"/>
    <w:rsid w:val="516375F5"/>
    <w:rsid w:val="52D55C96"/>
    <w:rsid w:val="53567CB5"/>
    <w:rsid w:val="55A26BC4"/>
    <w:rsid w:val="56D30863"/>
    <w:rsid w:val="578C6FDB"/>
    <w:rsid w:val="585D6142"/>
    <w:rsid w:val="588B7864"/>
    <w:rsid w:val="59271254"/>
    <w:rsid w:val="593D12F7"/>
    <w:rsid w:val="5A365F69"/>
    <w:rsid w:val="5BE82147"/>
    <w:rsid w:val="5D0A161B"/>
    <w:rsid w:val="5DDA038C"/>
    <w:rsid w:val="5F731427"/>
    <w:rsid w:val="61330309"/>
    <w:rsid w:val="61770BF8"/>
    <w:rsid w:val="62AC6B3E"/>
    <w:rsid w:val="640A004B"/>
    <w:rsid w:val="642577FA"/>
    <w:rsid w:val="64AD0736"/>
    <w:rsid w:val="65C77271"/>
    <w:rsid w:val="670C13E0"/>
    <w:rsid w:val="6720474D"/>
    <w:rsid w:val="67F32768"/>
    <w:rsid w:val="680622D3"/>
    <w:rsid w:val="689F131E"/>
    <w:rsid w:val="68D35286"/>
    <w:rsid w:val="69313380"/>
    <w:rsid w:val="69D41F5D"/>
    <w:rsid w:val="6AD71D05"/>
    <w:rsid w:val="6BC02799"/>
    <w:rsid w:val="6CF03552"/>
    <w:rsid w:val="6E856DC8"/>
    <w:rsid w:val="6EC0751E"/>
    <w:rsid w:val="6F795A80"/>
    <w:rsid w:val="6F9401C4"/>
    <w:rsid w:val="6FC1105E"/>
    <w:rsid w:val="6FCE6934"/>
    <w:rsid w:val="70103528"/>
    <w:rsid w:val="701D3A00"/>
    <w:rsid w:val="7029794E"/>
    <w:rsid w:val="704B2535"/>
    <w:rsid w:val="71B604CB"/>
    <w:rsid w:val="74FF4332"/>
    <w:rsid w:val="75DA08FB"/>
    <w:rsid w:val="77350277"/>
    <w:rsid w:val="78271ABA"/>
    <w:rsid w:val="78CE0BEB"/>
    <w:rsid w:val="7A5F3AF9"/>
    <w:rsid w:val="7D5F58C0"/>
    <w:rsid w:val="7E332E38"/>
    <w:rsid w:val="7E5106CC"/>
    <w:rsid w:val="7EEB5927"/>
    <w:rsid w:val="7EFA63D9"/>
    <w:rsid w:val="7F03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/>
    </w:rPr>
  </w:style>
  <w:style w:type="character" w:default="1" w:styleId="12">
    <w:name w:val="Default Paragraph Font"/>
    <w:qFormat/>
    <w:uiPriority w:val="0"/>
  </w:style>
  <w:style w:type="table" w:default="1" w:styleId="1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rPr>
      <w:szCs w:val="24"/>
    </w:r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  <w:style w:type="character" w:styleId="15">
    <w:name w:val="footnote reference"/>
    <w:basedOn w:val="12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中国电信股份有限公司研究院</Company>
  <Pages>4</Pages>
  <Words>1774</Words>
  <Characters>2120</Characters>
  <Paragraphs>34</Paragraphs>
  <TotalTime>8</TotalTime>
  <ScaleCrop>false</ScaleCrop>
  <LinksUpToDate>false</LinksUpToDate>
  <CharactersWithSpaces>2173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2025-04-22T02:55:00Z</dcterms:created>
  <dc:creator>HP</dc:creator>
  <cp:lastModifiedBy>13316</cp:lastModifiedBy>
  <dcterms:modified xsi:type="dcterms:W3CDTF">2025-07-07T00:27:35Z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4123AF638B554868BCE0379EE5927D84_13</vt:lpwstr>
  </property>
  <property fmtid="{D5CDD505-2E9C-101B-9397-08002B2CF9AE}" pid="4" name="KSOTemplateDocerSaveRecord">
    <vt:lpwstr>eyJoZGlkIjoiZWIwMTFhZmVhMGNlYThiNTgzYjdhZmY3OTgzZTVjYTIiLCJ1c2VySWQiOiI3MzYyMjEyMjUifQ==</vt:lpwstr>
  </property>
</Properties>
</file>