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03D3D">
      <w:pPr>
        <w:pStyle w:val="5"/>
        <w:jc w:val="center"/>
        <w:rPr>
          <w:bCs/>
        </w:rPr>
      </w:pPr>
      <w:bookmarkStart w:id="0" w:name="蓝色巨人ai时代再次起舞对中国电信的启示"/>
      <w:bookmarkStart w:id="5" w:name="_GoBack"/>
      <w:bookmarkEnd w:id="5"/>
      <w:r>
        <w:rPr>
          <w:bCs/>
        </w:rPr>
        <w:t>AI</w:t>
      </w:r>
      <w:r>
        <w:rPr>
          <w:rFonts w:hint="eastAsia"/>
          <w:bCs/>
        </w:rPr>
        <w:t>时代IBM业务转型成功对中国电信的启示</w:t>
      </w:r>
    </w:p>
    <w:p w14:paraId="086A2A00">
      <w:pPr>
        <w:pStyle w:val="27"/>
      </w:pPr>
      <w:r>
        <w:rPr>
          <w:rFonts w:hint="eastAsia"/>
        </w:rPr>
        <w:t>IBM自2020年</w:t>
      </w:r>
      <w:r>
        <w:t>68.45美元低点</w:t>
      </w:r>
      <w:r>
        <w:rPr>
          <w:rFonts w:hint="eastAsia"/>
        </w:rPr>
        <w:t>股价至今</w:t>
      </w:r>
      <w:r>
        <w:t>涨幅</w:t>
      </w:r>
      <w:r>
        <w:rPr>
          <w:rFonts w:hint="eastAsia"/>
        </w:rPr>
        <w:t>已达</w:t>
      </w:r>
      <w:r>
        <w:t>3</w:t>
      </w:r>
      <w:r>
        <w:rPr>
          <w:rFonts w:hint="eastAsia"/>
        </w:rPr>
        <w:t>29</w:t>
      </w:r>
      <w:r>
        <w:t>%</w:t>
      </w:r>
      <w:r>
        <w:rPr>
          <w:rFonts w:hint="eastAsia"/>
        </w:rPr>
        <w:t>，年内涨幅超微软。核心原因在于IBM完成战略转型，通过业务重塑，确立三大转型支柱方案，在企业级AI和混合云的新赛道上成功转型，收获投资者的青睐。相较于微软等新型科技企业，IBM的转型方案，对于谋求数智化和</w:t>
      </w:r>
      <w:r>
        <w:t>科技型</w:t>
      </w:r>
      <w:r>
        <w:rPr>
          <w:rFonts w:hint="eastAsia"/>
        </w:rPr>
        <w:t>企业转型的中国电信，更具借鉴意义。</w:t>
      </w:r>
    </w:p>
    <w:p w14:paraId="23F8B781">
      <w:pPr>
        <w:pStyle w:val="6"/>
        <w:rPr>
          <w:i w:val="0"/>
          <w:color w:val="000000" w:themeColor="text1"/>
          <w14:textFill>
            <w14:solidFill>
              <w14:schemeClr w14:val="tx1"/>
            </w14:solidFill>
          </w14:textFill>
        </w:rPr>
      </w:pPr>
      <w:bookmarkStart w:id="1" w:name="一-ibm战略转型专注与聚焦推动强劲增长"/>
      <w:r>
        <w:rPr>
          <w:rFonts w:hint="eastAsia"/>
          <w:b/>
          <w:bCs/>
          <w:i w:val="0"/>
          <w:color w:val="000000" w:themeColor="text1"/>
          <w14:textFill>
            <w14:solidFill>
              <w14:schemeClr w14:val="tx1"/>
            </w14:solidFill>
          </w14:textFill>
        </w:rPr>
        <w:t>一、</w:t>
      </w:r>
      <w:r>
        <w:rPr>
          <w:b/>
          <w:bCs/>
          <w:i w:val="0"/>
          <w:color w:val="000000" w:themeColor="text1"/>
          <w14:textFill>
            <w14:solidFill>
              <w14:schemeClr w14:val="tx1"/>
            </w14:solidFill>
          </w14:textFill>
        </w:rPr>
        <w:t xml:space="preserve"> </w:t>
      </w:r>
      <w:r>
        <w:rPr>
          <w:rFonts w:hint="eastAsia"/>
          <w:b/>
          <w:bCs/>
          <w:i w:val="0"/>
          <w:color w:val="000000" w:themeColor="text1"/>
          <w14:textFill>
            <w14:solidFill>
              <w14:schemeClr w14:val="tx1"/>
            </w14:solidFill>
          </w14:textFill>
        </w:rPr>
        <w:t>IBM战略转型：专注与聚焦推动强劲增长</w:t>
      </w:r>
    </w:p>
    <w:p w14:paraId="17A486CA">
      <w:pPr>
        <w:pStyle w:val="27"/>
      </w:pPr>
      <w:r>
        <w:rPr>
          <w:rFonts w:hint="eastAsia"/>
        </w:rPr>
        <w:t>克里希纳上任后，迅速为IBM确立了新的航向：“将混合云和AI作为未来的关键技术”。围绕这一核心，IBM展开了一系列深刻的战略变革，成功扭转了多年的下滑趋势，重回增长轨道。</w:t>
      </w:r>
    </w:p>
    <w:p w14:paraId="1DD3AC55">
      <w:pPr>
        <w:pStyle w:val="3"/>
      </w:pPr>
      <w:r>
        <w:rPr>
          <w:rFonts w:hint="eastAsia"/>
          <w:b/>
          <w:bCs/>
        </w:rPr>
        <w:t>（一）果断的业务重塑：剥离与收购并举，优化战略焦点</w:t>
      </w:r>
    </w:p>
    <w:p w14:paraId="5C86EE27">
      <w:pPr>
        <w:pStyle w:val="3"/>
      </w:pPr>
      <w:r>
        <w:rPr>
          <w:rFonts w:hint="eastAsia"/>
        </w:rPr>
        <w:t>为实现战略聚焦，IBM采取了两项关键举措。首先是果断剥离。2021年，IBM完成了对管理基础设施服务部门的分拆，成立了独立的上市公司Kyndryl。这一举措虽然短期内影响了整体营收规模，但却成功剥离了增长停滞、利润率较低的业务，使公司能够将资源和精力完全集中在混合云与AI等高增长、高利润的核心领域。</w:t>
      </w:r>
    </w:p>
    <w:p w14:paraId="3F6B2DA1">
      <w:pPr>
        <w:pStyle w:val="3"/>
      </w:pPr>
      <w:r>
        <w:rPr>
          <w:rFonts w:hint="eastAsia"/>
        </w:rPr>
        <w:t>其次是精准的战略收购。在剥离非核心业务的同时，IBM斥资数十亿美元进行了一系列收购，以快速补强其在软件和云服务领域的实力。例如，先后收购了Instana、Turbonomic、Apptio等公司，以增强其AI驱动的自动化和IT管理能力。2024年，IBM斥资64亿美元收购了多云基础设施自动化领域的领导者HashiCorp，这是其历史上第二大收购案，旨在打造一个面向AI时代的全面端到端混合云平台。这些收购为IBM引入了高增长和高利润的业务，极大地强化了其战略竞争力。</w:t>
      </w:r>
    </w:p>
    <w:p w14:paraId="0DC23CB4">
      <w:pPr>
        <w:pStyle w:val="3"/>
      </w:pPr>
      <w:r>
        <w:rPr>
          <w:rFonts w:hint="eastAsia"/>
          <w:b/>
          <w:bCs/>
        </w:rPr>
        <w:t>（二）重回业务增长通道：营收与利润企稳回升</w:t>
      </w:r>
    </w:p>
    <w:p w14:paraId="6F9F763E">
      <w:pPr>
        <w:pStyle w:val="3"/>
      </w:pPr>
      <w:r>
        <w:rPr>
          <w:rFonts w:hint="eastAsia"/>
        </w:rPr>
        <w:t>这一系列战略调整的效果清晰地反映在财务数据上。在经历了多年的营收下滑后，IBM自2020年起重回增长。公司年收入从2020年的约552亿美元，稳步增长至2024年的近628亿美元。这一增长主要得益于以Red</w:t>
      </w:r>
      <w:r>
        <w:t xml:space="preserve"> </w:t>
      </w:r>
      <w:r>
        <w:rPr>
          <w:rFonts w:hint="eastAsia"/>
        </w:rPr>
        <w:t>Hat为代表的软件业务的强劲表现，其2024年营收达256.87亿美元，同比增长9%。同时，生成式AI相关业务的账面收入已超过50亿美元，成为新的增长引擎。分析师预测，IBM的年化增长率有望稳定在5%左右，预计2026年营收将达到690亿美元。这些数据表明，IBM的战略转型已取得坚实的财务成功。</w:t>
      </w:r>
    </w:p>
    <w:bookmarkEnd w:id="1"/>
    <w:p w14:paraId="538812D9">
      <w:pPr>
        <w:pStyle w:val="6"/>
        <w:rPr>
          <w:b/>
          <w:bCs/>
          <w:i w:val="0"/>
          <w:color w:val="000000" w:themeColor="text1"/>
          <w14:textFill>
            <w14:solidFill>
              <w14:schemeClr w14:val="tx1"/>
            </w14:solidFill>
          </w14:textFill>
        </w:rPr>
      </w:pPr>
      <w:bookmarkStart w:id="2" w:name="二-解构ibm成功战略的三大支柱"/>
      <w:r>
        <w:rPr>
          <w:rFonts w:hint="eastAsia"/>
          <w:b/>
          <w:bCs/>
          <w:i w:val="0"/>
          <w:color w:val="000000" w:themeColor="text1"/>
          <w14:textFill>
            <w14:solidFill>
              <w14:schemeClr w14:val="tx1"/>
            </w14:solidFill>
          </w14:textFill>
        </w:rPr>
        <w:t>二、</w:t>
      </w:r>
      <w:r>
        <w:rPr>
          <w:b/>
          <w:bCs/>
          <w:i w:val="0"/>
          <w:color w:val="000000" w:themeColor="text1"/>
          <w14:textFill>
            <w14:solidFill>
              <w14:schemeClr w14:val="tx1"/>
            </w14:solidFill>
          </w14:textFill>
        </w:rPr>
        <w:t xml:space="preserve"> </w:t>
      </w:r>
      <w:r>
        <w:rPr>
          <w:rFonts w:hint="eastAsia"/>
          <w:b/>
          <w:bCs/>
          <w:i w:val="0"/>
          <w:color w:val="000000" w:themeColor="text1"/>
          <w14:textFill>
            <w14:solidFill>
              <w14:schemeClr w14:val="tx1"/>
            </w14:solidFill>
          </w14:textFill>
        </w:rPr>
        <w:t>IBM成功战略的三大支柱</w:t>
      </w:r>
    </w:p>
    <w:p w14:paraId="2647DF15">
      <w:pPr>
        <w:pStyle w:val="27"/>
      </w:pPr>
      <w:r>
        <w:rPr>
          <w:rFonts w:hint="eastAsia"/>
        </w:rPr>
        <w:t>IBM的复苏并非依赖单一产品或技术，而是其混合云、企业级AI和专业咨询服务三大业务板块协同作用、互相拉动的结果，形成了一个强大的增长飞轮。</w:t>
      </w:r>
    </w:p>
    <w:p w14:paraId="0C0FB88A">
      <w:pPr>
        <w:pStyle w:val="3"/>
        <w:ind w:firstLine="0"/>
        <w:jc w:val="center"/>
      </w:pPr>
      <w:r>
        <w:drawing>
          <wp:inline distT="0" distB="0" distL="0" distR="0">
            <wp:extent cx="4459605" cy="22294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485211" cy="2242810"/>
                    </a:xfrm>
                    <a:prstGeom prst="rect">
                      <a:avLst/>
                    </a:prstGeom>
                    <a:noFill/>
                  </pic:spPr>
                </pic:pic>
              </a:graphicData>
            </a:graphic>
          </wp:inline>
        </w:drawing>
      </w:r>
    </w:p>
    <w:p w14:paraId="2E45F0B6">
      <w:pPr>
        <w:pStyle w:val="3"/>
      </w:pPr>
      <w:r>
        <w:rPr>
          <w:rFonts w:hint="eastAsia"/>
          <w:b/>
          <w:bCs/>
        </w:rPr>
        <w:t>（一）混合云：找准AI基础设施赛道，构筑增长基石</w:t>
      </w:r>
    </w:p>
    <w:p w14:paraId="4C3045EA">
      <w:pPr>
        <w:pStyle w:val="3"/>
      </w:pPr>
      <w:r>
        <w:rPr>
          <w:rFonts w:hint="eastAsia"/>
        </w:rPr>
        <w:t>在亚马逊AWS和微软Azure主导的公有云市场，IBM没有选择正面硬碰，而是战略性地选择了</w:t>
      </w:r>
      <w:r>
        <w:rPr>
          <w:rFonts w:hint="eastAsia"/>
          <w:b/>
          <w:bCs/>
        </w:rPr>
        <w:t>混合云</w:t>
      </w:r>
      <w:r>
        <w:rPr>
          <w:rFonts w:hint="eastAsia"/>
        </w:rPr>
        <w:t>这一战略性赛道。IBM深刻洞察到，大型企业客户出于安全、合规和历史投资等原因，不可能将所有业务全部迁移至公有云，多云、混合云才是其长期IT架构的最终形态。企业在规模化部署和运营AI时，不仅需要海量数据提供动力，更需要对分布在不同环境中的自身数据进行无缝、快速甚至实时的访问。</w:t>
      </w:r>
    </w:p>
    <w:p w14:paraId="72F70D01">
      <w:pPr>
        <w:pStyle w:val="3"/>
      </w:pPr>
      <w:r>
        <w:rPr>
          <w:rFonts w:hint="eastAsia"/>
        </w:rPr>
        <w:t>IBM通过2019年对红帽（Red</w:t>
      </w:r>
      <w:r>
        <w:t xml:space="preserve"> </w:t>
      </w:r>
      <w:r>
        <w:rPr>
          <w:rFonts w:hint="eastAsia"/>
        </w:rPr>
        <w:t>Hat）的里程碑式收购，奠定了其在混合云领域的领导地位。其推出的红帽企业版Linux</w:t>
      </w:r>
      <w:r>
        <w:t xml:space="preserve"> </w:t>
      </w:r>
      <w:r>
        <w:rPr>
          <w:rFonts w:hint="eastAsia"/>
        </w:rPr>
        <w:t>AI和OpenShift</w:t>
      </w:r>
      <w:r>
        <w:t xml:space="preserve"> </w:t>
      </w:r>
      <w:r>
        <w:rPr>
          <w:rFonts w:hint="eastAsia"/>
        </w:rPr>
        <w:t>AI平台，为客户提供了基于开源的、统一的AI基础设施。</w:t>
      </w:r>
      <w:commentRangeStart w:id="0"/>
      <w:r>
        <w:rPr>
          <w:rFonts w:hint="eastAsia"/>
        </w:rPr>
        <w:t>虽然在整体云市场份额中IBM仅占2-3%，</w:t>
      </w:r>
      <w:commentRangeEnd w:id="0"/>
      <w:r>
        <w:commentReference w:id="0"/>
      </w:r>
      <w:r>
        <w:rPr>
          <w:rFonts w:hint="eastAsia"/>
        </w:rPr>
        <w:t>但IBM的真正优势在于其强大的企业渗透率和混合云管理能力，如今，超过90%的财富500强公司正在使用IBM的混合云产品和解决方案，帮助企业客户在复杂的多云环境中实现AI投资回报的最大化。</w:t>
      </w:r>
    </w:p>
    <w:p w14:paraId="0ABAC7E4">
      <w:pPr>
        <w:pStyle w:val="3"/>
      </w:pPr>
      <w:r>
        <w:rPr>
          <w:rFonts w:hint="eastAsia"/>
          <w:b/>
          <w:bCs/>
        </w:rPr>
        <w:t>（二）企业级AI：专注A</w:t>
      </w:r>
      <w:r>
        <w:rPr>
          <w:b/>
          <w:bCs/>
        </w:rPr>
        <w:t>I</w:t>
      </w:r>
      <w:r>
        <w:rPr>
          <w:rFonts w:hint="eastAsia"/>
          <w:b/>
          <w:bCs/>
        </w:rPr>
        <w:t>应用与治理，实现价值引领</w:t>
      </w:r>
    </w:p>
    <w:p w14:paraId="3A93384A">
      <w:pPr>
        <w:pStyle w:val="3"/>
      </w:pPr>
      <w:r>
        <w:rPr>
          <w:rFonts w:hint="eastAsia"/>
        </w:rPr>
        <w:t>面对AI浪潮，IBM再次展现了其战略定力，避开了通用大模型的“烧钱”竞赛，转而</w:t>
      </w:r>
      <w:r>
        <w:rPr>
          <w:rFonts w:hint="eastAsia"/>
          <w:b/>
          <w:bCs/>
        </w:rPr>
        <w:t>专注并提前布局企业级AI</w:t>
      </w:r>
      <w:r>
        <w:rPr>
          <w:rFonts w:hint="eastAsia"/>
        </w:rPr>
        <w:t>。IBM认为，企业应用AI的核心痛点不在于模型大小，而在于如何将AI有效、经济、安全且可信地融入核心业务流程，并产生投资回报。为此，IBM构建了以watsonx平台为核心的企业级AI产品矩阵：</w:t>
      </w:r>
    </w:p>
    <w:p w14:paraId="3CE34D25">
      <w:pPr>
        <w:numPr>
          <w:ilvl w:val="0"/>
          <w:numId w:val="2"/>
        </w:numPr>
      </w:pPr>
      <w:r>
        <w:rPr>
          <w:rFonts w:hint="eastAsia"/>
          <w:b/>
          <w:bCs/>
        </w:rPr>
        <w:t>基于数据和分析领域的十多年深耕，推出数据+AI平台Watsonx</w:t>
      </w:r>
      <w:r>
        <w:rPr>
          <w:rFonts w:hint="eastAsia"/>
        </w:rPr>
        <w:t>：贯穿企业的价值链，用于数据集成、AI应用程序开发、数据管理以及A</w:t>
      </w:r>
      <w:r>
        <w:t>I</w:t>
      </w:r>
      <w:r>
        <w:rPr>
          <w:rFonts w:hint="eastAsia"/>
        </w:rPr>
        <w:t>模型全生命周期的治理和监控；这解决了企业对AI“黑盒子”的担忧。</w:t>
      </w:r>
    </w:p>
    <w:p w14:paraId="77134B3F">
      <w:pPr>
        <w:numPr>
          <w:ilvl w:val="0"/>
          <w:numId w:val="2"/>
        </w:numPr>
      </w:pPr>
      <w:r>
        <w:rPr>
          <w:rFonts w:hint="eastAsia"/>
          <w:b/>
          <w:bCs/>
        </w:rPr>
        <w:t>押注自动化筹码，提供AI助手与智能体系列产品：</w:t>
      </w:r>
      <w:r>
        <w:rPr>
          <w:rFonts w:hint="eastAsia"/>
        </w:rPr>
        <w:t>产品聚焦客户服务、代码编写等关键任务，并开发能处理特定业务领域多任务推理的预构建AI智能体。据I</w:t>
      </w:r>
      <w:r>
        <w:t>DC</w:t>
      </w:r>
      <w:r>
        <w:rPr>
          <w:rFonts w:hint="eastAsia"/>
        </w:rPr>
        <w:t>测算，I</w:t>
      </w:r>
      <w:r>
        <w:t>BM</w:t>
      </w:r>
      <w:r>
        <w:rPr>
          <w:rFonts w:hint="eastAsia"/>
        </w:rPr>
        <w:t>目前在全球商业自动化的市场份额已排第一。</w:t>
      </w:r>
    </w:p>
    <w:p w14:paraId="3A3AA2AD">
      <w:pPr>
        <w:numPr>
          <w:ilvl w:val="0"/>
          <w:numId w:val="2"/>
        </w:numPr>
      </w:pPr>
      <w:r>
        <w:rPr>
          <w:rFonts w:hint="eastAsia"/>
          <w:b/>
          <w:bCs/>
        </w:rPr>
        <w:t>基于对小模型的深刻认知，提供Granite系列专用模型：</w:t>
      </w:r>
      <w:r>
        <w:rPr>
          <w:rFonts w:hint="eastAsia"/>
        </w:rPr>
        <w:t>允许客户引入自己的数据进行快速、高效的训练和微调，能够在保证企业级性能的同时，将成本效率提高多达90%。</w:t>
      </w:r>
    </w:p>
    <w:p w14:paraId="767FAB2C">
      <w:pPr>
        <w:pStyle w:val="27"/>
      </w:pPr>
      <w:r>
        <w:rPr>
          <w:rFonts w:hint="eastAsia"/>
        </w:rPr>
        <w:t>基于对企业级客户需求的深刻理解和产品体系提前两年布局，</w:t>
      </w:r>
      <w:commentRangeStart w:id="1"/>
      <w:r>
        <w:rPr>
          <w:rFonts w:hint="eastAsia"/>
        </w:rPr>
        <w:t>IBM目前在企业AI市场已实现收入，</w:t>
      </w:r>
      <w:commentRangeEnd w:id="1"/>
      <w:r>
        <w:commentReference w:id="1"/>
      </w:r>
      <w:r>
        <w:rPr>
          <w:rFonts w:hint="eastAsia"/>
        </w:rPr>
        <w:t>确立其早期的领导地位。</w:t>
      </w:r>
    </w:p>
    <w:p w14:paraId="1AD6BF82">
      <w:pPr>
        <w:pStyle w:val="3"/>
      </w:pPr>
      <w:r>
        <w:rPr>
          <w:rFonts w:hint="eastAsia"/>
          <w:b/>
          <w:bCs/>
        </w:rPr>
        <w:t>（三）IBM咨询：驱动增长飞轮的关键力量</w:t>
      </w:r>
    </w:p>
    <w:p w14:paraId="1A5DC2E5">
      <w:pPr>
        <w:pStyle w:val="3"/>
      </w:pPr>
      <w:r>
        <w:rPr>
          <w:rFonts w:hint="eastAsia"/>
        </w:rPr>
        <w:t>IBM是</w:t>
      </w:r>
      <w:r>
        <w:rPr>
          <w:rFonts w:hint="eastAsia"/>
          <w:b/>
          <w:bCs/>
        </w:rPr>
        <w:t>唯一一家拥有大规模咨询业务的科技巨头</w:t>
      </w:r>
      <w:r>
        <w:rPr>
          <w:rFonts w:hint="eastAsia"/>
        </w:rPr>
        <w:t>，这是其区别于其他云厂商的独特优势。全球企业高管普遍认同AI对生产力的巨大推动作用，但普遍在如何理解和应用AI技术以实现数字化转型方面存在困难。IBM的16万名顾问，凭借其在数据、AI和混合云方面的深厚专业知识，成为了连接技术、业务与市场的桥梁。他们不仅帮助客户理解AI的机遇，更能指导客户完成业务转型。IBM咨询采用“混合设计”方法，将其AI技术栈与客户的人力资源、采购、供应链等核心业务流程深度融合，极大地推动了产品预订和技术落地。数据显示，这种“咨询+技术堆栈+产品”的协同模式，共同创造了强大的A</w:t>
      </w:r>
      <w:r>
        <w:t>I</w:t>
      </w:r>
      <w:r>
        <w:rPr>
          <w:rFonts w:hint="eastAsia"/>
        </w:rPr>
        <w:t>增长飞轮效应，如今IBM约80%的收入来自于同时购买其软件、咨询和基础设施三大业务产品的客户。</w:t>
      </w:r>
      <w:bookmarkEnd w:id="2"/>
      <w:bookmarkStart w:id="3" w:name="三-前瞻布局量子计算奠定未来领导者地位"/>
    </w:p>
    <w:bookmarkEnd w:id="3"/>
    <w:p w14:paraId="1A0A7F1F">
      <w:pPr>
        <w:pStyle w:val="6"/>
        <w:rPr>
          <w:b/>
          <w:bCs/>
          <w:i w:val="0"/>
          <w:color w:val="000000" w:themeColor="text1"/>
          <w14:textFill>
            <w14:solidFill>
              <w14:schemeClr w14:val="tx1"/>
            </w14:solidFill>
          </w14:textFill>
        </w:rPr>
      </w:pPr>
      <w:bookmarkStart w:id="4" w:name="四-对中国电信的启示"/>
      <w:r>
        <w:rPr>
          <w:rFonts w:hint="eastAsia"/>
          <w:b/>
          <w:bCs/>
          <w:i w:val="0"/>
          <w:color w:val="000000" w:themeColor="text1"/>
          <w14:textFill>
            <w14:solidFill>
              <w14:schemeClr w14:val="tx1"/>
            </w14:solidFill>
          </w14:textFill>
        </w:rPr>
        <w:t>三、</w:t>
      </w:r>
      <w:r>
        <w:rPr>
          <w:b/>
          <w:bCs/>
          <w:i w:val="0"/>
          <w:color w:val="000000" w:themeColor="text1"/>
          <w14:textFill>
            <w14:solidFill>
              <w14:schemeClr w14:val="tx1"/>
            </w14:solidFill>
          </w14:textFill>
        </w:rPr>
        <w:t xml:space="preserve"> </w:t>
      </w:r>
      <w:r>
        <w:rPr>
          <w:rFonts w:hint="eastAsia"/>
          <w:b/>
          <w:bCs/>
          <w:i w:val="0"/>
          <w:color w:val="000000" w:themeColor="text1"/>
          <w14:textFill>
            <w14:solidFill>
              <w14:schemeClr w14:val="tx1"/>
            </w14:solidFill>
          </w14:textFill>
        </w:rPr>
        <w:t>对于中国电信的启示：以客户为中心，构建中国电信AI战新业务体系</w:t>
      </w:r>
    </w:p>
    <w:p w14:paraId="49D4AA5A">
      <w:pPr>
        <w:pStyle w:val="27"/>
        <w:rPr>
          <w:b/>
        </w:rPr>
      </w:pPr>
      <w:r>
        <w:rPr>
          <w:rFonts w:hint="eastAsia"/>
          <w:b/>
        </w:rPr>
        <w:t>（一）直面客户数智化转型难题，布局全栈式</w:t>
      </w:r>
      <w:r>
        <w:rPr>
          <w:b/>
        </w:rPr>
        <w:t>AI战新体系</w:t>
      </w:r>
    </w:p>
    <w:p w14:paraId="7E98196E">
      <w:pPr>
        <w:pStyle w:val="27"/>
      </w:pPr>
      <w:r>
        <w:t>IBM深刻理解企业客户在面对AI应用时，需要解决现有包括云上、云下、私有云和公有云的遗留IT基础设施的复杂性以及技术债务问题。IBM发挥Red Hat在开放混合云领域能够帮助企业实现对日益复杂化IT基础设施全局化和自动化管理的核心技术优势，以混合云作为AI基础设施，构建全栈式开放的企业AI战略。中国电信也应聚焦现有战略性行业的存量客户，深入理解其数智化转型和AI应用价值化实现的难题，立足自身云网融合、安全可信等资源禀赋，以应用和问题为导向，引导AI技术创新和产品研发，构建中国电信的全栈式AI战新业务体系。</w:t>
      </w:r>
    </w:p>
    <w:p w14:paraId="2C148FE4">
      <w:pPr>
        <w:pStyle w:val="27"/>
        <w:rPr>
          <w:b/>
        </w:rPr>
      </w:pPr>
      <w:r>
        <w:rPr>
          <w:rFonts w:hint="eastAsia"/>
          <w:b/>
        </w:rPr>
        <w:t>（二）扎根客户需求，架构研发企业</w:t>
      </w:r>
      <w:r>
        <w:rPr>
          <w:b/>
        </w:rPr>
        <w:t>AI产品体系</w:t>
      </w:r>
    </w:p>
    <w:p w14:paraId="2BE0EC48">
      <w:pPr>
        <w:pStyle w:val="27"/>
      </w:pPr>
      <w:r>
        <w:t>AI技术并非即插即用，单一技术和产品已无法满足企业客户的AI需求。据IDC调研，越来越多的公司希望建立直接针对行业需求和业务流程的端到端定制AI解决方案。IBM的企业AI产品体系以Watsonx作为数据 + AI平台，辅以智能体产品和专用AI模型等产品组合，在市场大获成功。中国电信应深入调研和研判现有政企客户对于AI产品的需求，以及其对数据安全、合规可控的核心关切，围绕客户需求架构设计和研发包含数据管理、模型建立和应用、自动化运营和治理、安全可信等能力组合的AI产品体系，帮助企业客户建立业务转型并创造价值的AI能力，探索兑现中国电信通过战新业务实现第二增长曲线的承诺。</w:t>
      </w:r>
    </w:p>
    <w:p w14:paraId="6ED54073">
      <w:pPr>
        <w:pStyle w:val="27"/>
        <w:rPr>
          <w:b/>
        </w:rPr>
      </w:pPr>
      <w:r>
        <w:rPr>
          <w:rFonts w:hint="eastAsia"/>
          <w:b/>
        </w:rPr>
        <w:t>（三）统筹协同集团能力，创新</w:t>
      </w:r>
      <w:r>
        <w:rPr>
          <w:b/>
        </w:rPr>
        <w:t>AI技术 + 产品 + 服务的</w:t>
      </w:r>
      <w:r>
        <w:rPr>
          <w:rFonts w:hint="eastAsia"/>
          <w:b/>
        </w:rPr>
        <w:t>价值</w:t>
      </w:r>
      <w:r>
        <w:rPr>
          <w:b/>
        </w:rPr>
        <w:t>运营模式</w:t>
      </w:r>
    </w:p>
    <w:p w14:paraId="375DFEA1">
      <w:pPr>
        <w:pStyle w:val="27"/>
      </w:pPr>
      <w:r>
        <w:rPr>
          <w:rFonts w:hint="eastAsia"/>
        </w:rPr>
        <w:t>企业要通过</w:t>
      </w:r>
      <w:r>
        <w:t>AI技术贯穿业务运营流程建立数智化能力，并形成可创造价值的应用，不仅需要懂AI技术，还要懂AI业务和运营管理。特别是生成式AI，其建模和应用都对算力提出了巨大且严苛的要求。因此，IBM构建混合云和AI产品的价值飞轮，并通过提供咨询服务，帮助企业理解、应对复杂AI技术，快速建立AI能力并从AI中创造价值。中国电信可以参考IBM，统筹全集团的研发、推广和运营能力，构建AI技术 + 产品 + 服务的价值飞轮，建立企业AI能力建设和数智化转型的咨询服务能力，助推价值飞轮的快速、有效、高效转动</w:t>
      </w:r>
      <w:r>
        <w:rPr>
          <w:rFonts w:hint="eastAsia"/>
        </w:rPr>
        <w:t>，同时探索企业</w:t>
      </w:r>
      <w:r>
        <w:t>AI</w:t>
      </w:r>
      <w:r>
        <w:rPr>
          <w:rFonts w:hint="eastAsia"/>
        </w:rPr>
        <w:t>业务</w:t>
      </w:r>
      <w:r>
        <w:t>从当前的草本式产品销售模式向木本式</w:t>
      </w:r>
      <w:r>
        <w:rPr>
          <w:rFonts w:hint="eastAsia"/>
        </w:rPr>
        <w:t>的端到端</w:t>
      </w:r>
      <w:r>
        <w:t>价值</w:t>
      </w:r>
      <w:r>
        <w:rPr>
          <w:rFonts w:hint="eastAsia"/>
        </w:rPr>
        <w:t>交付</w:t>
      </w:r>
      <w:r>
        <w:t>运营模式</w:t>
      </w:r>
      <w:r>
        <w:rPr>
          <w:rFonts w:hint="eastAsia"/>
        </w:rPr>
        <w:t>的</w:t>
      </w:r>
      <w:r>
        <w:t>创新。</w:t>
      </w:r>
      <w:bookmarkEnd w:id="0"/>
      <w:bookmarkEnd w:id="4"/>
    </w:p>
    <w:sectPr>
      <w:footnotePr>
        <w:numRestart w:val="eachSect"/>
      </w:footnote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羽" w:date="2025-06-28T22:54:00Z" w:initials="">
    <w:p w14:paraId="4B26A1EA">
      <w:pPr>
        <w:pStyle w:val="13"/>
      </w:pPr>
      <w:r>
        <w:rPr>
          <w:rFonts w:hint="eastAsia"/>
        </w:rPr>
        <w:t>虽然混合云渗透IBM比较高，但是总体市场份额还是很低，可能体现不出来收益。建议要不删除这句话，要不表明这部分是的实际收入以及利润，如果利润够大，也能体现</w:t>
      </w:r>
    </w:p>
  </w:comment>
  <w:comment w:id="1" w:author="白羽" w:date="2025-06-28T22:57:00Z" w:initials="">
    <w:p w14:paraId="7F704CBC">
      <w:pPr>
        <w:pStyle w:val="13"/>
      </w:pPr>
      <w:r>
        <w:rPr>
          <w:rFonts w:hint="eastAsia"/>
        </w:rPr>
        <w:t>这句话您想说什么？IBM在2BAI市场收益为正？可能要补充其他企业收益亏损作为对比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26A1EA" w15:done="0"/>
  <w15:commentEx w15:paraId="7F704CB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Aptos Display">
    <w:altName w:val="Arial"/>
    <w:panose1 w:val="00000000000000000000"/>
    <w:charset w:val="00"/>
    <w:family w:val="swiss"/>
    <w:pitch w:val="default"/>
    <w:sig w:usb0="00000000" w:usb1="00000000" w:usb2="00000000" w:usb3="00000000" w:csb0="0000019F" w:csb1="00000000"/>
  </w:font>
  <w:font w:name="Malgun Gothic">
    <w:panose1 w:val="020B0503020000020004"/>
    <w:charset w:val="81"/>
    <w:family w:val="swiss"/>
    <w:pitch w:val="default"/>
    <w:sig w:usb0="9000002F" w:usb1="29D77CFB" w:usb2="00000012" w:usb3="00000000" w:csb0="00080001"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790466EB"/>
    <w:multiLevelType w:val="multilevel"/>
    <w:tmpl w:val="790466EB"/>
    <w:lvl w:ilvl="0" w:tentative="0">
      <w:start w:val="1"/>
      <w:numFmt w:val="decimal"/>
      <w:pStyle w:val="93"/>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羽">
    <w15:presenceInfo w15:providerId="None" w15:userId="白羽"/>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F78"/>
    <w:rsid w:val="00003387"/>
    <w:rsid w:val="000262AC"/>
    <w:rsid w:val="00027694"/>
    <w:rsid w:val="000813AB"/>
    <w:rsid w:val="000A743A"/>
    <w:rsid w:val="000C27F9"/>
    <w:rsid w:val="000F2C3F"/>
    <w:rsid w:val="00136634"/>
    <w:rsid w:val="00156833"/>
    <w:rsid w:val="00157F06"/>
    <w:rsid w:val="001616A5"/>
    <w:rsid w:val="00182EDA"/>
    <w:rsid w:val="001A7774"/>
    <w:rsid w:val="001B318E"/>
    <w:rsid w:val="001B66C0"/>
    <w:rsid w:val="00206405"/>
    <w:rsid w:val="00231864"/>
    <w:rsid w:val="00232908"/>
    <w:rsid w:val="00250766"/>
    <w:rsid w:val="002626E9"/>
    <w:rsid w:val="0029278F"/>
    <w:rsid w:val="002944BE"/>
    <w:rsid w:val="00294589"/>
    <w:rsid w:val="002A420E"/>
    <w:rsid w:val="002B2E55"/>
    <w:rsid w:val="002E76AE"/>
    <w:rsid w:val="002F3D30"/>
    <w:rsid w:val="002F755E"/>
    <w:rsid w:val="003146E5"/>
    <w:rsid w:val="00327677"/>
    <w:rsid w:val="00347ED7"/>
    <w:rsid w:val="003769E0"/>
    <w:rsid w:val="00386DF2"/>
    <w:rsid w:val="003A17AE"/>
    <w:rsid w:val="003A346B"/>
    <w:rsid w:val="003B1F38"/>
    <w:rsid w:val="003B3D37"/>
    <w:rsid w:val="003B47EA"/>
    <w:rsid w:val="003D651C"/>
    <w:rsid w:val="0040320A"/>
    <w:rsid w:val="00424B51"/>
    <w:rsid w:val="00427849"/>
    <w:rsid w:val="004526FB"/>
    <w:rsid w:val="004601ED"/>
    <w:rsid w:val="00466AF3"/>
    <w:rsid w:val="004879B8"/>
    <w:rsid w:val="00497F78"/>
    <w:rsid w:val="004E09C9"/>
    <w:rsid w:val="004E612E"/>
    <w:rsid w:val="004F018A"/>
    <w:rsid w:val="004F0239"/>
    <w:rsid w:val="004F6B7C"/>
    <w:rsid w:val="00505200"/>
    <w:rsid w:val="00521EE4"/>
    <w:rsid w:val="00544B24"/>
    <w:rsid w:val="005B3599"/>
    <w:rsid w:val="005E32F9"/>
    <w:rsid w:val="005F5298"/>
    <w:rsid w:val="005F774F"/>
    <w:rsid w:val="00602ACB"/>
    <w:rsid w:val="00605077"/>
    <w:rsid w:val="006255B4"/>
    <w:rsid w:val="00664B4B"/>
    <w:rsid w:val="006651B9"/>
    <w:rsid w:val="00682FF4"/>
    <w:rsid w:val="006A0344"/>
    <w:rsid w:val="006B4184"/>
    <w:rsid w:val="006E1716"/>
    <w:rsid w:val="00702621"/>
    <w:rsid w:val="00704CE4"/>
    <w:rsid w:val="007126A1"/>
    <w:rsid w:val="007369D3"/>
    <w:rsid w:val="00744433"/>
    <w:rsid w:val="00753392"/>
    <w:rsid w:val="00755548"/>
    <w:rsid w:val="00776CDA"/>
    <w:rsid w:val="0078471D"/>
    <w:rsid w:val="0079774F"/>
    <w:rsid w:val="007A1617"/>
    <w:rsid w:val="007B6486"/>
    <w:rsid w:val="007B7286"/>
    <w:rsid w:val="007C4437"/>
    <w:rsid w:val="007C525B"/>
    <w:rsid w:val="007D1E94"/>
    <w:rsid w:val="007F75DF"/>
    <w:rsid w:val="008268AB"/>
    <w:rsid w:val="00830747"/>
    <w:rsid w:val="00837331"/>
    <w:rsid w:val="00871AFB"/>
    <w:rsid w:val="00872F42"/>
    <w:rsid w:val="0089152C"/>
    <w:rsid w:val="008D721E"/>
    <w:rsid w:val="009007A9"/>
    <w:rsid w:val="00913E47"/>
    <w:rsid w:val="00930578"/>
    <w:rsid w:val="00931799"/>
    <w:rsid w:val="0093242A"/>
    <w:rsid w:val="00932B6B"/>
    <w:rsid w:val="0095386E"/>
    <w:rsid w:val="009631CC"/>
    <w:rsid w:val="00970FCD"/>
    <w:rsid w:val="009A6B1B"/>
    <w:rsid w:val="009B1D55"/>
    <w:rsid w:val="009B5849"/>
    <w:rsid w:val="009C4D5C"/>
    <w:rsid w:val="009F4C79"/>
    <w:rsid w:val="00A01E59"/>
    <w:rsid w:val="00A04758"/>
    <w:rsid w:val="00A62DD1"/>
    <w:rsid w:val="00A85541"/>
    <w:rsid w:val="00A913B8"/>
    <w:rsid w:val="00A94463"/>
    <w:rsid w:val="00A97FE0"/>
    <w:rsid w:val="00AB2F71"/>
    <w:rsid w:val="00AD316B"/>
    <w:rsid w:val="00AF6AD2"/>
    <w:rsid w:val="00B04BB6"/>
    <w:rsid w:val="00B121FB"/>
    <w:rsid w:val="00B21DAD"/>
    <w:rsid w:val="00B27595"/>
    <w:rsid w:val="00B32A5C"/>
    <w:rsid w:val="00B413D7"/>
    <w:rsid w:val="00B6785C"/>
    <w:rsid w:val="00B74FC9"/>
    <w:rsid w:val="00BA78DF"/>
    <w:rsid w:val="00BB6F72"/>
    <w:rsid w:val="00BD0A40"/>
    <w:rsid w:val="00BF2A36"/>
    <w:rsid w:val="00BF70CF"/>
    <w:rsid w:val="00C0542B"/>
    <w:rsid w:val="00C07A3C"/>
    <w:rsid w:val="00C146A5"/>
    <w:rsid w:val="00C2688A"/>
    <w:rsid w:val="00C3399D"/>
    <w:rsid w:val="00C35D37"/>
    <w:rsid w:val="00C40986"/>
    <w:rsid w:val="00C87313"/>
    <w:rsid w:val="00C92C5A"/>
    <w:rsid w:val="00CD0A37"/>
    <w:rsid w:val="00CF48C6"/>
    <w:rsid w:val="00CF5382"/>
    <w:rsid w:val="00D11F4D"/>
    <w:rsid w:val="00D3317D"/>
    <w:rsid w:val="00DA471D"/>
    <w:rsid w:val="00DB7890"/>
    <w:rsid w:val="00DF36B6"/>
    <w:rsid w:val="00E07383"/>
    <w:rsid w:val="00E115CF"/>
    <w:rsid w:val="00E15DF2"/>
    <w:rsid w:val="00E42C56"/>
    <w:rsid w:val="00E5200A"/>
    <w:rsid w:val="00E939BA"/>
    <w:rsid w:val="00E95BAA"/>
    <w:rsid w:val="00EE4BAF"/>
    <w:rsid w:val="00F04A7E"/>
    <w:rsid w:val="00F2230A"/>
    <w:rsid w:val="00F23510"/>
    <w:rsid w:val="00F6205A"/>
    <w:rsid w:val="00F82131"/>
    <w:rsid w:val="00FA2676"/>
    <w:rsid w:val="00FD5F94"/>
    <w:rsid w:val="00FE454F"/>
    <w:rsid w:val="00FF34CF"/>
    <w:rsid w:val="56BD1A6D"/>
    <w:rsid w:val="7249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ind w:firstLine="420"/>
    </w:pPr>
    <w:rPr>
      <w:rFonts w:ascii="宋体" w:hAnsi="宋体" w:eastAsia="宋体" w:cstheme="minorBidi"/>
      <w:kern w:val="2"/>
      <w:sz w:val="24"/>
      <w:szCs w:val="24"/>
      <w:lang w:val="en-US" w:eastAsia="zh-CN" w:bidi="ar-SA"/>
      <w14:ligatures w14:val="standardContextual"/>
    </w:rPr>
  </w:style>
  <w:style w:type="paragraph" w:styleId="2">
    <w:name w:val="heading 1"/>
    <w:basedOn w:val="1"/>
    <w:next w:val="3"/>
    <w:link w:val="35"/>
    <w:qFormat/>
    <w:uiPriority w:val="9"/>
    <w:pPr>
      <w:keepNext/>
      <w:keepLines/>
      <w:spacing w:before="360" w:after="80"/>
      <w:ind w:firstLine="0"/>
      <w:outlineLvl w:val="0"/>
    </w:pPr>
    <w:rPr>
      <w:rFonts w:cstheme="majorBidi"/>
      <w:b/>
      <w:bCs/>
      <w:sz w:val="28"/>
      <w:szCs w:val="28"/>
    </w:rPr>
  </w:style>
  <w:style w:type="paragraph" w:styleId="4">
    <w:name w:val="heading 2"/>
    <w:basedOn w:val="1"/>
    <w:next w:val="3"/>
    <w:link w:val="36"/>
    <w:unhideWhenUsed/>
    <w:qFormat/>
    <w:uiPriority w:val="9"/>
    <w:pPr>
      <w:keepNext/>
      <w:keepLines/>
      <w:spacing w:before="160" w:after="80"/>
      <w:ind w:firstLine="0"/>
      <w:outlineLvl w:val="1"/>
    </w:pPr>
    <w:rPr>
      <w:rFonts w:asciiTheme="majorHAnsi" w:hAnsiTheme="majorHAnsi" w:cstheme="majorBidi"/>
      <w:b/>
      <w:szCs w:val="32"/>
    </w:rPr>
  </w:style>
  <w:style w:type="paragraph" w:styleId="5">
    <w:name w:val="heading 3"/>
    <w:basedOn w:val="1"/>
    <w:next w:val="3"/>
    <w:link w:val="37"/>
    <w:unhideWhenUsed/>
    <w:qFormat/>
    <w:uiPriority w:val="9"/>
    <w:pPr>
      <w:keepNext/>
      <w:keepLines/>
      <w:spacing w:before="160" w:after="80"/>
      <w:ind w:firstLine="0"/>
      <w:outlineLvl w:val="2"/>
    </w:pPr>
    <w:rPr>
      <w:rFonts w:ascii="Malgun Gothic" w:hAnsi="Malgun Gothic" w:cstheme="majorBidi"/>
      <w:b/>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91"/>
    <w:qFormat/>
    <w:uiPriority w:val="0"/>
    <w:pPr>
      <w:spacing w:before="180" w:after="180"/>
    </w:pPr>
  </w:style>
  <w:style w:type="paragraph" w:styleId="12">
    <w:name w:val="caption"/>
    <w:basedOn w:val="1"/>
    <w:link w:val="24"/>
    <w:qFormat/>
    <w:uiPriority w:val="0"/>
    <w:pPr>
      <w:spacing w:after="120"/>
    </w:pPr>
    <w:rPr>
      <w:i/>
    </w:rPr>
  </w:style>
  <w:style w:type="paragraph" w:styleId="13">
    <w:name w:val="annotation text"/>
    <w:basedOn w:val="1"/>
    <w:qFormat/>
    <w:uiPriority w:val="0"/>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89"/>
    <w:uiPriority w:val="0"/>
    <w:pPr>
      <w:tabs>
        <w:tab w:val="center" w:pos="4153"/>
        <w:tab w:val="right" w:pos="8306"/>
      </w:tabs>
      <w:snapToGrid w:val="0"/>
      <w:spacing w:line="240" w:lineRule="auto"/>
    </w:pPr>
    <w:rPr>
      <w:sz w:val="18"/>
      <w:szCs w:val="18"/>
    </w:rPr>
  </w:style>
  <w:style w:type="paragraph" w:styleId="18">
    <w:name w:val="header"/>
    <w:basedOn w:val="1"/>
    <w:link w:val="88"/>
    <w:uiPriority w:val="0"/>
    <w:pPr>
      <w:tabs>
        <w:tab w:val="center" w:pos="4153"/>
        <w:tab w:val="right" w:pos="8306"/>
      </w:tabs>
      <w:snapToGrid w:val="0"/>
      <w:spacing w:line="240" w:lineRule="auto"/>
      <w:jc w:val="center"/>
    </w:pPr>
    <w:rPr>
      <w:sz w:val="18"/>
      <w:szCs w:val="18"/>
    </w:rPr>
  </w:style>
  <w:style w:type="paragraph" w:styleId="19">
    <w:name w:val="Subtitle"/>
    <w:basedOn w:val="16"/>
    <w:next w:val="3"/>
    <w:link w:val="30"/>
    <w:qFormat/>
    <w:uiPriority w:val="11"/>
    <w:rPr>
      <w:spacing w:val="15"/>
      <w:sz w:val="28"/>
      <w:szCs w:val="28"/>
    </w:rPr>
  </w:style>
  <w:style w:type="paragraph" w:styleId="20">
    <w:name w:val="footnote text"/>
    <w:basedOn w:val="1"/>
    <w:unhideWhenUsed/>
    <w:qFormat/>
    <w:uiPriority w:val="9"/>
  </w:style>
  <w:style w:type="character" w:styleId="23">
    <w:name w:val="Hyperlink"/>
    <w:basedOn w:val="24"/>
    <w:uiPriority w:val="0"/>
    <w:rPr>
      <w:color w:val="156082" w:themeColor="accent1"/>
      <w14:textFill>
        <w14:solidFill>
          <w14:schemeClr w14:val="accent1"/>
        </w14:solidFill>
      </w14:textFill>
    </w:rPr>
  </w:style>
  <w:style w:type="character" w:customStyle="1" w:styleId="24">
    <w:name w:val="题注 字符"/>
    <w:basedOn w:val="22"/>
    <w:link w:val="12"/>
    <w:uiPriority w:val="0"/>
  </w:style>
  <w:style w:type="character" w:styleId="25">
    <w:name w:val="annotation reference"/>
    <w:basedOn w:val="22"/>
    <w:uiPriority w:val="0"/>
    <w:rPr>
      <w:sz w:val="21"/>
      <w:szCs w:val="21"/>
    </w:rPr>
  </w:style>
  <w:style w:type="character" w:styleId="26">
    <w:name w:val="footnote reference"/>
    <w:basedOn w:val="24"/>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标题 字符"/>
    <w:basedOn w:val="22"/>
    <w:link w:val="16"/>
    <w:uiPriority w:val="10"/>
    <w:rPr>
      <w:rFonts w:asciiTheme="majorHAnsi" w:hAnsiTheme="majorHAnsi" w:eastAsiaTheme="majorEastAsia" w:cstheme="majorBidi"/>
      <w:sz w:val="56"/>
      <w:szCs w:val="56"/>
    </w:rPr>
  </w:style>
  <w:style w:type="character" w:customStyle="1" w:styleId="30">
    <w:name w:val="副标题 字符"/>
    <w:basedOn w:val="22"/>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character" w:customStyle="1" w:styleId="35">
    <w:name w:val="标题 1 字符"/>
    <w:basedOn w:val="22"/>
    <w:link w:val="2"/>
    <w:uiPriority w:val="9"/>
    <w:rPr>
      <w:rFonts w:ascii="宋体" w:hAnsi="宋体" w:eastAsia="宋体" w:cstheme="majorBidi"/>
      <w:b/>
      <w:bCs/>
      <w:kern w:val="2"/>
      <w:sz w:val="28"/>
      <w:szCs w:val="28"/>
      <w:lang w:eastAsia="zh-CN"/>
      <w14:ligatures w14:val="standardContextual"/>
    </w:rPr>
  </w:style>
  <w:style w:type="character" w:customStyle="1" w:styleId="36">
    <w:name w:val="标题 2 字符"/>
    <w:basedOn w:val="22"/>
    <w:link w:val="4"/>
    <w:uiPriority w:val="9"/>
    <w:rPr>
      <w:rFonts w:eastAsia="宋体" w:asciiTheme="majorHAnsi" w:hAnsiTheme="majorHAnsi" w:cstheme="majorBidi"/>
      <w:b/>
      <w:kern w:val="2"/>
      <w:szCs w:val="32"/>
      <w:lang w:eastAsia="zh-CN"/>
      <w14:ligatures w14:val="standardContextual"/>
    </w:rPr>
  </w:style>
  <w:style w:type="character" w:customStyle="1" w:styleId="37">
    <w:name w:val="标题 3 字符"/>
    <w:basedOn w:val="22"/>
    <w:link w:val="5"/>
    <w:uiPriority w:val="9"/>
    <w:rPr>
      <w:rFonts w:ascii="Malgun Gothic" w:hAnsi="Malgun Gothic" w:eastAsia="宋体" w:cstheme="majorBidi"/>
      <w:b/>
      <w:kern w:val="2"/>
      <w:szCs w:val="28"/>
      <w:lang w:eastAsia="zh-CN"/>
      <w14:ligatures w14:val="standardContextual"/>
    </w:rPr>
  </w:style>
  <w:style w:type="character" w:customStyle="1" w:styleId="38">
    <w:name w:val="标题 4 字符"/>
    <w:basedOn w:val="22"/>
    <w:link w:val="6"/>
    <w:semiHidden/>
    <w:qFormat/>
    <w:uiPriority w:val="9"/>
    <w:rPr>
      <w:rFonts w:eastAsiaTheme="majorEastAsia" w:cstheme="majorBidi"/>
      <w:i/>
      <w:iCs/>
      <w:color w:val="104862" w:themeColor="accent1" w:themeShade="BF"/>
    </w:rPr>
  </w:style>
  <w:style w:type="character" w:customStyle="1" w:styleId="39">
    <w:name w:val="标题 5 字符"/>
    <w:basedOn w:val="22"/>
    <w:link w:val="7"/>
    <w:semiHidden/>
    <w:uiPriority w:val="9"/>
    <w:rPr>
      <w:rFonts w:eastAsiaTheme="majorEastAsia" w:cstheme="majorBidi"/>
      <w:color w:val="104862" w:themeColor="accent1" w:themeShade="BF"/>
    </w:rPr>
  </w:style>
  <w:style w:type="character" w:customStyle="1" w:styleId="40">
    <w:name w:val="标题 6 字符"/>
    <w:basedOn w:val="2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标题 7 字符"/>
    <w:basedOn w:val="2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8 字符"/>
    <w:basedOn w:val="2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标题 9 字符"/>
    <w:basedOn w:val="2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20"/>
    <w:next w:val="20"/>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4"/>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4"/>
    <w:qFormat/>
    <w:uiPriority w:val="0"/>
  </w:style>
  <w:style w:type="paragraph" w:customStyle="1" w:styleId="55">
    <w:name w:val="TOC 标题1"/>
    <w:basedOn w:val="2"/>
    <w:next w:val="3"/>
    <w:unhideWhenUsed/>
    <w:qFormat/>
    <w:uiPriority w:val="39"/>
    <w:pPr>
      <w:spacing w:before="240" w:line="259" w:lineRule="auto"/>
      <w:outlineLvl w:val="9"/>
    </w:pPr>
    <w:rPr>
      <w:rFonts w:asciiTheme="majorHAnsi" w:hAnsiTheme="majorHAnsi" w:eastAsiaTheme="majorEastAsia"/>
      <w:color w:val="104862" w:themeColor="accent1" w:themeShade="BF"/>
    </w:rPr>
  </w:style>
  <w:style w:type="character" w:customStyle="1" w:styleId="56">
    <w:name w:val="KeywordTok"/>
    <w:basedOn w:val="52"/>
    <w:qFormat/>
    <w:uiPriority w:val="0"/>
    <w:rPr>
      <w:rFonts w:ascii="Consolas" w:hAnsi="Consolas"/>
      <w:b/>
      <w:color w:val="007020"/>
      <w:sz w:val="22"/>
    </w:rPr>
  </w:style>
  <w:style w:type="character" w:customStyle="1" w:styleId="57">
    <w:name w:val="DataTypeTok"/>
    <w:basedOn w:val="52"/>
    <w:qFormat/>
    <w:uiPriority w:val="0"/>
    <w:rPr>
      <w:rFonts w:ascii="Consolas" w:hAnsi="Consolas"/>
      <w:color w:val="902000"/>
      <w:sz w:val="22"/>
    </w:rPr>
  </w:style>
  <w:style w:type="character" w:customStyle="1" w:styleId="58">
    <w:name w:val="DecValTok"/>
    <w:basedOn w:val="52"/>
    <w:qFormat/>
    <w:uiPriority w:val="0"/>
    <w:rPr>
      <w:rFonts w:ascii="Consolas" w:hAnsi="Consolas"/>
      <w:color w:val="40A070"/>
      <w:sz w:val="22"/>
    </w:rPr>
  </w:style>
  <w:style w:type="character" w:customStyle="1" w:styleId="59">
    <w:name w:val="BaseNTok"/>
    <w:basedOn w:val="52"/>
    <w:qFormat/>
    <w:uiPriority w:val="0"/>
    <w:rPr>
      <w:rFonts w:ascii="Consolas" w:hAnsi="Consolas"/>
      <w:color w:val="40A070"/>
      <w:sz w:val="22"/>
    </w:rPr>
  </w:style>
  <w:style w:type="character" w:customStyle="1" w:styleId="60">
    <w:name w:val="FloatTok"/>
    <w:basedOn w:val="52"/>
    <w:qFormat/>
    <w:uiPriority w:val="0"/>
    <w:rPr>
      <w:rFonts w:ascii="Consolas" w:hAnsi="Consolas"/>
      <w:color w:val="40A070"/>
      <w:sz w:val="22"/>
    </w:rPr>
  </w:style>
  <w:style w:type="character" w:customStyle="1" w:styleId="61">
    <w:name w:val="ConstantTok"/>
    <w:basedOn w:val="52"/>
    <w:qFormat/>
    <w:uiPriority w:val="0"/>
    <w:rPr>
      <w:rFonts w:ascii="Consolas" w:hAnsi="Consolas"/>
      <w:color w:val="880000"/>
      <w:sz w:val="22"/>
    </w:rPr>
  </w:style>
  <w:style w:type="character" w:customStyle="1" w:styleId="62">
    <w:name w:val="CharTok"/>
    <w:basedOn w:val="52"/>
    <w:qFormat/>
    <w:uiPriority w:val="0"/>
    <w:rPr>
      <w:rFonts w:ascii="Consolas" w:hAnsi="Consolas"/>
      <w:color w:val="4070A0"/>
      <w:sz w:val="22"/>
    </w:rPr>
  </w:style>
  <w:style w:type="character" w:customStyle="1" w:styleId="63">
    <w:name w:val="SpecialCharTok"/>
    <w:basedOn w:val="52"/>
    <w:qFormat/>
    <w:uiPriority w:val="0"/>
    <w:rPr>
      <w:rFonts w:ascii="Consolas" w:hAnsi="Consolas"/>
      <w:color w:val="4070A0"/>
      <w:sz w:val="22"/>
    </w:rPr>
  </w:style>
  <w:style w:type="character" w:customStyle="1" w:styleId="64">
    <w:name w:val="StringTok"/>
    <w:basedOn w:val="52"/>
    <w:qFormat/>
    <w:uiPriority w:val="0"/>
    <w:rPr>
      <w:rFonts w:ascii="Consolas" w:hAnsi="Consolas"/>
      <w:color w:val="4070A0"/>
      <w:sz w:val="22"/>
    </w:rPr>
  </w:style>
  <w:style w:type="character" w:customStyle="1" w:styleId="65">
    <w:name w:val="VerbatimStringTok"/>
    <w:basedOn w:val="52"/>
    <w:qFormat/>
    <w:uiPriority w:val="0"/>
    <w:rPr>
      <w:rFonts w:ascii="Consolas" w:hAnsi="Consolas"/>
      <w:color w:val="4070A0"/>
      <w:sz w:val="22"/>
    </w:rPr>
  </w:style>
  <w:style w:type="character" w:customStyle="1" w:styleId="66">
    <w:name w:val="SpecialStringTok"/>
    <w:basedOn w:val="52"/>
    <w:qFormat/>
    <w:uiPriority w:val="0"/>
    <w:rPr>
      <w:rFonts w:ascii="Consolas" w:hAnsi="Consolas"/>
      <w:color w:val="BB6688"/>
      <w:sz w:val="22"/>
    </w:rPr>
  </w:style>
  <w:style w:type="character" w:customStyle="1" w:styleId="67">
    <w:name w:val="ImportTok"/>
    <w:basedOn w:val="52"/>
    <w:qFormat/>
    <w:uiPriority w:val="0"/>
    <w:rPr>
      <w:rFonts w:ascii="Consolas" w:hAnsi="Consolas"/>
      <w:b/>
      <w:color w:val="008000"/>
      <w:sz w:val="22"/>
    </w:rPr>
  </w:style>
  <w:style w:type="character" w:customStyle="1" w:styleId="68">
    <w:name w:val="CommentTok"/>
    <w:basedOn w:val="52"/>
    <w:qFormat/>
    <w:uiPriority w:val="0"/>
    <w:rPr>
      <w:rFonts w:ascii="Consolas" w:hAnsi="Consolas"/>
      <w:i/>
      <w:color w:val="60A0B0"/>
      <w:sz w:val="22"/>
    </w:rPr>
  </w:style>
  <w:style w:type="character" w:customStyle="1" w:styleId="69">
    <w:name w:val="DocumentationTok"/>
    <w:basedOn w:val="52"/>
    <w:qFormat/>
    <w:uiPriority w:val="0"/>
    <w:rPr>
      <w:rFonts w:ascii="Consolas" w:hAnsi="Consolas"/>
      <w:i/>
      <w:color w:val="BA2121"/>
      <w:sz w:val="22"/>
    </w:rPr>
  </w:style>
  <w:style w:type="character" w:customStyle="1" w:styleId="70">
    <w:name w:val="AnnotationTok"/>
    <w:basedOn w:val="52"/>
    <w:qFormat/>
    <w:uiPriority w:val="0"/>
    <w:rPr>
      <w:rFonts w:ascii="Consolas" w:hAnsi="Consolas"/>
      <w:b/>
      <w:i/>
      <w:color w:val="60A0B0"/>
      <w:sz w:val="22"/>
    </w:rPr>
  </w:style>
  <w:style w:type="character" w:customStyle="1" w:styleId="71">
    <w:name w:val="CommentVarTok"/>
    <w:basedOn w:val="52"/>
    <w:qFormat/>
    <w:uiPriority w:val="0"/>
    <w:rPr>
      <w:rFonts w:ascii="Consolas" w:hAnsi="Consolas"/>
      <w:b/>
      <w:i/>
      <w:color w:val="60A0B0"/>
      <w:sz w:val="22"/>
    </w:rPr>
  </w:style>
  <w:style w:type="character" w:customStyle="1" w:styleId="72">
    <w:name w:val="OtherTok"/>
    <w:basedOn w:val="52"/>
    <w:qFormat/>
    <w:uiPriority w:val="0"/>
    <w:rPr>
      <w:rFonts w:ascii="Consolas" w:hAnsi="Consolas"/>
      <w:color w:val="007020"/>
      <w:sz w:val="22"/>
    </w:rPr>
  </w:style>
  <w:style w:type="character" w:customStyle="1" w:styleId="73">
    <w:name w:val="FunctionTok"/>
    <w:basedOn w:val="52"/>
    <w:qFormat/>
    <w:uiPriority w:val="0"/>
    <w:rPr>
      <w:rFonts w:ascii="Consolas" w:hAnsi="Consolas"/>
      <w:color w:val="06287E"/>
      <w:sz w:val="22"/>
    </w:rPr>
  </w:style>
  <w:style w:type="character" w:customStyle="1" w:styleId="74">
    <w:name w:val="VariableTok"/>
    <w:basedOn w:val="52"/>
    <w:qFormat/>
    <w:uiPriority w:val="0"/>
    <w:rPr>
      <w:rFonts w:ascii="Consolas" w:hAnsi="Consolas"/>
      <w:color w:val="19177C"/>
      <w:sz w:val="22"/>
    </w:rPr>
  </w:style>
  <w:style w:type="character" w:customStyle="1" w:styleId="75">
    <w:name w:val="ControlFlowTok"/>
    <w:basedOn w:val="52"/>
    <w:uiPriority w:val="0"/>
    <w:rPr>
      <w:rFonts w:ascii="Consolas" w:hAnsi="Consolas"/>
      <w:b/>
      <w:color w:val="007020"/>
      <w:sz w:val="22"/>
    </w:rPr>
  </w:style>
  <w:style w:type="character" w:customStyle="1" w:styleId="76">
    <w:name w:val="OperatorTok"/>
    <w:basedOn w:val="52"/>
    <w:uiPriority w:val="0"/>
    <w:rPr>
      <w:rFonts w:ascii="Consolas" w:hAnsi="Consolas"/>
      <w:color w:val="666666"/>
      <w:sz w:val="22"/>
    </w:rPr>
  </w:style>
  <w:style w:type="character" w:customStyle="1" w:styleId="77">
    <w:name w:val="BuiltInTok"/>
    <w:basedOn w:val="52"/>
    <w:qFormat/>
    <w:uiPriority w:val="0"/>
    <w:rPr>
      <w:rFonts w:ascii="Consolas" w:hAnsi="Consolas"/>
      <w:color w:val="008000"/>
      <w:sz w:val="22"/>
    </w:rPr>
  </w:style>
  <w:style w:type="character" w:customStyle="1" w:styleId="78">
    <w:name w:val="ExtensionTok"/>
    <w:basedOn w:val="52"/>
    <w:qFormat/>
    <w:uiPriority w:val="0"/>
    <w:rPr>
      <w:rFonts w:ascii="Consolas" w:hAnsi="Consolas"/>
      <w:sz w:val="22"/>
    </w:rPr>
  </w:style>
  <w:style w:type="character" w:customStyle="1" w:styleId="79">
    <w:name w:val="PreprocessorTok"/>
    <w:basedOn w:val="52"/>
    <w:uiPriority w:val="0"/>
    <w:rPr>
      <w:rFonts w:ascii="Consolas" w:hAnsi="Consolas"/>
      <w:color w:val="BC7A00"/>
      <w:sz w:val="22"/>
    </w:rPr>
  </w:style>
  <w:style w:type="character" w:customStyle="1" w:styleId="80">
    <w:name w:val="AttributeTok"/>
    <w:basedOn w:val="52"/>
    <w:qFormat/>
    <w:uiPriority w:val="0"/>
    <w:rPr>
      <w:rFonts w:ascii="Consolas" w:hAnsi="Consolas"/>
      <w:color w:val="7D9029"/>
      <w:sz w:val="22"/>
    </w:rPr>
  </w:style>
  <w:style w:type="character" w:customStyle="1" w:styleId="81">
    <w:name w:val="RegionMarkerTok"/>
    <w:basedOn w:val="52"/>
    <w:qFormat/>
    <w:uiPriority w:val="0"/>
    <w:rPr>
      <w:rFonts w:ascii="Consolas" w:hAnsi="Consolas"/>
      <w:sz w:val="22"/>
    </w:rPr>
  </w:style>
  <w:style w:type="character" w:customStyle="1" w:styleId="82">
    <w:name w:val="InformationTok"/>
    <w:basedOn w:val="52"/>
    <w:uiPriority w:val="0"/>
    <w:rPr>
      <w:rFonts w:ascii="Consolas" w:hAnsi="Consolas"/>
      <w:b/>
      <w:i/>
      <w:color w:val="60A0B0"/>
      <w:sz w:val="22"/>
    </w:rPr>
  </w:style>
  <w:style w:type="character" w:customStyle="1" w:styleId="83">
    <w:name w:val="WarningTok"/>
    <w:basedOn w:val="52"/>
    <w:uiPriority w:val="0"/>
    <w:rPr>
      <w:rFonts w:ascii="Consolas" w:hAnsi="Consolas"/>
      <w:b/>
      <w:i/>
      <w:color w:val="60A0B0"/>
      <w:sz w:val="22"/>
    </w:rPr>
  </w:style>
  <w:style w:type="character" w:customStyle="1" w:styleId="84">
    <w:name w:val="AlertTok"/>
    <w:basedOn w:val="52"/>
    <w:uiPriority w:val="0"/>
    <w:rPr>
      <w:rFonts w:ascii="Consolas" w:hAnsi="Consolas"/>
      <w:b/>
      <w:color w:val="FF0000"/>
      <w:sz w:val="22"/>
    </w:rPr>
  </w:style>
  <w:style w:type="character" w:customStyle="1" w:styleId="85">
    <w:name w:val="ErrorTok"/>
    <w:basedOn w:val="52"/>
    <w:uiPriority w:val="0"/>
    <w:rPr>
      <w:rFonts w:ascii="Consolas" w:hAnsi="Consolas"/>
      <w:b/>
      <w:color w:val="FF0000"/>
      <w:sz w:val="22"/>
    </w:rPr>
  </w:style>
  <w:style w:type="character" w:customStyle="1" w:styleId="86">
    <w:name w:val="NormalTok"/>
    <w:basedOn w:val="52"/>
    <w:uiPriority w:val="0"/>
    <w:rPr>
      <w:rFonts w:ascii="Consolas" w:hAnsi="Consolas"/>
      <w:sz w:val="22"/>
    </w:rPr>
  </w:style>
  <w:style w:type="paragraph" w:styleId="87">
    <w:name w:val="List Paragraph"/>
    <w:basedOn w:val="1"/>
    <w:qFormat/>
    <w:uiPriority w:val="0"/>
    <w:pPr>
      <w:ind w:firstLine="200" w:firstLineChars="200"/>
    </w:pPr>
  </w:style>
  <w:style w:type="character" w:customStyle="1" w:styleId="88">
    <w:name w:val="页眉 字符"/>
    <w:basedOn w:val="22"/>
    <w:link w:val="18"/>
    <w:uiPriority w:val="0"/>
    <w:rPr>
      <w:rFonts w:ascii="宋体" w:hAnsi="宋体" w:eastAsia="宋体"/>
      <w:kern w:val="2"/>
      <w:sz w:val="18"/>
      <w:szCs w:val="18"/>
      <w:lang w:eastAsia="zh-CN"/>
      <w14:ligatures w14:val="standardContextual"/>
    </w:rPr>
  </w:style>
  <w:style w:type="character" w:customStyle="1" w:styleId="89">
    <w:name w:val="页脚 字符"/>
    <w:basedOn w:val="22"/>
    <w:link w:val="17"/>
    <w:uiPriority w:val="0"/>
    <w:rPr>
      <w:rFonts w:ascii="宋体" w:hAnsi="宋体" w:eastAsia="宋体"/>
      <w:kern w:val="2"/>
      <w:sz w:val="18"/>
      <w:szCs w:val="18"/>
      <w:lang w:eastAsia="zh-CN"/>
      <w14:ligatures w14:val="standardContextual"/>
    </w:rPr>
  </w:style>
  <w:style w:type="paragraph" w:customStyle="1" w:styleId="90">
    <w:name w:val="标题4"/>
    <w:basedOn w:val="1"/>
    <w:next w:val="3"/>
    <w:link w:val="92"/>
    <w:qFormat/>
    <w:uiPriority w:val="0"/>
    <w:pPr>
      <w:ind w:firstLine="0"/>
    </w:pPr>
    <w:rPr>
      <w:b/>
    </w:rPr>
  </w:style>
  <w:style w:type="character" w:customStyle="1" w:styleId="91">
    <w:name w:val="正文文本 字符"/>
    <w:basedOn w:val="22"/>
    <w:link w:val="3"/>
    <w:qFormat/>
    <w:uiPriority w:val="0"/>
    <w:rPr>
      <w:rFonts w:ascii="宋体" w:hAnsi="宋体" w:eastAsia="宋体"/>
      <w:kern w:val="2"/>
      <w:lang w:eastAsia="zh-CN"/>
      <w14:ligatures w14:val="standardContextual"/>
    </w:rPr>
  </w:style>
  <w:style w:type="character" w:customStyle="1" w:styleId="92">
    <w:name w:val="标题4 字符"/>
    <w:basedOn w:val="91"/>
    <w:link w:val="90"/>
    <w:qFormat/>
    <w:uiPriority w:val="0"/>
    <w:rPr>
      <w:rFonts w:ascii="宋体" w:hAnsi="宋体" w:eastAsia="宋体"/>
      <w:b/>
      <w:kern w:val="2"/>
      <w:lang w:eastAsia="zh-CN"/>
      <w14:ligatures w14:val="standardContextual"/>
    </w:rPr>
  </w:style>
  <w:style w:type="paragraph" w:customStyle="1" w:styleId="93">
    <w:name w:val="样式1"/>
    <w:basedOn w:val="90"/>
    <w:link w:val="94"/>
    <w:uiPriority w:val="0"/>
    <w:pPr>
      <w:numPr>
        <w:ilvl w:val="0"/>
        <w:numId w:val="1"/>
      </w:numPr>
    </w:pPr>
  </w:style>
  <w:style w:type="character" w:customStyle="1" w:styleId="94">
    <w:name w:val="样式1 字符"/>
    <w:basedOn w:val="92"/>
    <w:link w:val="93"/>
    <w:uiPriority w:val="0"/>
    <w:rPr>
      <w:rFonts w:ascii="宋体" w:hAnsi="宋体" w:eastAsia="宋体"/>
      <w:kern w:val="2"/>
      <w:lang w:eastAsia="zh-CN"/>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2953</Words>
  <Characters>3251</Characters>
  <Lines>23</Lines>
  <Paragraphs>6</Paragraphs>
  <TotalTime>2</TotalTime>
  <ScaleCrop>false</ScaleCrop>
  <LinksUpToDate>false</LinksUpToDate>
  <CharactersWithSpaces>3269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2025-06-30T02:35:00Z</dcterms:created>
  <dc:creator>qicx</dc:creator>
  <cp:lastModifiedBy>Zhe Wei</cp:lastModifiedBy>
  <cp:lastPrinted>2025-06-30T01:28:00Z</cp:lastPrinted>
  <dcterms:modified xsi:type="dcterms:W3CDTF">2025-11-04T02:17:39Z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eyJoZGlkIjoiYzlmNjhmYWJmODkzNDAwM2U2MDUwY2NkN2U2MWQzZmIiLCJ1c2VySWQiOiI0MzI3NTMyMDMifQ==</vt:lpwstr>
  </property>
  <property fmtid="{D5CDD505-2E9C-101B-9397-08002B2CF9AE}" pid="3" name="KSOProductBuildVer">
    <vt:lpwstr>2052-12.1.0.23542</vt:lpwstr>
  </property>
  <property fmtid="{D5CDD505-2E9C-101B-9397-08002B2CF9AE}" pid="4" name="ICV">
    <vt:lpwstr>B0DC8F449FD34ECFB1B34401054A2BEE_13</vt:lpwstr>
  </property>
</Properties>
</file>