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940"/>
        </w:tabs>
        <w:jc w:val="center"/>
        <w:outlineLvl w:val="0"/>
        <w:rPr>
          <w:rFonts w:hint="default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</w:pPr>
      <w:bookmarkStart w:id="0" w:name="OLE_LINK1"/>
      <w:bookmarkStart w:id="1" w:name="OLE_LINK8"/>
      <w:r>
        <w:rPr>
          <w:rFonts w:hint="eastAsia" w:ascii="仿宋" w:hAnsi="仿宋" w:eastAsia="仿宋"/>
          <w:b/>
          <w:bCs/>
          <w:color w:val="auto"/>
          <w:sz w:val="32"/>
          <w:szCs w:val="28"/>
          <w:highlight w:val="none"/>
          <w:lang w:val="en-US" w:eastAsia="zh-CN"/>
        </w:rPr>
        <w:t>AI的环境影响、测量挑战与前进方向</w:t>
      </w:r>
      <w:bookmarkEnd w:id="0"/>
    </w:p>
    <w:bookmarkEnd w:id="1"/>
    <w:p>
      <w:pPr>
        <w:tabs>
          <w:tab w:val="left" w:pos="2940"/>
        </w:tabs>
        <w:jc w:val="center"/>
        <w:rPr>
          <w:rFonts w:hint="eastAsia" w:ascii="仿宋" w:hAnsi="仿宋" w:eastAsia="仿宋"/>
          <w:b w:val="0"/>
          <w:bCs w:val="0"/>
          <w:color w:val="auto"/>
          <w:sz w:val="28"/>
          <w:szCs w:val="24"/>
          <w:highlight w:val="none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8"/>
          <w:szCs w:val="24"/>
          <w:highlight w:val="none"/>
          <w:lang w:val="en-US" w:eastAsia="zh-CN"/>
        </w:rPr>
        <w:t>魏娜</w:t>
      </w:r>
    </w:p>
    <w:p>
      <w:pPr>
        <w:tabs>
          <w:tab w:val="left" w:pos="2940"/>
        </w:tabs>
        <w:jc w:val="center"/>
        <w:rPr>
          <w:rFonts w:hint="default" w:ascii="仿宋" w:hAnsi="仿宋" w:eastAsia="仿宋"/>
          <w:b w:val="0"/>
          <w:bCs w:val="0"/>
          <w:color w:val="auto"/>
          <w:sz w:val="28"/>
          <w:szCs w:val="24"/>
          <w:highlight w:val="none"/>
          <w:lang w:val="en-US" w:eastAsia="zh-CN"/>
        </w:rPr>
      </w:pP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bookmarkStart w:id="2" w:name="OLE_LINK12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AI技术正迅速发展并赋能千行百业，在降本增效、环境治理等方面成效显著，为经济社会发展注入强劲动力；但同时伴随高能耗、大量占用水资源及产生电子废弃物等环境挑战。2025年国际电信联盟等机构发布报告指出，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测量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数据缺口与质量缺陷、评估方法不统一等问题制约了AI发展对环境影响的科学判断。未来可通过强化数据质量、推进标准化建设等手段，科学评估AI的环境影响，助力AI可持续发展。</w:t>
      </w:r>
    </w:p>
    <w:bookmarkEnd w:id="2"/>
    <w:p>
      <w:pPr>
        <w:spacing w:before="157" w:beforeLines="50" w:after="157" w:afterLines="50"/>
        <w:ind w:firstLine="561"/>
        <w:rPr>
          <w:rFonts w:hint="default" w:ascii="仿宋" w:hAnsi="仿宋" w:eastAsia="仿宋"/>
          <w:b/>
          <w:bCs/>
          <w:color w:val="auto"/>
          <w:sz w:val="28"/>
          <w:highlight w:val="none"/>
          <w:lang w:val="en-US" w:eastAsia="zh-CN"/>
        </w:rPr>
      </w:pPr>
      <w:bookmarkStart w:id="3" w:name="OLE_LINK4"/>
      <w:bookmarkStart w:id="4" w:name="OLE_LINK3"/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1、AI快速发展伴随环境成本的大幅增长</w:t>
      </w:r>
    </w:p>
    <w:bookmarkEnd w:id="3"/>
    <w:p>
      <w:pPr>
        <w:ind w:firstLine="560"/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AI的环境影响可通过其生态足迹来度量。生态足迹是指AI技术从开发、运行到淘汰的全生命周期中，对环境产生的综合影响，涉及能源消耗与碳排放、水资源占用和电子垃圾等多个维度。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bookmarkStart w:id="5" w:name="OLE_LINK5"/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能源需求指数级增长引发巨量碳排放。</w:t>
      </w:r>
      <w:bookmarkEnd w:id="5"/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据未来智库测算，AI在全球能源消耗中的占比将从2024年的0.2%飙升至2030年的1.9%，复合年均增长率达48%</w:t>
      </w:r>
      <w:r>
        <w:rPr>
          <w:rStyle w:val="8"/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footnoteReference w:id="0"/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。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一是数据中心是用能重地。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国际能源署2025年2月发布的《能源与人工智能》报告显示，2024年全球数据中心消耗电力达415太瓦时，预计2030年将达945太瓦时。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二是AI模型耗能巨大。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训练阶段，OpenAI的GPT-4，单次训练耗电2400万千瓦时，碳排放量约为5000辆汽车一年的排放总和。应用阶段，一次传统搜索引擎查询约耗电0.3瓦小时，而一次ChatGPT请求则耗电约2.9瓦小时，几乎是传统搜索查询的10倍</w:t>
      </w:r>
      <w:r>
        <w:rPr>
          <w:rStyle w:val="8"/>
          <w:rFonts w:hint="eastAsia" w:ascii="仿宋" w:hAnsi="仿宋" w:eastAsia="仿宋"/>
          <w:color w:val="auto"/>
          <w:sz w:val="28"/>
          <w:highlight w:val="none"/>
          <w:lang w:val="en-US" w:eastAsia="zh-CN"/>
        </w:rPr>
        <w:footnoteReference w:id="1"/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。图像生成、视频渲染等更复杂的任务，电力消耗更为巨大。</w:t>
      </w: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三是能源消耗直接转化为巨量的碳排放。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谷歌2025年可持续发展报告显示，其碳排放量比去年增长了11%，达1150万吨，二氧化碳污染量较2019年激增51%。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水资源消耗压力倍增。一是AI交互的水成本惊人。</w:t>
      </w:r>
      <w:bookmarkStart w:id="6" w:name="OLE_LINK7"/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美国加州大学河滨分校的一项研究表明，GPT-4每生成100个单词最多消耗1500毫升水。若全球数十亿用户进行交互，或将对区域性水资源分配造成压力</w:t>
      </w:r>
      <w:r>
        <w:rPr>
          <w:rStyle w:val="8"/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footnoteReference w:id="2"/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。</w:t>
      </w:r>
      <w:bookmarkEnd w:id="6"/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二是数据中心冷却带来巨大水资源压力。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AI数据中心通常采用冷却塔系统，这一技术需要持续消耗大量清洁淡水用于蒸发冷却。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微软的U.S.数据中心训练GPT-3时，直接蒸发的淡水量高达70万升，而全球AI需求到2027年可能消耗42亿至66亿立方米水，远超许多国家的年用水量</w:t>
      </w:r>
      <w:r>
        <w:rPr>
          <w:rStyle w:val="8"/>
          <w:rFonts w:hint="eastAsia" w:ascii="仿宋" w:hAnsi="仿宋" w:eastAsia="仿宋"/>
          <w:color w:val="auto"/>
          <w:sz w:val="28"/>
          <w:highlight w:val="none"/>
          <w:lang w:val="en-US" w:eastAsia="zh-CN"/>
        </w:rPr>
        <w:footnoteReference w:id="3"/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到2030年，全球AI数据中心冷却预计需30.2亿立方米淡水，超过了北欧国家挪威或瑞典的年淡水取用量。在水资源紧张的干旱地区，这种需求将加剧对水资源的争夺，引发区域性水资源危机</w:t>
      </w:r>
      <w:r>
        <w:rPr>
          <w:rStyle w:val="8"/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footnoteReference w:id="4"/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。</w:t>
      </w:r>
    </w:p>
    <w:p>
      <w:pPr>
        <w:ind w:firstLine="56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电子垃圾进一步放大环境影响。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据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中国科学院研究预测，2023-2030年生成式AI将产生120万至500万吨电子垃圾，含150万吨含铅电路板和50万吨服务器电池。2024年3月，联合国训练研究所和国际电信联盟共同发布的</w:t>
      </w:r>
      <w:bookmarkStart w:id="7" w:name="OLE_LINK9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《2024年全球电子垃圾监测》</w:t>
      </w:r>
      <w:bookmarkEnd w:id="7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报告指出，2022年全球电子垃圾的产生量较2010年增长82%，达6200万吨，其中仅有不到1/4的电子垃圾被回收利用</w:t>
      </w:r>
      <w:bookmarkEnd w:id="4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。</w:t>
      </w:r>
    </w:p>
    <w:p>
      <w:pPr>
        <w:numPr>
          <w:ilvl w:val="0"/>
          <w:numId w:val="1"/>
        </w:numPr>
        <w:ind w:firstLine="560"/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</w:pPr>
      <w:bookmarkStart w:id="8" w:name="OLE_LINK2"/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现行AI环境影响的测量手段面临挑战</w:t>
      </w:r>
    </w:p>
    <w:bookmarkEnd w:id="8"/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</w:pPr>
      <w:bookmarkStart w:id="9" w:name="OLE_LINK6"/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2025年，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国际电信联盟、国际标准组织等机构先后发布</w:t>
      </w:r>
      <w:bookmarkStart w:id="10" w:name="OLE_LINK10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《人工智能环境可持续性的标准化方法》和《衡量关键指标：如何评估人工智能的环境影响》</w:t>
      </w:r>
      <w:bookmarkEnd w:id="10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，聚焦AI环境可持续性评估体系的系统性缺陷与测量方法面临的挑战，试图从全球AI治理视角提供可操作的路线图。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一是测量方法与数据依赖的局限性。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一方面，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AI训练、推理及供应链的能耗、碳排放等关键数据，多依赖模型运行时间、硬件功率等进行估算，而非实时或直接测量数据。另一方面，硬件制造、供应链、废弃处理等环节的排放数据缺失；数据中心的水资源消耗、冷却系统能耗等基础设施开销缺乏公开披露。若关键信息披露不足，将影响最终评估结论，使环境影响被高估或低估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二是生命周期定义混乱、间接与长期影响被忽视。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不同研究对“训练”“推理”等核心阶段的定义不一致：如，训练阶段是否包含研发中的多次迭代、调试，不同评估中存在边界差异。硬件退役后的电子废弃物处理、AI应用提升效率却增加总排放等间接、长期影响等被忽视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三是缺乏AI排放专用标准与统一指标和框架。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一方面，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现有数字行业标准（如数据中心能效）无法直接适配AI的特殊性：如，通用目的AI因跨场景使用，其能耗分摊、生命周期界定与传统软件差异明显，现有标准尚未覆盖。另一方面，不同组织的测量标准侧重不同：如，ISO 14040聚焦生命周期评估、ITU-T L.1410聚焦ICT产品，且均未针对AI 特性进行优化。</w:t>
      </w:r>
    </w:p>
    <w:p>
      <w:pPr>
        <w:numPr>
          <w:ilvl w:val="0"/>
          <w:numId w:val="1"/>
        </w:numPr>
        <w:ind w:firstLine="560"/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AI环境影响测量的前进方向</w:t>
      </w:r>
    </w:p>
    <w:p>
      <w:pPr>
        <w:numPr>
          <w:ilvl w:val="-1"/>
          <w:numId w:val="0"/>
        </w:numPr>
        <w:ind w:firstLine="562" w:firstLineChars="200"/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一是强化数据质量与实测能力。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开发者在AI训练/推理工具中嵌入实时能耗监测模块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，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直接采集硬件实际能耗，而非依赖估算；AI芯片、服务器厂商内置能耗计量芯片，支持按“AI任务”统计能耗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；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建立“AI环境影响数据库”，整合企业披露数据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等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，降低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对</w:t>
      </w:r>
      <w:r>
        <w:rPr>
          <w:rFonts w:hint="default" w:ascii="仿宋" w:hAnsi="仿宋" w:eastAsia="仿宋"/>
          <w:color w:val="auto"/>
          <w:sz w:val="28"/>
          <w:highlight w:val="none"/>
          <w:lang w:val="en-US" w:eastAsia="zh-CN"/>
        </w:rPr>
        <w:t>估算的依赖。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二是将供应链与间接影响纳入评估。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采用“生命周期评估”方法，产业链全链条纳入评估，如上游收集芯片制造的矿产消耗及开采排放数据；中游采集硬件运输能耗、数据中心建设碳排放等数据；下游采集电子废弃物处理、回收利用率等数据。</w:t>
      </w:r>
    </w:p>
    <w:p>
      <w:pPr>
        <w:numPr>
          <w:ilvl w:val="-1"/>
          <w:numId w:val="0"/>
        </w:numPr>
        <w:ind w:firstLine="562" w:firstLineChars="200"/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三是</w:t>
      </w:r>
      <w:bookmarkEnd w:id="9"/>
      <w:r>
        <w:rPr>
          <w:rFonts w:hint="eastAsia" w:ascii="仿宋" w:hAnsi="仿宋" w:eastAsia="仿宋"/>
          <w:b/>
          <w:bCs/>
          <w:color w:val="auto"/>
          <w:sz w:val="28"/>
          <w:highlight w:val="none"/>
          <w:lang w:val="en-US" w:eastAsia="zh-CN"/>
        </w:rPr>
        <w:t>从标准层面加快AI领域环境评估体系建设。</w:t>
      </w:r>
      <w:r>
        <w:rPr>
          <w:rFonts w:hint="eastAsia" w:ascii="仿宋" w:hAnsi="仿宋" w:eastAsia="仿宋"/>
          <w:b w:val="0"/>
          <w:bCs w:val="0"/>
          <w:color w:val="auto"/>
          <w:sz w:val="28"/>
          <w:highlight w:val="none"/>
          <w:lang w:val="en-US" w:eastAsia="zh-CN"/>
        </w:rPr>
        <w:t>支持</w:t>
      </w:r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国际电信联盟等国际组织加大协作力度，梳理现有标准</w:t>
      </w:r>
      <w:bookmarkStart w:id="12" w:name="_GoBack"/>
      <w:bookmarkEnd w:id="12"/>
      <w:r>
        <w:rPr>
          <w:rFonts w:hint="eastAsia" w:ascii="仿宋" w:hAnsi="仿宋" w:eastAsia="仿宋"/>
          <w:color w:val="auto"/>
          <w:sz w:val="28"/>
          <w:highlight w:val="none"/>
          <w:lang w:val="en-US" w:eastAsia="zh-CN"/>
        </w:rPr>
        <w:t>（如 ISO 14040、ITU-T L.1410）的适用性及不足，针对AI特性制定补充标准，协同推进标准制定，如国际电信联盟侧重ICT适配，国际标准化组织侧重生命周期框架。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>
      <w:pPr>
        <w:pStyle w:val="5"/>
        <w:rPr>
          <w:rFonts w:hint="default" w:eastAsiaTheme="minorEastAsia"/>
          <w:color w:val="auto"/>
          <w:lang w:val="en-US" w:eastAsia="zh-CN"/>
        </w:rPr>
      </w:pPr>
      <w:r>
        <w:rPr>
          <w:rStyle w:val="8"/>
          <w:color w:val="auto"/>
        </w:rPr>
        <w:footnoteRef/>
      </w:r>
      <w:r>
        <w:rPr>
          <w:color w:val="auto"/>
        </w:rPr>
        <w:t xml:space="preserve"> </w:t>
      </w:r>
      <w:bookmarkStart w:id="11" w:name="OLE_LINK11"/>
      <w:r>
        <w:rPr>
          <w:rFonts w:hint="default"/>
          <w:color w:val="auto"/>
        </w:rPr>
        <w:t>2025年人工智能可持续发展分析：全球数据中心能耗将达612太瓦时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未来智库，2025.7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</w:rPr>
        <w:t>https://www.vzkoo.com/read/202507046a18587e02ae541dadfa3121.html</w:t>
      </w:r>
    </w:p>
    <w:bookmarkEnd w:id="11"/>
    <w:p>
      <w:pPr>
        <w:pStyle w:val="5"/>
        <w:snapToGrid w:val="0"/>
        <w:rPr>
          <w:color w:val="auto"/>
        </w:rPr>
      </w:pPr>
    </w:p>
  </w:footnote>
  <w:footnote w:id="1">
    <w:p>
      <w:pPr>
        <w:pStyle w:val="5"/>
        <w:snapToGrid w:val="0"/>
        <w:rPr>
          <w:color w:val="auto"/>
        </w:rPr>
      </w:pPr>
      <w:r>
        <w:rPr>
          <w:rStyle w:val="8"/>
          <w:color w:val="auto"/>
        </w:rPr>
        <w:footnoteRef/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人工智能的兴起如何影响数据中心和环境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极客网，2024.12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</w:rPr>
        <w:t>https://www.fromgeek.com/telecom/664690.html</w:t>
      </w:r>
    </w:p>
  </w:footnote>
  <w:footnote w:id="2">
    <w:p>
      <w:pPr>
        <w:pStyle w:val="5"/>
        <w:snapToGrid w:val="0"/>
        <w:rPr>
          <w:color w:val="auto"/>
        </w:rPr>
      </w:pPr>
      <w:r>
        <w:rPr>
          <w:rStyle w:val="8"/>
          <w:color w:val="auto"/>
        </w:rPr>
        <w:footnoteRef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“和AI寒暄”成本不菲！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新浪网，2025.4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</w:rPr>
        <w:t>https://k.sina.cn/article_1686546714_6486a91a02002r3ye.html</w:t>
      </w:r>
    </w:p>
  </w:footnote>
  <w:footnote w:id="3">
    <w:p>
      <w:pPr>
        <w:pStyle w:val="5"/>
        <w:bidi w:val="0"/>
        <w:rPr>
          <w:rFonts w:hint="default"/>
          <w:color w:val="auto"/>
          <w:lang w:val="en-US" w:eastAsia="zh-CN"/>
        </w:rPr>
      </w:pPr>
      <w:r>
        <w:rPr>
          <w:rStyle w:val="8"/>
          <w:color w:val="auto"/>
        </w:rPr>
        <w:footnoteRef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Making AI Less“Thirsty”: Uncovering and Addressing the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Secret Water Footprint of AI Models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2025.3.26</w:t>
      </w:r>
    </w:p>
  </w:footnote>
  <w:footnote w:id="4">
    <w:p>
      <w:pPr>
        <w:pStyle w:val="5"/>
        <w:rPr>
          <w:rFonts w:hint="default" w:eastAsiaTheme="minorEastAsia"/>
          <w:color w:val="auto"/>
          <w:lang w:val="en-US" w:eastAsia="zh-CN"/>
        </w:rPr>
      </w:pPr>
      <w:r>
        <w:rPr>
          <w:rStyle w:val="8"/>
          <w:color w:val="auto"/>
        </w:rPr>
        <w:footnoteRef/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2025年人工智能可持续发展分析：全球数据中心能耗将达612太瓦时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未来智库，2025.7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</w:rPr>
        <w:t>https://www.vzkoo.com/read/202507046a18587e02ae541dadfa3121.html</w:t>
      </w:r>
    </w:p>
    <w:p>
      <w:pPr>
        <w:pStyle w:val="5"/>
        <w:snapToGrid w:val="0"/>
        <w:rPr>
          <w:rFonts w:hint="default"/>
          <w:color w:val="auto"/>
          <w:lang w:val="en-US" w:eastAsia="zh-CN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2DDDE8"/>
    <w:multiLevelType w:val="singleLevel"/>
    <w:tmpl w:val="472DDDE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6979E5"/>
    <w:rsid w:val="00336663"/>
    <w:rsid w:val="005C558F"/>
    <w:rsid w:val="0116264D"/>
    <w:rsid w:val="01187BDA"/>
    <w:rsid w:val="03D03C4D"/>
    <w:rsid w:val="04C424C5"/>
    <w:rsid w:val="054312E4"/>
    <w:rsid w:val="05F74E26"/>
    <w:rsid w:val="06580A77"/>
    <w:rsid w:val="084B6C7C"/>
    <w:rsid w:val="086C770D"/>
    <w:rsid w:val="08E97AAB"/>
    <w:rsid w:val="09015152"/>
    <w:rsid w:val="0A595E3B"/>
    <w:rsid w:val="0A8119D2"/>
    <w:rsid w:val="0ADD6C61"/>
    <w:rsid w:val="0B2E5767"/>
    <w:rsid w:val="0B3643CE"/>
    <w:rsid w:val="0B393AF8"/>
    <w:rsid w:val="0B60380B"/>
    <w:rsid w:val="0B725406"/>
    <w:rsid w:val="0C321B11"/>
    <w:rsid w:val="0C897450"/>
    <w:rsid w:val="0C9B3C30"/>
    <w:rsid w:val="0CA248BC"/>
    <w:rsid w:val="0CB56A46"/>
    <w:rsid w:val="0CE515B5"/>
    <w:rsid w:val="0E573A15"/>
    <w:rsid w:val="0F2F1860"/>
    <w:rsid w:val="1008458B"/>
    <w:rsid w:val="101C3B92"/>
    <w:rsid w:val="10216504"/>
    <w:rsid w:val="1072498F"/>
    <w:rsid w:val="108F0808"/>
    <w:rsid w:val="10A8006A"/>
    <w:rsid w:val="116D0724"/>
    <w:rsid w:val="118916FB"/>
    <w:rsid w:val="11CC0F45"/>
    <w:rsid w:val="12781EDB"/>
    <w:rsid w:val="127952CC"/>
    <w:rsid w:val="12FE59B8"/>
    <w:rsid w:val="143533EF"/>
    <w:rsid w:val="15406575"/>
    <w:rsid w:val="154F7486"/>
    <w:rsid w:val="15EB5BB3"/>
    <w:rsid w:val="15F47BFE"/>
    <w:rsid w:val="17CC0594"/>
    <w:rsid w:val="17E07B9B"/>
    <w:rsid w:val="17EA04AD"/>
    <w:rsid w:val="18FF308F"/>
    <w:rsid w:val="193B777F"/>
    <w:rsid w:val="19C15B92"/>
    <w:rsid w:val="19D30E64"/>
    <w:rsid w:val="1A041EBA"/>
    <w:rsid w:val="1A4511A7"/>
    <w:rsid w:val="1A6F1974"/>
    <w:rsid w:val="1AF568A7"/>
    <w:rsid w:val="1B2B737F"/>
    <w:rsid w:val="1B46240B"/>
    <w:rsid w:val="1B50295E"/>
    <w:rsid w:val="1B8A6148"/>
    <w:rsid w:val="1BB86FFF"/>
    <w:rsid w:val="1C3F2267"/>
    <w:rsid w:val="1C4A4D75"/>
    <w:rsid w:val="1C830E7B"/>
    <w:rsid w:val="1D8077A1"/>
    <w:rsid w:val="1DF148B0"/>
    <w:rsid w:val="1DFE71E1"/>
    <w:rsid w:val="1E6979E5"/>
    <w:rsid w:val="1EA44F54"/>
    <w:rsid w:val="1EEA1E45"/>
    <w:rsid w:val="1F503866"/>
    <w:rsid w:val="1F606C16"/>
    <w:rsid w:val="1FCA6F35"/>
    <w:rsid w:val="20256A93"/>
    <w:rsid w:val="206A35BB"/>
    <w:rsid w:val="20C34F4E"/>
    <w:rsid w:val="21CD0C84"/>
    <w:rsid w:val="222A65E3"/>
    <w:rsid w:val="22802924"/>
    <w:rsid w:val="22BA5184"/>
    <w:rsid w:val="22E07847"/>
    <w:rsid w:val="23144B9D"/>
    <w:rsid w:val="260E536E"/>
    <w:rsid w:val="26AC0ACC"/>
    <w:rsid w:val="27E2526A"/>
    <w:rsid w:val="28063B5C"/>
    <w:rsid w:val="290E2EC2"/>
    <w:rsid w:val="292F16EE"/>
    <w:rsid w:val="29420CFC"/>
    <w:rsid w:val="29916F47"/>
    <w:rsid w:val="2A9A6739"/>
    <w:rsid w:val="2AA9450A"/>
    <w:rsid w:val="2B14398C"/>
    <w:rsid w:val="2C482CB1"/>
    <w:rsid w:val="2CD5539D"/>
    <w:rsid w:val="2CF3064F"/>
    <w:rsid w:val="2D874B2E"/>
    <w:rsid w:val="2D963C58"/>
    <w:rsid w:val="2DC436ED"/>
    <w:rsid w:val="2DC72229"/>
    <w:rsid w:val="2EA94D33"/>
    <w:rsid w:val="2EAA38DB"/>
    <w:rsid w:val="2F0D661F"/>
    <w:rsid w:val="2F2C0CD3"/>
    <w:rsid w:val="2FA923BE"/>
    <w:rsid w:val="2FC4426D"/>
    <w:rsid w:val="307F7AFA"/>
    <w:rsid w:val="30C94839"/>
    <w:rsid w:val="31876ED9"/>
    <w:rsid w:val="31F6203D"/>
    <w:rsid w:val="336D2E67"/>
    <w:rsid w:val="338E42A3"/>
    <w:rsid w:val="33A87AFE"/>
    <w:rsid w:val="33B36A61"/>
    <w:rsid w:val="33E16D1D"/>
    <w:rsid w:val="34045419"/>
    <w:rsid w:val="34845AB5"/>
    <w:rsid w:val="36751AE8"/>
    <w:rsid w:val="37B214EF"/>
    <w:rsid w:val="395A3541"/>
    <w:rsid w:val="398E775A"/>
    <w:rsid w:val="39E11943"/>
    <w:rsid w:val="3A02053D"/>
    <w:rsid w:val="3A8A671A"/>
    <w:rsid w:val="3A9B69B4"/>
    <w:rsid w:val="3AFE2E55"/>
    <w:rsid w:val="3C1D582B"/>
    <w:rsid w:val="3C2970C0"/>
    <w:rsid w:val="3CEF73FC"/>
    <w:rsid w:val="3D0E20C9"/>
    <w:rsid w:val="3D0F7E04"/>
    <w:rsid w:val="3D2E2080"/>
    <w:rsid w:val="3DD35929"/>
    <w:rsid w:val="3DF257B2"/>
    <w:rsid w:val="3E235F81"/>
    <w:rsid w:val="3E3B7F54"/>
    <w:rsid w:val="3E5D1F87"/>
    <w:rsid w:val="3E81631A"/>
    <w:rsid w:val="3EF542B4"/>
    <w:rsid w:val="40104C12"/>
    <w:rsid w:val="402D5DC0"/>
    <w:rsid w:val="417276C9"/>
    <w:rsid w:val="418C7217"/>
    <w:rsid w:val="42112CF3"/>
    <w:rsid w:val="448A687F"/>
    <w:rsid w:val="449A2CFC"/>
    <w:rsid w:val="45352A25"/>
    <w:rsid w:val="47256037"/>
    <w:rsid w:val="47461F7B"/>
    <w:rsid w:val="47DD69DA"/>
    <w:rsid w:val="480F2CC9"/>
    <w:rsid w:val="48AD0F4E"/>
    <w:rsid w:val="494574C2"/>
    <w:rsid w:val="496F6108"/>
    <w:rsid w:val="49D547D7"/>
    <w:rsid w:val="4B5F25AA"/>
    <w:rsid w:val="4BC93EC7"/>
    <w:rsid w:val="4BEA27F4"/>
    <w:rsid w:val="4C1705E5"/>
    <w:rsid w:val="4C8B2B22"/>
    <w:rsid w:val="4CB41768"/>
    <w:rsid w:val="4CC41F0D"/>
    <w:rsid w:val="4D664D3B"/>
    <w:rsid w:val="4DD208BB"/>
    <w:rsid w:val="4EE01C53"/>
    <w:rsid w:val="4F754A92"/>
    <w:rsid w:val="4F91170B"/>
    <w:rsid w:val="4FFD0EF1"/>
    <w:rsid w:val="50B21DB4"/>
    <w:rsid w:val="5176689F"/>
    <w:rsid w:val="51B23CBC"/>
    <w:rsid w:val="521E54EC"/>
    <w:rsid w:val="524A1D0E"/>
    <w:rsid w:val="5279285E"/>
    <w:rsid w:val="52E80913"/>
    <w:rsid w:val="539B439B"/>
    <w:rsid w:val="54C54621"/>
    <w:rsid w:val="54E12281"/>
    <w:rsid w:val="54F476EE"/>
    <w:rsid w:val="54FA6DF0"/>
    <w:rsid w:val="550151F6"/>
    <w:rsid w:val="55A05B02"/>
    <w:rsid w:val="56783B41"/>
    <w:rsid w:val="56877B05"/>
    <w:rsid w:val="56A619D5"/>
    <w:rsid w:val="581C679B"/>
    <w:rsid w:val="58FA1B08"/>
    <w:rsid w:val="59572683"/>
    <w:rsid w:val="59E42D8A"/>
    <w:rsid w:val="5A0031AA"/>
    <w:rsid w:val="5A0A107B"/>
    <w:rsid w:val="5A1223DE"/>
    <w:rsid w:val="5A8F5421"/>
    <w:rsid w:val="5BAC6AF2"/>
    <w:rsid w:val="5BDF7159"/>
    <w:rsid w:val="5C1C479A"/>
    <w:rsid w:val="5CD60B5E"/>
    <w:rsid w:val="5CF214D0"/>
    <w:rsid w:val="5D032927"/>
    <w:rsid w:val="5D1D5D61"/>
    <w:rsid w:val="5DEB5F1F"/>
    <w:rsid w:val="5EA90260"/>
    <w:rsid w:val="5F0B7580"/>
    <w:rsid w:val="5F301D3D"/>
    <w:rsid w:val="5FC0660C"/>
    <w:rsid w:val="5FF43E2B"/>
    <w:rsid w:val="60341DFF"/>
    <w:rsid w:val="61025BD2"/>
    <w:rsid w:val="612C2AD6"/>
    <w:rsid w:val="616A31C3"/>
    <w:rsid w:val="617A1A94"/>
    <w:rsid w:val="622C3B9E"/>
    <w:rsid w:val="623A6737"/>
    <w:rsid w:val="62E83F51"/>
    <w:rsid w:val="63277162"/>
    <w:rsid w:val="63470BFE"/>
    <w:rsid w:val="6354435E"/>
    <w:rsid w:val="63916CE9"/>
    <w:rsid w:val="63B84F56"/>
    <w:rsid w:val="63F06D02"/>
    <w:rsid w:val="65C66E91"/>
    <w:rsid w:val="65CB7FE2"/>
    <w:rsid w:val="65DF2A5C"/>
    <w:rsid w:val="65EC32C5"/>
    <w:rsid w:val="661F2C0A"/>
    <w:rsid w:val="662621EA"/>
    <w:rsid w:val="66B141AA"/>
    <w:rsid w:val="66B87515"/>
    <w:rsid w:val="66D8253F"/>
    <w:rsid w:val="67087D3C"/>
    <w:rsid w:val="67535261"/>
    <w:rsid w:val="675F3BB3"/>
    <w:rsid w:val="67650933"/>
    <w:rsid w:val="67CB02D7"/>
    <w:rsid w:val="67D16185"/>
    <w:rsid w:val="69904740"/>
    <w:rsid w:val="69E14DCF"/>
    <w:rsid w:val="6A516D7C"/>
    <w:rsid w:val="6ACD4FC1"/>
    <w:rsid w:val="6B3E5782"/>
    <w:rsid w:val="6B6535FA"/>
    <w:rsid w:val="6CCE7687"/>
    <w:rsid w:val="6D4C1FCA"/>
    <w:rsid w:val="6D79502A"/>
    <w:rsid w:val="6D9E3F65"/>
    <w:rsid w:val="6E480585"/>
    <w:rsid w:val="6F457799"/>
    <w:rsid w:val="6F6E2C8D"/>
    <w:rsid w:val="6FAF3458"/>
    <w:rsid w:val="6FF30668"/>
    <w:rsid w:val="709F4D0D"/>
    <w:rsid w:val="71504376"/>
    <w:rsid w:val="7168781F"/>
    <w:rsid w:val="716B29A1"/>
    <w:rsid w:val="71C00E88"/>
    <w:rsid w:val="71F22BB6"/>
    <w:rsid w:val="72031996"/>
    <w:rsid w:val="72736F30"/>
    <w:rsid w:val="72895D82"/>
    <w:rsid w:val="737308E6"/>
    <w:rsid w:val="763A2285"/>
    <w:rsid w:val="765661D4"/>
    <w:rsid w:val="768947FB"/>
    <w:rsid w:val="76CB1E00"/>
    <w:rsid w:val="76D10E1C"/>
    <w:rsid w:val="76D77B85"/>
    <w:rsid w:val="76E75C21"/>
    <w:rsid w:val="77606B2F"/>
    <w:rsid w:val="77B57573"/>
    <w:rsid w:val="790849A2"/>
    <w:rsid w:val="79634AD4"/>
    <w:rsid w:val="79D762F4"/>
    <w:rsid w:val="7B2965AD"/>
    <w:rsid w:val="7B336314"/>
    <w:rsid w:val="7BBA5457"/>
    <w:rsid w:val="7C320365"/>
    <w:rsid w:val="7C590591"/>
    <w:rsid w:val="7CB805AB"/>
    <w:rsid w:val="7DFE760C"/>
    <w:rsid w:val="7EF97BE0"/>
    <w:rsid w:val="7F7E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8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4</Pages>
  <Words>1991</Words>
  <Characters>2189</Characters>
  <Lines>0</Lines>
  <Paragraphs>0</Paragraphs>
  <TotalTime>6</TotalTime>
  <ScaleCrop>false</ScaleCrop>
  <LinksUpToDate>false</LinksUpToDate>
  <CharactersWithSpaces>2195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2025-07-11T23:00:00Z</dcterms:created>
  <dc:creator>HP</dc:creator>
  <cp:lastModifiedBy>HP</cp:lastModifiedBy>
  <dcterms:modified xsi:type="dcterms:W3CDTF">2025-08-12T01:25:40Z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374936D1F6904701B73BD4F7AE4A336C_13</vt:lpwstr>
  </property>
  <property fmtid="{D5CDD505-2E9C-101B-9397-08002B2CF9AE}" pid="4" name="KSOTemplateDocerSaveRecord">
    <vt:lpwstr>eyJoZGlkIjoiMWMzNzFhYmJjM2ZjMTM5MDMyN2Y4ZjhiMjNmYzQ5N2EiLCJ1c2VySWQiOiI0NDY4OTExNjAifQ==</vt:lpwstr>
  </property>
</Properties>
</file>