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690E" w:rsidRDefault="000F7305">
      <w:pPr>
        <w:spacing w:line="360" w:lineRule="auto"/>
        <w:ind w:firstLineChars="200" w:firstLine="643"/>
        <w:jc w:val="center"/>
        <w:rPr>
          <w:b/>
          <w:bCs/>
          <w:sz w:val="32"/>
          <w:szCs w:val="40"/>
        </w:rPr>
      </w:pPr>
      <w:r>
        <w:rPr>
          <w:rFonts w:hint="eastAsia"/>
          <w:b/>
          <w:bCs/>
          <w:sz w:val="32"/>
          <w:szCs w:val="40"/>
        </w:rPr>
        <w:t>AI</w:t>
      </w:r>
      <w:r>
        <w:rPr>
          <w:rFonts w:hint="eastAsia"/>
          <w:b/>
          <w:bCs/>
          <w:sz w:val="32"/>
          <w:szCs w:val="40"/>
        </w:rPr>
        <w:t>监管：创新与安全的平衡问题</w:t>
      </w:r>
    </w:p>
    <w:p w:rsidR="009B690E" w:rsidRDefault="000F7305">
      <w:pPr>
        <w:spacing w:line="360" w:lineRule="auto"/>
        <w:ind w:firstLineChars="200" w:firstLine="482"/>
        <w:jc w:val="center"/>
        <w:rPr>
          <w:b/>
          <w:sz w:val="24"/>
          <w:szCs w:val="32"/>
        </w:rPr>
      </w:pPr>
      <w:r>
        <w:rPr>
          <w:rFonts w:hint="eastAsia"/>
          <w:b/>
          <w:sz w:val="24"/>
          <w:szCs w:val="32"/>
        </w:rPr>
        <w:t>施宇</w:t>
      </w:r>
      <w:r w:rsidR="00A02839">
        <w:rPr>
          <w:rFonts w:hint="eastAsia"/>
          <w:b/>
          <w:sz w:val="24"/>
          <w:szCs w:val="32"/>
        </w:rPr>
        <w:t xml:space="preserve"> </w:t>
      </w:r>
      <w:r w:rsidR="00A02839">
        <w:rPr>
          <w:rFonts w:hint="eastAsia"/>
          <w:b/>
          <w:sz w:val="24"/>
          <w:szCs w:val="32"/>
        </w:rPr>
        <w:t>陈凤仙</w:t>
      </w:r>
    </w:p>
    <w:p w:rsidR="009B690E" w:rsidRDefault="000F7305">
      <w:pPr>
        <w:spacing w:line="360" w:lineRule="auto"/>
        <w:ind w:firstLineChars="200" w:firstLine="480"/>
        <w:rPr>
          <w:sz w:val="24"/>
          <w:szCs w:val="32"/>
        </w:rPr>
      </w:pPr>
      <w:r>
        <w:rPr>
          <w:rFonts w:hint="eastAsia"/>
          <w:sz w:val="24"/>
          <w:szCs w:val="32"/>
        </w:rPr>
        <w:t>4</w:t>
      </w:r>
      <w:r>
        <w:rPr>
          <w:rFonts w:hint="eastAsia"/>
          <w:sz w:val="24"/>
          <w:szCs w:val="32"/>
        </w:rPr>
        <w:t>月</w:t>
      </w:r>
      <w:r>
        <w:rPr>
          <w:rFonts w:hint="eastAsia"/>
          <w:sz w:val="24"/>
          <w:szCs w:val="32"/>
        </w:rPr>
        <w:t>11</w:t>
      </w:r>
      <w:r>
        <w:rPr>
          <w:rFonts w:hint="eastAsia"/>
          <w:sz w:val="24"/>
          <w:szCs w:val="32"/>
        </w:rPr>
        <w:t>日，国家网信办发布《生成式人工智能服务管理办法（征求意见稿）》，向社会公开征求意见。</w:t>
      </w:r>
      <w:r>
        <w:rPr>
          <w:rFonts w:hint="eastAsia"/>
          <w:sz w:val="24"/>
          <w:szCs w:val="32"/>
        </w:rPr>
        <w:t>3</w:t>
      </w:r>
      <w:r>
        <w:rPr>
          <w:rFonts w:hint="eastAsia"/>
          <w:sz w:val="24"/>
          <w:szCs w:val="32"/>
        </w:rPr>
        <w:t>月</w:t>
      </w:r>
      <w:r>
        <w:rPr>
          <w:rFonts w:hint="eastAsia"/>
          <w:sz w:val="24"/>
          <w:szCs w:val="32"/>
        </w:rPr>
        <w:t>29</w:t>
      </w:r>
      <w:r>
        <w:rPr>
          <w:rFonts w:hint="eastAsia"/>
          <w:sz w:val="24"/>
          <w:szCs w:val="32"/>
        </w:rPr>
        <w:t>日，英国政府发布针对人工智能产业监管的白皮书，提出对</w:t>
      </w:r>
      <w:r>
        <w:rPr>
          <w:rFonts w:hint="eastAsia"/>
          <w:sz w:val="24"/>
          <w:szCs w:val="32"/>
        </w:rPr>
        <w:t>AI</w:t>
      </w:r>
      <w:r>
        <w:rPr>
          <w:rFonts w:hint="eastAsia"/>
          <w:sz w:val="24"/>
          <w:szCs w:val="32"/>
        </w:rPr>
        <w:t>技术全方位监管的方法。包括图灵奖得主、苹果联合创始人、马斯克以及「人类简史」作者等在内的超过</w:t>
      </w:r>
      <w:r>
        <w:rPr>
          <w:rFonts w:hint="eastAsia"/>
          <w:sz w:val="24"/>
          <w:szCs w:val="32"/>
        </w:rPr>
        <w:t>1000</w:t>
      </w:r>
      <w:r>
        <w:rPr>
          <w:rFonts w:hint="eastAsia"/>
          <w:sz w:val="24"/>
          <w:szCs w:val="32"/>
        </w:rPr>
        <w:t>位大佬联名呼吁——应该立即停止训练比</w:t>
      </w:r>
      <w:r>
        <w:rPr>
          <w:rFonts w:hint="eastAsia"/>
          <w:sz w:val="24"/>
          <w:szCs w:val="32"/>
        </w:rPr>
        <w:t>GPT-4</w:t>
      </w:r>
      <w:r>
        <w:rPr>
          <w:rFonts w:hint="eastAsia"/>
          <w:sz w:val="24"/>
          <w:szCs w:val="32"/>
        </w:rPr>
        <w:t>更强大的</w:t>
      </w:r>
      <w:r>
        <w:rPr>
          <w:rFonts w:hint="eastAsia"/>
          <w:sz w:val="24"/>
          <w:szCs w:val="32"/>
        </w:rPr>
        <w:t>AI</w:t>
      </w:r>
      <w:r>
        <w:rPr>
          <w:rFonts w:hint="eastAsia"/>
          <w:sz w:val="24"/>
          <w:szCs w:val="32"/>
        </w:rPr>
        <w:t>系统，暂停期至少</w:t>
      </w:r>
      <w:r>
        <w:rPr>
          <w:rFonts w:hint="eastAsia"/>
          <w:sz w:val="24"/>
          <w:szCs w:val="32"/>
        </w:rPr>
        <w:t>6</w:t>
      </w:r>
      <w:r>
        <w:rPr>
          <w:rFonts w:hint="eastAsia"/>
          <w:sz w:val="24"/>
          <w:szCs w:val="32"/>
        </w:rPr>
        <w:t>个月，因为具有人类竞争智能的</w:t>
      </w:r>
      <w:r>
        <w:rPr>
          <w:rFonts w:hint="eastAsia"/>
          <w:sz w:val="24"/>
          <w:szCs w:val="32"/>
        </w:rPr>
        <w:t>AI</w:t>
      </w:r>
      <w:r>
        <w:rPr>
          <w:rFonts w:hint="eastAsia"/>
          <w:sz w:val="24"/>
          <w:szCs w:val="32"/>
        </w:rPr>
        <w:t>系统，可能对社会和人类构成深远的风险。全球</w:t>
      </w:r>
      <w:r>
        <w:rPr>
          <w:rFonts w:hint="eastAsia"/>
          <w:sz w:val="24"/>
          <w:szCs w:val="32"/>
        </w:rPr>
        <w:t>A</w:t>
      </w:r>
      <w:r>
        <w:rPr>
          <w:sz w:val="24"/>
          <w:szCs w:val="32"/>
        </w:rPr>
        <w:t>I</w:t>
      </w:r>
      <w:r>
        <w:rPr>
          <w:rFonts w:hint="eastAsia"/>
          <w:sz w:val="24"/>
          <w:szCs w:val="32"/>
        </w:rPr>
        <w:t>监管迫在眉睫，开发者必须与政策制定者合作，以确保</w:t>
      </w:r>
      <w:r>
        <w:rPr>
          <w:rFonts w:hint="eastAsia"/>
          <w:sz w:val="24"/>
          <w:szCs w:val="32"/>
        </w:rPr>
        <w:t>A</w:t>
      </w:r>
      <w:r>
        <w:rPr>
          <w:sz w:val="24"/>
          <w:szCs w:val="32"/>
        </w:rPr>
        <w:t>I</w:t>
      </w:r>
      <w:r>
        <w:rPr>
          <w:rFonts w:hint="eastAsia"/>
          <w:sz w:val="24"/>
          <w:szCs w:val="32"/>
        </w:rPr>
        <w:t>值得人类信赖，对人类忠诚。欧盟已经开启强监管之路，美国更强调创新和发展，中国兼顾安全与发展，探索人工智能监管与创新发展的平衡，对</w:t>
      </w:r>
      <w:r>
        <w:rPr>
          <w:rFonts w:hint="eastAsia"/>
          <w:sz w:val="24"/>
          <w:szCs w:val="32"/>
        </w:rPr>
        <w:t>A</w:t>
      </w:r>
      <w:r>
        <w:rPr>
          <w:sz w:val="24"/>
          <w:szCs w:val="32"/>
        </w:rPr>
        <w:t>I</w:t>
      </w:r>
      <w:r>
        <w:rPr>
          <w:rFonts w:hint="eastAsia"/>
          <w:sz w:val="24"/>
          <w:szCs w:val="32"/>
        </w:rPr>
        <w:t>应用分级分类开展监管政策制定工作。</w:t>
      </w:r>
    </w:p>
    <w:p w:rsidR="009B690E" w:rsidRDefault="000F7305">
      <w:pPr>
        <w:spacing w:line="360" w:lineRule="auto"/>
        <w:ind w:firstLineChars="200" w:firstLine="482"/>
        <w:jc w:val="left"/>
        <w:rPr>
          <w:b/>
          <w:sz w:val="24"/>
          <w:szCs w:val="32"/>
        </w:rPr>
      </w:pPr>
      <w:r>
        <w:rPr>
          <w:rFonts w:hint="eastAsia"/>
          <w:b/>
          <w:sz w:val="24"/>
          <w:szCs w:val="32"/>
        </w:rPr>
        <w:t>一、国内外人工智能监管现状</w:t>
      </w:r>
    </w:p>
    <w:p w:rsidR="009B690E" w:rsidRDefault="000F7305">
      <w:pPr>
        <w:spacing w:line="360" w:lineRule="auto"/>
        <w:ind w:firstLineChars="200" w:firstLine="480"/>
        <w:jc w:val="left"/>
        <w:rPr>
          <w:sz w:val="24"/>
          <w:szCs w:val="32"/>
        </w:rPr>
      </w:pPr>
      <w:r>
        <w:rPr>
          <w:rFonts w:hint="eastAsia"/>
          <w:sz w:val="24"/>
          <w:szCs w:val="32"/>
        </w:rPr>
        <w:t>人工智能具有复杂性、不可预测性、自主性、缺乏透明度等特征，由此带来数据爬取、算法偏见、歧视内容、科技伦理等各种议题，给人工智能的发展带来巨大挑战。如何在促进创新和保护公众利益之间取得平衡，成为各国监管机构面临的共同挑战。</w:t>
      </w:r>
    </w:p>
    <w:p w:rsidR="009B690E" w:rsidRDefault="000F7305">
      <w:pPr>
        <w:spacing w:line="360" w:lineRule="auto"/>
        <w:ind w:firstLineChars="200" w:firstLine="482"/>
        <w:jc w:val="left"/>
        <w:rPr>
          <w:b/>
          <w:sz w:val="24"/>
          <w:szCs w:val="32"/>
        </w:rPr>
      </w:pPr>
      <w:r>
        <w:rPr>
          <w:rFonts w:hint="eastAsia"/>
          <w:b/>
          <w:sz w:val="24"/>
          <w:szCs w:val="32"/>
        </w:rPr>
        <w:t>（一）欧盟：强监管策略</w:t>
      </w:r>
    </w:p>
    <w:p w:rsidR="009B690E" w:rsidRDefault="000F7305">
      <w:pPr>
        <w:spacing w:line="360" w:lineRule="auto"/>
        <w:ind w:firstLineChars="200" w:firstLine="480"/>
        <w:rPr>
          <w:sz w:val="24"/>
          <w:szCs w:val="32"/>
        </w:rPr>
      </w:pPr>
      <w:r>
        <w:rPr>
          <w:rFonts w:hint="eastAsia"/>
          <w:sz w:val="24"/>
          <w:szCs w:val="32"/>
        </w:rPr>
        <w:t>欧盟强调个人基本权利的保护以及维护欧盟内部市场的统一。</w:t>
      </w:r>
      <w:r>
        <w:rPr>
          <w:rFonts w:hint="eastAsia"/>
          <w:sz w:val="24"/>
          <w:szCs w:val="32"/>
        </w:rPr>
        <w:t>2</w:t>
      </w:r>
      <w:r>
        <w:rPr>
          <w:sz w:val="24"/>
          <w:szCs w:val="32"/>
        </w:rPr>
        <w:t>021</w:t>
      </w:r>
      <w:r>
        <w:rPr>
          <w:rFonts w:hint="eastAsia"/>
          <w:sz w:val="24"/>
          <w:szCs w:val="32"/>
        </w:rPr>
        <w:t>年</w:t>
      </w:r>
      <w:r>
        <w:rPr>
          <w:rFonts w:hint="eastAsia"/>
          <w:sz w:val="24"/>
          <w:szCs w:val="32"/>
        </w:rPr>
        <w:t>4</w:t>
      </w:r>
      <w:r>
        <w:rPr>
          <w:rFonts w:hint="eastAsia"/>
          <w:sz w:val="24"/>
          <w:szCs w:val="32"/>
        </w:rPr>
        <w:t>月，欧盟提出《人工智能法案》草案，计划在</w:t>
      </w:r>
      <w:r>
        <w:rPr>
          <w:rFonts w:hint="eastAsia"/>
          <w:sz w:val="24"/>
          <w:szCs w:val="32"/>
        </w:rPr>
        <w:t>2</w:t>
      </w:r>
      <w:r>
        <w:rPr>
          <w:sz w:val="24"/>
          <w:szCs w:val="32"/>
        </w:rPr>
        <w:t>024</w:t>
      </w:r>
      <w:r>
        <w:rPr>
          <w:rFonts w:hint="eastAsia"/>
          <w:sz w:val="24"/>
          <w:szCs w:val="32"/>
        </w:rPr>
        <w:t>年开始执行对人工智能产品的强制监管。《人工智能法案》根据不同安全生产风险等级，将人工智能系统分为以下四个类别，并采取不同的监管措施：</w:t>
      </w:r>
    </w:p>
    <w:p w:rsidR="009B690E" w:rsidRDefault="000F7305">
      <w:pPr>
        <w:spacing w:line="360" w:lineRule="auto"/>
        <w:ind w:firstLineChars="200" w:firstLine="420"/>
        <w:jc w:val="center"/>
        <w:rPr>
          <w:sz w:val="24"/>
          <w:szCs w:val="32"/>
        </w:rPr>
      </w:pPr>
      <w:r>
        <w:rPr>
          <w:noProof/>
        </w:rPr>
        <w:drawing>
          <wp:inline distT="0" distB="0" distL="0" distR="0">
            <wp:extent cx="5274310" cy="237680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4310" cy="2376805"/>
                    </a:xfrm>
                    <a:prstGeom prst="rect">
                      <a:avLst/>
                    </a:prstGeom>
                  </pic:spPr>
                </pic:pic>
              </a:graphicData>
            </a:graphic>
          </wp:inline>
        </w:drawing>
      </w:r>
    </w:p>
    <w:p w:rsidR="009B690E" w:rsidRDefault="000F7305">
      <w:pPr>
        <w:spacing w:line="360" w:lineRule="auto"/>
        <w:ind w:firstLineChars="200" w:firstLine="480"/>
        <w:rPr>
          <w:sz w:val="24"/>
          <w:szCs w:val="32"/>
        </w:rPr>
      </w:pPr>
      <w:r>
        <w:rPr>
          <w:rFonts w:hint="eastAsia"/>
          <w:sz w:val="24"/>
          <w:szCs w:val="32"/>
        </w:rPr>
        <w:lastRenderedPageBreak/>
        <w:t>欧盟委员会、欧洲理事会和欧洲议会计划于今年</w:t>
      </w:r>
      <w:r>
        <w:rPr>
          <w:rFonts w:hint="eastAsia"/>
          <w:sz w:val="24"/>
          <w:szCs w:val="32"/>
        </w:rPr>
        <w:t>4</w:t>
      </w:r>
      <w:r>
        <w:rPr>
          <w:rFonts w:hint="eastAsia"/>
          <w:sz w:val="24"/>
          <w:szCs w:val="32"/>
        </w:rPr>
        <w:t>月份进行《人工智能法案》细节的谈判，但</w:t>
      </w:r>
      <w:r>
        <w:rPr>
          <w:rFonts w:hint="eastAsia"/>
          <w:sz w:val="24"/>
          <w:szCs w:val="32"/>
        </w:rPr>
        <w:t>ChatGPT</w:t>
      </w:r>
      <w:r>
        <w:rPr>
          <w:rFonts w:hint="eastAsia"/>
          <w:sz w:val="24"/>
          <w:szCs w:val="32"/>
        </w:rPr>
        <w:t>的出现很可能会推迟谈判的时间。其争议的焦点在于生成式</w:t>
      </w:r>
      <w:r>
        <w:rPr>
          <w:rFonts w:hint="eastAsia"/>
          <w:sz w:val="24"/>
          <w:szCs w:val="32"/>
        </w:rPr>
        <w:t>AI</w:t>
      </w:r>
      <w:r>
        <w:rPr>
          <w:rFonts w:hint="eastAsia"/>
          <w:sz w:val="24"/>
          <w:szCs w:val="32"/>
        </w:rPr>
        <w:t>系统是否应该被列在“高风险”名单，以及监管是否会阻碍人工智能的创新发展。</w:t>
      </w:r>
    </w:p>
    <w:p w:rsidR="009B690E" w:rsidRDefault="000F7305">
      <w:pPr>
        <w:spacing w:line="360" w:lineRule="auto"/>
        <w:ind w:firstLineChars="200" w:firstLine="480"/>
        <w:rPr>
          <w:sz w:val="24"/>
          <w:szCs w:val="32"/>
        </w:rPr>
      </w:pPr>
      <w:r>
        <w:rPr>
          <w:rFonts w:hint="eastAsia"/>
          <w:sz w:val="24"/>
          <w:szCs w:val="32"/>
        </w:rPr>
        <w:t>意大利监管机构在</w:t>
      </w:r>
      <w:r>
        <w:rPr>
          <w:rFonts w:hint="eastAsia"/>
          <w:sz w:val="24"/>
          <w:szCs w:val="32"/>
        </w:rPr>
        <w:t>2</w:t>
      </w:r>
      <w:r>
        <w:rPr>
          <w:sz w:val="24"/>
          <w:szCs w:val="32"/>
        </w:rPr>
        <w:t>023</w:t>
      </w:r>
      <w:r>
        <w:rPr>
          <w:rFonts w:hint="eastAsia"/>
          <w:sz w:val="24"/>
          <w:szCs w:val="32"/>
        </w:rPr>
        <w:t>年</w:t>
      </w:r>
      <w:r>
        <w:rPr>
          <w:rFonts w:hint="eastAsia"/>
          <w:sz w:val="24"/>
          <w:szCs w:val="32"/>
        </w:rPr>
        <w:t>2</w:t>
      </w:r>
      <w:r>
        <w:rPr>
          <w:rFonts w:hint="eastAsia"/>
          <w:sz w:val="24"/>
          <w:szCs w:val="32"/>
        </w:rPr>
        <w:t>月宣布取缔一款美国研发的聊天机器人“</w:t>
      </w:r>
      <w:r>
        <w:rPr>
          <w:rFonts w:hint="eastAsia"/>
          <w:sz w:val="24"/>
          <w:szCs w:val="32"/>
        </w:rPr>
        <w:t>Replika</w:t>
      </w:r>
      <w:r>
        <w:rPr>
          <w:rFonts w:hint="eastAsia"/>
          <w:sz w:val="24"/>
          <w:szCs w:val="32"/>
        </w:rPr>
        <w:t>”，理由是它不符合透明度要求，非法处理个人数据，违反了欧盟《通用数据保护条例》。</w:t>
      </w:r>
      <w:r>
        <w:rPr>
          <w:rFonts w:hint="eastAsia"/>
          <w:sz w:val="24"/>
          <w:szCs w:val="32"/>
        </w:rPr>
        <w:t>3</w:t>
      </w:r>
      <w:r>
        <w:rPr>
          <w:rFonts w:hint="eastAsia"/>
          <w:sz w:val="24"/>
          <w:szCs w:val="32"/>
        </w:rPr>
        <w:t>月</w:t>
      </w:r>
      <w:r>
        <w:rPr>
          <w:rFonts w:hint="eastAsia"/>
          <w:sz w:val="24"/>
          <w:szCs w:val="32"/>
        </w:rPr>
        <w:t>3</w:t>
      </w:r>
      <w:r>
        <w:rPr>
          <w:sz w:val="24"/>
          <w:szCs w:val="32"/>
        </w:rPr>
        <w:t>1</w:t>
      </w:r>
      <w:r>
        <w:rPr>
          <w:rFonts w:hint="eastAsia"/>
          <w:sz w:val="24"/>
          <w:szCs w:val="32"/>
        </w:rPr>
        <w:t>日，意大利个人数据保护局宣布，从即日起禁止使用聊天机器人</w:t>
      </w:r>
      <w:r>
        <w:rPr>
          <w:rFonts w:hint="eastAsia"/>
          <w:sz w:val="24"/>
          <w:szCs w:val="32"/>
        </w:rPr>
        <w:t>ChatGPT</w:t>
      </w:r>
      <w:r>
        <w:rPr>
          <w:rFonts w:hint="eastAsia"/>
          <w:sz w:val="24"/>
          <w:szCs w:val="32"/>
        </w:rPr>
        <w:t>，并限制</w:t>
      </w:r>
      <w:r>
        <w:rPr>
          <w:rFonts w:hint="eastAsia"/>
          <w:sz w:val="24"/>
          <w:szCs w:val="32"/>
        </w:rPr>
        <w:t>OpenAI</w:t>
      </w:r>
      <w:r>
        <w:rPr>
          <w:rFonts w:hint="eastAsia"/>
          <w:sz w:val="24"/>
          <w:szCs w:val="32"/>
        </w:rPr>
        <w:t>公司处理意大利用户信息，同时个人数据保护局开始立案调查。</w:t>
      </w:r>
    </w:p>
    <w:p w:rsidR="009B690E" w:rsidRDefault="000F7305">
      <w:pPr>
        <w:spacing w:line="360" w:lineRule="auto"/>
        <w:ind w:firstLineChars="200" w:firstLine="480"/>
        <w:rPr>
          <w:sz w:val="24"/>
          <w:szCs w:val="32"/>
        </w:rPr>
      </w:pPr>
      <w:r>
        <w:rPr>
          <w:rFonts w:hint="eastAsia"/>
          <w:sz w:val="24"/>
          <w:szCs w:val="32"/>
        </w:rPr>
        <w:t>3</w:t>
      </w:r>
      <w:r>
        <w:rPr>
          <w:rFonts w:hint="eastAsia"/>
          <w:sz w:val="24"/>
          <w:szCs w:val="32"/>
        </w:rPr>
        <w:t>月</w:t>
      </w:r>
      <w:r>
        <w:rPr>
          <w:rFonts w:hint="eastAsia"/>
          <w:sz w:val="24"/>
          <w:szCs w:val="32"/>
        </w:rPr>
        <w:t>29</w:t>
      </w:r>
      <w:r>
        <w:rPr>
          <w:rFonts w:hint="eastAsia"/>
          <w:sz w:val="24"/>
          <w:szCs w:val="32"/>
        </w:rPr>
        <w:t>日，英国政府发布针对人工智能产业监管的白皮书，提出</w:t>
      </w:r>
      <w:r>
        <w:rPr>
          <w:rFonts w:hint="eastAsia"/>
          <w:sz w:val="24"/>
          <w:szCs w:val="32"/>
        </w:rPr>
        <w:t>A</w:t>
      </w:r>
      <w:r>
        <w:rPr>
          <w:sz w:val="24"/>
          <w:szCs w:val="32"/>
        </w:rPr>
        <w:t>I</w:t>
      </w:r>
      <w:r>
        <w:rPr>
          <w:rFonts w:hint="eastAsia"/>
          <w:sz w:val="24"/>
          <w:szCs w:val="32"/>
        </w:rPr>
        <w:t>治理的五项原则：安全性和稳健性、透明度和可解释性、公平性、问责制和管理，以及可竞争性。未来，监管机构将基于五项原则向相关组织发布实用指南并推动立法。</w:t>
      </w:r>
    </w:p>
    <w:p w:rsidR="009B690E" w:rsidRDefault="000F7305">
      <w:pPr>
        <w:spacing w:line="360" w:lineRule="auto"/>
        <w:ind w:firstLineChars="200" w:firstLine="482"/>
        <w:jc w:val="left"/>
        <w:rPr>
          <w:b/>
          <w:sz w:val="24"/>
          <w:szCs w:val="32"/>
        </w:rPr>
      </w:pPr>
      <w:r>
        <w:rPr>
          <w:rFonts w:hint="eastAsia"/>
          <w:b/>
          <w:sz w:val="24"/>
          <w:szCs w:val="32"/>
        </w:rPr>
        <w:t>（二）美国：强调创新和发展</w:t>
      </w:r>
    </w:p>
    <w:p w:rsidR="009B690E" w:rsidRDefault="000F7305">
      <w:pPr>
        <w:spacing w:line="360" w:lineRule="auto"/>
        <w:ind w:firstLineChars="200" w:firstLine="480"/>
        <w:rPr>
          <w:sz w:val="24"/>
          <w:szCs w:val="32"/>
        </w:rPr>
      </w:pPr>
      <w:r>
        <w:rPr>
          <w:rFonts w:hint="eastAsia"/>
          <w:sz w:val="24"/>
          <w:szCs w:val="32"/>
        </w:rPr>
        <w:t>美国发布的人工智能监管文件较少，更多依靠地方自治、行业规则和个人诉讼等方式解决生成式</w:t>
      </w:r>
      <w:r>
        <w:rPr>
          <w:rFonts w:hint="eastAsia"/>
          <w:sz w:val="24"/>
          <w:szCs w:val="32"/>
        </w:rPr>
        <w:t>AI</w:t>
      </w:r>
      <w:r>
        <w:rPr>
          <w:rFonts w:hint="eastAsia"/>
          <w:sz w:val="24"/>
          <w:szCs w:val="32"/>
        </w:rPr>
        <w:t>带来的问题，监管导向以促进人工智能发展为主要目标。</w:t>
      </w:r>
    </w:p>
    <w:p w:rsidR="009B690E" w:rsidRDefault="000F7305">
      <w:pPr>
        <w:spacing w:line="360" w:lineRule="auto"/>
        <w:ind w:firstLineChars="200" w:firstLine="480"/>
        <w:rPr>
          <w:sz w:val="24"/>
          <w:szCs w:val="32"/>
        </w:rPr>
      </w:pPr>
      <w:r>
        <w:rPr>
          <w:rFonts w:hint="eastAsia"/>
          <w:sz w:val="24"/>
          <w:szCs w:val="32"/>
        </w:rPr>
        <w:t>2020</w:t>
      </w:r>
      <w:r>
        <w:rPr>
          <w:rFonts w:hint="eastAsia"/>
          <w:sz w:val="24"/>
          <w:szCs w:val="32"/>
        </w:rPr>
        <w:t>年</w:t>
      </w:r>
      <w:r>
        <w:rPr>
          <w:rFonts w:hint="eastAsia"/>
          <w:sz w:val="24"/>
          <w:szCs w:val="32"/>
        </w:rPr>
        <w:t>1</w:t>
      </w:r>
      <w:r>
        <w:rPr>
          <w:rFonts w:hint="eastAsia"/>
          <w:sz w:val="24"/>
          <w:szCs w:val="32"/>
        </w:rPr>
        <w:t>月，白宫科技政策办公室发布《人工智能应用监管指南》，该指南关注到</w:t>
      </w:r>
      <w:r>
        <w:rPr>
          <w:rFonts w:hint="eastAsia"/>
          <w:sz w:val="24"/>
          <w:szCs w:val="32"/>
        </w:rPr>
        <w:t>AI</w:t>
      </w:r>
      <w:r>
        <w:rPr>
          <w:rFonts w:hint="eastAsia"/>
          <w:sz w:val="24"/>
          <w:szCs w:val="32"/>
        </w:rPr>
        <w:t>系统在整个设计、开发、部署和操作过程中对算法和数据保护不足的风险，并提出一系列风险评估与管理方案，但其重点仍为确保监管规则不阻碍人工智能的发展。</w:t>
      </w:r>
      <w:r>
        <w:rPr>
          <w:rFonts w:hint="eastAsia"/>
          <w:sz w:val="24"/>
          <w:szCs w:val="32"/>
        </w:rPr>
        <w:t>2022</w:t>
      </w:r>
      <w:r>
        <w:rPr>
          <w:rFonts w:hint="eastAsia"/>
          <w:sz w:val="24"/>
          <w:szCs w:val="32"/>
        </w:rPr>
        <w:t>年</w:t>
      </w:r>
      <w:r>
        <w:rPr>
          <w:rFonts w:hint="eastAsia"/>
          <w:sz w:val="24"/>
          <w:szCs w:val="32"/>
        </w:rPr>
        <w:t>10</w:t>
      </w:r>
      <w:r>
        <w:rPr>
          <w:rFonts w:hint="eastAsia"/>
          <w:sz w:val="24"/>
          <w:szCs w:val="32"/>
        </w:rPr>
        <w:t>月，白宫科技政策办公室发布《人工智能权利法案蓝图》，其目的是支持制定政策和实践，列出了美国公众应该享有的五项核心权利保护：不受不安全或低效系统所害、不受算法和系统歧视、个人隐私受到保护、知晓人工智能系统的使用并理解人工智能如何和为何产生最后的结果、有权选择不使用人工智能技术。</w:t>
      </w:r>
      <w:r>
        <w:rPr>
          <w:rFonts w:hint="eastAsia"/>
          <w:sz w:val="24"/>
          <w:szCs w:val="32"/>
        </w:rPr>
        <w:t>2023</w:t>
      </w:r>
      <w:r>
        <w:rPr>
          <w:rFonts w:hint="eastAsia"/>
          <w:sz w:val="24"/>
          <w:szCs w:val="32"/>
        </w:rPr>
        <w:t>年</w:t>
      </w:r>
      <w:r>
        <w:rPr>
          <w:rFonts w:hint="eastAsia"/>
          <w:sz w:val="24"/>
          <w:szCs w:val="32"/>
        </w:rPr>
        <w:t>1</w:t>
      </w:r>
      <w:r>
        <w:rPr>
          <w:rFonts w:hint="eastAsia"/>
          <w:sz w:val="24"/>
          <w:szCs w:val="32"/>
        </w:rPr>
        <w:t>月，美国商务部</w:t>
      </w:r>
      <w:r>
        <w:rPr>
          <w:rFonts w:hint="eastAsia"/>
          <w:sz w:val="24"/>
          <w:szCs w:val="32"/>
        </w:rPr>
        <w:t>NIST</w:t>
      </w:r>
      <w:r>
        <w:rPr>
          <w:rFonts w:hint="eastAsia"/>
          <w:sz w:val="24"/>
          <w:szCs w:val="32"/>
        </w:rPr>
        <w:t>发布《人工智能风险管理框架》，该框架将可信度考量纳入设计、开发、使用和评估</w:t>
      </w:r>
      <w:r>
        <w:rPr>
          <w:rFonts w:hint="eastAsia"/>
          <w:sz w:val="24"/>
          <w:szCs w:val="32"/>
        </w:rPr>
        <w:t>AI</w:t>
      </w:r>
      <w:r>
        <w:rPr>
          <w:rFonts w:hint="eastAsia"/>
          <w:sz w:val="24"/>
          <w:szCs w:val="32"/>
        </w:rPr>
        <w:t>产品、服务和系统中，并基于其他机构的</w:t>
      </w:r>
      <w:r>
        <w:rPr>
          <w:rFonts w:hint="eastAsia"/>
          <w:sz w:val="24"/>
          <w:szCs w:val="32"/>
        </w:rPr>
        <w:t>AI</w:t>
      </w:r>
      <w:r>
        <w:rPr>
          <w:rFonts w:hint="eastAsia"/>
          <w:sz w:val="24"/>
          <w:szCs w:val="32"/>
        </w:rPr>
        <w:t>风险管理工作，确保制定过程的公开、透明，增强人工智能可信度，降低人工智能技术应用的风险。</w:t>
      </w:r>
    </w:p>
    <w:p w:rsidR="009B690E" w:rsidRDefault="000F7305">
      <w:pPr>
        <w:spacing w:line="360" w:lineRule="auto"/>
        <w:ind w:firstLineChars="200" w:firstLine="480"/>
        <w:rPr>
          <w:sz w:val="24"/>
          <w:szCs w:val="32"/>
        </w:rPr>
      </w:pPr>
      <w:r>
        <w:rPr>
          <w:rFonts w:hint="eastAsia"/>
          <w:sz w:val="24"/>
          <w:szCs w:val="32"/>
        </w:rPr>
        <w:t>总体而言，美国对人工智能的监管相对保守，政策法规较少，避免过度干预人工智能产业发展，鼓励创新，对人工智能的发展持开放态度。</w:t>
      </w:r>
    </w:p>
    <w:p w:rsidR="009B690E" w:rsidRDefault="000F7305">
      <w:pPr>
        <w:spacing w:line="360" w:lineRule="auto"/>
        <w:ind w:firstLineChars="200" w:firstLine="482"/>
        <w:rPr>
          <w:b/>
          <w:sz w:val="24"/>
          <w:szCs w:val="32"/>
        </w:rPr>
      </w:pPr>
      <w:r>
        <w:rPr>
          <w:rFonts w:hint="eastAsia"/>
          <w:b/>
          <w:sz w:val="24"/>
          <w:szCs w:val="32"/>
        </w:rPr>
        <w:t>（三）中国：兼顾安全与发展</w:t>
      </w:r>
    </w:p>
    <w:p w:rsidR="009B690E" w:rsidRDefault="000F7305">
      <w:pPr>
        <w:spacing w:line="360" w:lineRule="auto"/>
        <w:ind w:firstLineChars="200" w:firstLine="480"/>
        <w:rPr>
          <w:sz w:val="24"/>
          <w:szCs w:val="32"/>
        </w:rPr>
      </w:pPr>
      <w:r>
        <w:rPr>
          <w:rFonts w:hint="eastAsia"/>
          <w:sz w:val="24"/>
          <w:szCs w:val="32"/>
        </w:rPr>
        <w:lastRenderedPageBreak/>
        <w:t>中国在人工智能方面陆续出台多部政策文件，早期以人工智能产业促进为主，部分地方政府先试先行，提出人工智能治理的具体规范。近年来逐步关注人工智能伦理道德、算法治理及行业应用安全。</w:t>
      </w:r>
    </w:p>
    <w:p w:rsidR="009B690E" w:rsidRDefault="000F7305">
      <w:pPr>
        <w:spacing w:line="360" w:lineRule="auto"/>
        <w:ind w:firstLineChars="200" w:firstLine="480"/>
        <w:rPr>
          <w:sz w:val="24"/>
          <w:szCs w:val="32"/>
        </w:rPr>
      </w:pPr>
      <w:r>
        <w:rPr>
          <w:rFonts w:hint="eastAsia"/>
          <w:sz w:val="24"/>
          <w:szCs w:val="32"/>
        </w:rPr>
        <w:t>在促进人工智能产业发展方面，中国发布了多个产业政策文件，包括《新一代人工智能发展规划》《促进新一代人工智能产业发展三年行动计划》和《国家新一代人工智能创新发展试验区建设工作指引》等。地方层面，深圳和上海等先后出台《深圳经济特区人工智能产业促进条例》和《上海市促进人工智能产业发展条例》，积极推进人工智能与经济、生活、城市治理等领域深度融合，促进鼓励人工智能创新发展。</w:t>
      </w:r>
    </w:p>
    <w:p w:rsidR="009B690E" w:rsidRDefault="000F7305">
      <w:pPr>
        <w:spacing w:line="360" w:lineRule="auto"/>
        <w:ind w:firstLineChars="200" w:firstLine="480"/>
        <w:rPr>
          <w:sz w:val="24"/>
          <w:szCs w:val="32"/>
        </w:rPr>
      </w:pPr>
      <w:r>
        <w:rPr>
          <w:rFonts w:hint="eastAsia"/>
          <w:sz w:val="24"/>
          <w:szCs w:val="32"/>
        </w:rPr>
        <w:t>在伦理道德方面，</w:t>
      </w:r>
      <w:r>
        <w:rPr>
          <w:rFonts w:hint="eastAsia"/>
          <w:sz w:val="24"/>
          <w:szCs w:val="32"/>
        </w:rPr>
        <w:t>2</w:t>
      </w:r>
      <w:r>
        <w:rPr>
          <w:sz w:val="24"/>
          <w:szCs w:val="32"/>
        </w:rPr>
        <w:t>022</w:t>
      </w:r>
      <w:r>
        <w:rPr>
          <w:rFonts w:hint="eastAsia"/>
          <w:sz w:val="24"/>
          <w:szCs w:val="32"/>
        </w:rPr>
        <w:t>年</w:t>
      </w:r>
      <w:r>
        <w:rPr>
          <w:rFonts w:hint="eastAsia"/>
          <w:sz w:val="24"/>
          <w:szCs w:val="32"/>
        </w:rPr>
        <w:t>3</w:t>
      </w:r>
      <w:r>
        <w:rPr>
          <w:rFonts w:hint="eastAsia"/>
          <w:sz w:val="24"/>
          <w:szCs w:val="32"/>
        </w:rPr>
        <w:t>月，中办国办印发《关于加强科技伦理治理的意见》，对科技伦理治理作出顶层设计和系统部署，解决</w:t>
      </w:r>
      <w:r>
        <w:rPr>
          <w:rFonts w:hint="eastAsia"/>
          <w:sz w:val="24"/>
          <w:szCs w:val="32"/>
        </w:rPr>
        <w:t>A</w:t>
      </w:r>
      <w:r>
        <w:rPr>
          <w:sz w:val="24"/>
          <w:szCs w:val="32"/>
        </w:rPr>
        <w:t>I</w:t>
      </w:r>
      <w:r>
        <w:rPr>
          <w:rFonts w:hint="eastAsia"/>
          <w:sz w:val="24"/>
          <w:szCs w:val="32"/>
        </w:rPr>
        <w:t>带来的社会规范失序、伦理道德等问题。</w:t>
      </w:r>
      <w:r>
        <w:rPr>
          <w:rFonts w:hint="eastAsia"/>
          <w:sz w:val="24"/>
          <w:szCs w:val="32"/>
        </w:rPr>
        <w:t>2</w:t>
      </w:r>
      <w:r>
        <w:rPr>
          <w:sz w:val="24"/>
          <w:szCs w:val="32"/>
        </w:rPr>
        <w:t>023</w:t>
      </w:r>
      <w:r>
        <w:rPr>
          <w:rFonts w:hint="eastAsia"/>
          <w:sz w:val="24"/>
          <w:szCs w:val="32"/>
        </w:rPr>
        <w:t>年</w:t>
      </w:r>
      <w:r>
        <w:rPr>
          <w:rFonts w:hint="eastAsia"/>
          <w:sz w:val="24"/>
          <w:szCs w:val="32"/>
        </w:rPr>
        <w:t>4</w:t>
      </w:r>
      <w:r>
        <w:rPr>
          <w:rFonts w:hint="eastAsia"/>
          <w:sz w:val="24"/>
          <w:szCs w:val="32"/>
        </w:rPr>
        <w:t>月，科技部就《科技伦理审查办法（试行）》公开征求意见，提出从事人工智能等科技活动的单位，研究内容涉及科技伦理敏感领域的，应设立科技伦理（审查）委员会，对涉及数据和算法的科技活动，应符合国家有关数据安全的规定。</w:t>
      </w:r>
    </w:p>
    <w:p w:rsidR="009B690E" w:rsidRDefault="000F7305">
      <w:pPr>
        <w:spacing w:line="360" w:lineRule="auto"/>
        <w:ind w:firstLineChars="200" w:firstLine="480"/>
        <w:rPr>
          <w:sz w:val="24"/>
          <w:szCs w:val="32"/>
        </w:rPr>
      </w:pPr>
      <w:r>
        <w:rPr>
          <w:rFonts w:hint="eastAsia"/>
          <w:sz w:val="24"/>
          <w:szCs w:val="32"/>
        </w:rPr>
        <w:t>在算法治理方面，</w:t>
      </w:r>
      <w:r>
        <w:rPr>
          <w:rFonts w:hint="eastAsia"/>
          <w:sz w:val="24"/>
          <w:szCs w:val="32"/>
        </w:rPr>
        <w:t>2021</w:t>
      </w:r>
      <w:r>
        <w:rPr>
          <w:rFonts w:hint="eastAsia"/>
          <w:sz w:val="24"/>
          <w:szCs w:val="32"/>
        </w:rPr>
        <w:t>年</w:t>
      </w:r>
      <w:r>
        <w:rPr>
          <w:rFonts w:hint="eastAsia"/>
          <w:sz w:val="24"/>
          <w:szCs w:val="32"/>
        </w:rPr>
        <w:t>9</w:t>
      </w:r>
      <w:r>
        <w:rPr>
          <w:rFonts w:hint="eastAsia"/>
          <w:sz w:val="24"/>
          <w:szCs w:val="32"/>
        </w:rPr>
        <w:t>月国家网信办等印发《关于加强互联网信息服务算法综合治理的指导意见》，首次明确了加快构建算法安全监管体系的要求。同年</w:t>
      </w:r>
      <w:r>
        <w:rPr>
          <w:rFonts w:hint="eastAsia"/>
          <w:sz w:val="24"/>
          <w:szCs w:val="32"/>
        </w:rPr>
        <w:t>1</w:t>
      </w:r>
      <w:r>
        <w:rPr>
          <w:sz w:val="24"/>
          <w:szCs w:val="32"/>
        </w:rPr>
        <w:t>2</w:t>
      </w:r>
      <w:r>
        <w:rPr>
          <w:rFonts w:hint="eastAsia"/>
          <w:sz w:val="24"/>
          <w:szCs w:val="32"/>
        </w:rPr>
        <w:t>月，网信办等发布《互联网信息服务算法推荐管理规定》，要求算法推荐服务提供者保护用户权益、履行算法备案等义务并特别强调未成年人保护。</w:t>
      </w:r>
    </w:p>
    <w:p w:rsidR="009B690E" w:rsidRDefault="000F7305">
      <w:pPr>
        <w:spacing w:line="360" w:lineRule="auto"/>
        <w:ind w:firstLineChars="200" w:firstLine="480"/>
        <w:rPr>
          <w:sz w:val="24"/>
          <w:szCs w:val="32"/>
        </w:rPr>
      </w:pPr>
      <w:r>
        <w:rPr>
          <w:rFonts w:hint="eastAsia"/>
          <w:sz w:val="24"/>
          <w:szCs w:val="32"/>
        </w:rPr>
        <w:t>在行业应用安全方面，</w:t>
      </w:r>
      <w:r>
        <w:rPr>
          <w:rFonts w:hint="eastAsia"/>
          <w:sz w:val="24"/>
          <w:szCs w:val="32"/>
        </w:rPr>
        <w:t>2</w:t>
      </w:r>
      <w:r>
        <w:rPr>
          <w:sz w:val="24"/>
          <w:szCs w:val="32"/>
        </w:rPr>
        <w:t>022</w:t>
      </w:r>
      <w:r>
        <w:rPr>
          <w:rFonts w:hint="eastAsia"/>
          <w:sz w:val="24"/>
          <w:szCs w:val="32"/>
        </w:rPr>
        <w:t>年</w:t>
      </w:r>
      <w:r>
        <w:rPr>
          <w:rFonts w:hint="eastAsia"/>
          <w:sz w:val="24"/>
          <w:szCs w:val="32"/>
        </w:rPr>
        <w:t>1</w:t>
      </w:r>
      <w:r>
        <w:rPr>
          <w:sz w:val="24"/>
          <w:szCs w:val="32"/>
        </w:rPr>
        <w:t>1</w:t>
      </w:r>
      <w:r>
        <w:rPr>
          <w:rFonts w:hint="eastAsia"/>
          <w:sz w:val="24"/>
          <w:szCs w:val="32"/>
        </w:rPr>
        <w:t>月，国家网信办等联合发布《互联网信息服务深度合成管理规定》，该规定明确生成式</w:t>
      </w:r>
      <w:r>
        <w:rPr>
          <w:rFonts w:hint="eastAsia"/>
          <w:sz w:val="24"/>
          <w:szCs w:val="32"/>
        </w:rPr>
        <w:t>AI</w:t>
      </w:r>
      <w:r>
        <w:rPr>
          <w:rFonts w:hint="eastAsia"/>
          <w:sz w:val="24"/>
          <w:szCs w:val="32"/>
        </w:rPr>
        <w:t>应用服务提供者、技术支持者和服务使用者等各方的法定义务。</w:t>
      </w:r>
      <w:r>
        <w:rPr>
          <w:rFonts w:hint="eastAsia"/>
          <w:sz w:val="24"/>
          <w:szCs w:val="32"/>
        </w:rPr>
        <w:t>4</w:t>
      </w:r>
      <w:r>
        <w:rPr>
          <w:rFonts w:hint="eastAsia"/>
          <w:sz w:val="24"/>
          <w:szCs w:val="32"/>
        </w:rPr>
        <w:t>月</w:t>
      </w:r>
      <w:r>
        <w:rPr>
          <w:rFonts w:hint="eastAsia"/>
          <w:sz w:val="24"/>
          <w:szCs w:val="32"/>
        </w:rPr>
        <w:t>11</w:t>
      </w:r>
      <w:r>
        <w:rPr>
          <w:rFonts w:hint="eastAsia"/>
          <w:sz w:val="24"/>
          <w:szCs w:val="32"/>
        </w:rPr>
        <w:t>日，国家网信办发布《生成式人工智能服务管理办法（征求意见稿）》，从国家层面支持人工智能技术发展，对提供生成式人工智能产品或服务的提供者以及用户均做出详细规定。一是提供者应保证内容真实准确、尊重社会公德、公序良俗，训练数据应合法合规，人工标注规则应清晰、具体、可操作，不得利用算法、数据、平台等优势实施不公平竞争；二是对用户来说，要求提供真实身份信息。</w:t>
      </w:r>
    </w:p>
    <w:p w:rsidR="009B690E" w:rsidRDefault="000F7305">
      <w:pPr>
        <w:spacing w:line="360" w:lineRule="auto"/>
        <w:ind w:firstLineChars="200" w:firstLine="480"/>
        <w:rPr>
          <w:sz w:val="24"/>
          <w:szCs w:val="32"/>
        </w:rPr>
      </w:pPr>
      <w:r>
        <w:rPr>
          <w:rFonts w:hint="eastAsia"/>
          <w:sz w:val="24"/>
          <w:szCs w:val="32"/>
        </w:rPr>
        <w:t>总体而言，中国对人工智能采取发展与安全并重的策略，在大力促进人工智能技术应用的同时，也从多维度、多层级、多领域探索人工智能的治理之道。</w:t>
      </w:r>
    </w:p>
    <w:p w:rsidR="009B690E" w:rsidRDefault="000F7305">
      <w:pPr>
        <w:spacing w:line="360" w:lineRule="auto"/>
        <w:ind w:firstLineChars="200" w:firstLine="482"/>
        <w:rPr>
          <w:b/>
          <w:sz w:val="24"/>
          <w:szCs w:val="32"/>
        </w:rPr>
      </w:pPr>
      <w:r>
        <w:rPr>
          <w:rFonts w:hint="eastAsia"/>
          <w:b/>
          <w:sz w:val="24"/>
          <w:szCs w:val="32"/>
        </w:rPr>
        <w:lastRenderedPageBreak/>
        <w:t>二、探索人工智能监管与创新发展的平衡</w:t>
      </w:r>
    </w:p>
    <w:p w:rsidR="009B690E" w:rsidRDefault="000F7305">
      <w:pPr>
        <w:spacing w:line="360" w:lineRule="auto"/>
        <w:ind w:firstLineChars="200" w:firstLine="480"/>
        <w:rPr>
          <w:sz w:val="24"/>
          <w:szCs w:val="32"/>
        </w:rPr>
      </w:pPr>
      <w:r>
        <w:rPr>
          <w:rFonts w:hint="eastAsia"/>
          <w:sz w:val="24"/>
          <w:szCs w:val="32"/>
        </w:rPr>
        <w:t>当前，不少人工智能公司担心</w:t>
      </w:r>
      <w:r>
        <w:rPr>
          <w:rFonts w:hint="eastAsia"/>
          <w:sz w:val="24"/>
          <w:szCs w:val="32"/>
        </w:rPr>
        <w:t>ChatGPT</w:t>
      </w:r>
      <w:r>
        <w:rPr>
          <w:rFonts w:hint="eastAsia"/>
          <w:sz w:val="24"/>
          <w:szCs w:val="32"/>
        </w:rPr>
        <w:t>会引发更高的监管要求。根据行业机构</w:t>
      </w:r>
      <w:r>
        <w:rPr>
          <w:rFonts w:hint="eastAsia"/>
          <w:sz w:val="24"/>
          <w:szCs w:val="32"/>
        </w:rPr>
        <w:t>appliedAI</w:t>
      </w:r>
      <w:r>
        <w:rPr>
          <w:rFonts w:hint="eastAsia"/>
          <w:sz w:val="24"/>
          <w:szCs w:val="32"/>
        </w:rPr>
        <w:t>的调查显示，</w:t>
      </w:r>
      <w:r>
        <w:rPr>
          <w:rFonts w:hint="eastAsia"/>
          <w:sz w:val="24"/>
          <w:szCs w:val="32"/>
        </w:rPr>
        <w:t>51%</w:t>
      </w:r>
      <w:r>
        <w:rPr>
          <w:rFonts w:hint="eastAsia"/>
          <w:sz w:val="24"/>
          <w:szCs w:val="32"/>
        </w:rPr>
        <w:t>的从业者预计，受欧盟《人工智能法案》的影响，公司的人工智能研发将放缓。人工智能是科技强国必争之地，我国在进行人工智能监管时，保护公众利益的同时又不过度限制人工智能的创新发展显得尤为重要。</w:t>
      </w:r>
    </w:p>
    <w:p w:rsidR="009B690E" w:rsidRDefault="000F7305">
      <w:pPr>
        <w:spacing w:line="360" w:lineRule="auto"/>
        <w:ind w:firstLineChars="200" w:firstLine="482"/>
        <w:rPr>
          <w:sz w:val="24"/>
          <w:szCs w:val="32"/>
        </w:rPr>
      </w:pPr>
      <w:r>
        <w:rPr>
          <w:rFonts w:hint="eastAsia"/>
          <w:b/>
          <w:sz w:val="24"/>
          <w:szCs w:val="32"/>
        </w:rPr>
        <w:t>第一，推动形成具有广泛共识的国际人工智能治理框架和标准规范。</w:t>
      </w:r>
      <w:r>
        <w:rPr>
          <w:rFonts w:hint="eastAsia"/>
          <w:sz w:val="24"/>
          <w:szCs w:val="32"/>
        </w:rPr>
        <w:t>政策制定过程应鼓励公私合作，积极吸收学术界、产业界和民间社会的意见，以更好地了解技术趋势和行业需求，制定切实可行的政策，促进人工智能的发展和创新。同时，鼓励跨国界的交流合作，在充分尊重各国人工智能治理原则和实践的前提下，推动形成具有广泛共识的国际人工智能治理框架和标准规范。</w:t>
      </w:r>
    </w:p>
    <w:p w:rsidR="009B690E" w:rsidRDefault="000F7305">
      <w:pPr>
        <w:spacing w:line="360" w:lineRule="auto"/>
        <w:ind w:firstLineChars="200" w:firstLine="482"/>
        <w:rPr>
          <w:b/>
          <w:sz w:val="24"/>
          <w:szCs w:val="32"/>
        </w:rPr>
      </w:pPr>
      <w:r>
        <w:rPr>
          <w:rFonts w:hint="eastAsia"/>
          <w:b/>
          <w:sz w:val="24"/>
          <w:szCs w:val="32"/>
        </w:rPr>
        <w:t>第二，对</w:t>
      </w:r>
      <w:r>
        <w:rPr>
          <w:rFonts w:hint="eastAsia"/>
          <w:b/>
          <w:sz w:val="24"/>
          <w:szCs w:val="32"/>
        </w:rPr>
        <w:t>A</w:t>
      </w:r>
      <w:r>
        <w:rPr>
          <w:b/>
          <w:sz w:val="24"/>
          <w:szCs w:val="32"/>
        </w:rPr>
        <w:t>I</w:t>
      </w:r>
      <w:r>
        <w:rPr>
          <w:rFonts w:hint="eastAsia"/>
          <w:b/>
          <w:sz w:val="24"/>
          <w:szCs w:val="32"/>
        </w:rPr>
        <w:t>系统分类监管。</w:t>
      </w:r>
      <w:r>
        <w:rPr>
          <w:rFonts w:hint="eastAsia"/>
          <w:sz w:val="24"/>
          <w:szCs w:val="32"/>
        </w:rPr>
        <w:t>欧盟发布的《人工智能法案》将</w:t>
      </w:r>
      <w:r>
        <w:rPr>
          <w:sz w:val="24"/>
          <w:szCs w:val="32"/>
        </w:rPr>
        <w:t>AI</w:t>
      </w:r>
      <w:r>
        <w:rPr>
          <w:rFonts w:hint="eastAsia"/>
          <w:sz w:val="24"/>
          <w:szCs w:val="32"/>
        </w:rPr>
        <w:t>系统分为四个类别进行治理的方式值得借鉴。分类监管是一种基于风险的监管形式，强调的是监管不应以消除所有潜在损害为目标，而应关注潜在不利后果的概率及影响。针对不同风险程度的人工</w:t>
      </w:r>
      <w:r w:rsidR="004C2B16">
        <w:rPr>
          <w:rFonts w:hint="eastAsia"/>
          <w:sz w:val="24"/>
          <w:szCs w:val="32"/>
        </w:rPr>
        <w:t>智能应用采取相应的监管措施，这样可以在保护公众利益的同时促进</w:t>
      </w:r>
      <w:bookmarkStart w:id="0" w:name="_GoBack"/>
      <w:bookmarkEnd w:id="0"/>
      <w:r>
        <w:rPr>
          <w:rFonts w:hint="eastAsia"/>
          <w:sz w:val="24"/>
          <w:szCs w:val="32"/>
        </w:rPr>
        <w:t>人工智能的创新发展。</w:t>
      </w:r>
    </w:p>
    <w:p w:rsidR="009B690E" w:rsidRDefault="000F7305">
      <w:pPr>
        <w:spacing w:line="360" w:lineRule="auto"/>
        <w:ind w:firstLineChars="200" w:firstLine="482"/>
        <w:rPr>
          <w:sz w:val="24"/>
          <w:szCs w:val="32"/>
        </w:rPr>
      </w:pPr>
      <w:r>
        <w:rPr>
          <w:rFonts w:hint="eastAsia"/>
          <w:b/>
          <w:sz w:val="24"/>
          <w:szCs w:val="32"/>
        </w:rPr>
        <w:t>第三，政策保持灵活性的同时守住安全底线。</w:t>
      </w:r>
      <w:r>
        <w:rPr>
          <w:rFonts w:hint="eastAsia"/>
          <w:sz w:val="24"/>
          <w:szCs w:val="32"/>
        </w:rPr>
        <w:t>针对人工智能领域快速变化的环境，政策制定者应具备灵活性和适应性，随时根据评估结果进行调整，以确保政策不会对创新产生不利影响。同时，守住安全的底线不能动摇，在人工智能的技术与场景中，同样需要秉持发展与安全并重的理念，确保各项技术行稳致远。</w:t>
      </w:r>
    </w:p>
    <w:sectPr w:rsidR="009B69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2E78" w:rsidRDefault="002E2E78" w:rsidP="00A02839">
      <w:r>
        <w:separator/>
      </w:r>
    </w:p>
  </w:endnote>
  <w:endnote w:type="continuationSeparator" w:id="0">
    <w:p w:rsidR="002E2E78" w:rsidRDefault="002E2E78" w:rsidP="00A02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2E78" w:rsidRDefault="002E2E78" w:rsidP="00A02839">
      <w:r>
        <w:separator/>
      </w:r>
    </w:p>
  </w:footnote>
  <w:footnote w:type="continuationSeparator" w:id="0">
    <w:p w:rsidR="002E2E78" w:rsidRDefault="002E2E78" w:rsidP="00A028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2F52F1"/>
    <w:rsid w:val="000003EC"/>
    <w:rsid w:val="00004163"/>
    <w:rsid w:val="00004834"/>
    <w:rsid w:val="000069D4"/>
    <w:rsid w:val="0001340F"/>
    <w:rsid w:val="00015864"/>
    <w:rsid w:val="00030CFB"/>
    <w:rsid w:val="00037836"/>
    <w:rsid w:val="0007142B"/>
    <w:rsid w:val="00074705"/>
    <w:rsid w:val="0008672D"/>
    <w:rsid w:val="000B563B"/>
    <w:rsid w:val="000D5389"/>
    <w:rsid w:val="000F5E5B"/>
    <w:rsid w:val="000F7305"/>
    <w:rsid w:val="001051EB"/>
    <w:rsid w:val="00120465"/>
    <w:rsid w:val="0012330E"/>
    <w:rsid w:val="001319FA"/>
    <w:rsid w:val="0013783E"/>
    <w:rsid w:val="00152542"/>
    <w:rsid w:val="00154B5D"/>
    <w:rsid w:val="00156C8D"/>
    <w:rsid w:val="00162E63"/>
    <w:rsid w:val="0017608D"/>
    <w:rsid w:val="001A473B"/>
    <w:rsid w:val="001B5EAE"/>
    <w:rsid w:val="001C3A27"/>
    <w:rsid w:val="001F4C87"/>
    <w:rsid w:val="001F528F"/>
    <w:rsid w:val="001F6B83"/>
    <w:rsid w:val="0020262E"/>
    <w:rsid w:val="00202CCC"/>
    <w:rsid w:val="00211A43"/>
    <w:rsid w:val="00241438"/>
    <w:rsid w:val="00260672"/>
    <w:rsid w:val="00272E44"/>
    <w:rsid w:val="00281DCE"/>
    <w:rsid w:val="00287384"/>
    <w:rsid w:val="00292CA7"/>
    <w:rsid w:val="002B6FC8"/>
    <w:rsid w:val="002D0151"/>
    <w:rsid w:val="002E2E78"/>
    <w:rsid w:val="002E3260"/>
    <w:rsid w:val="002E59F9"/>
    <w:rsid w:val="002E65F9"/>
    <w:rsid w:val="002F52F1"/>
    <w:rsid w:val="00302B16"/>
    <w:rsid w:val="00304C04"/>
    <w:rsid w:val="00305C7B"/>
    <w:rsid w:val="00354C08"/>
    <w:rsid w:val="0036119A"/>
    <w:rsid w:val="003665F5"/>
    <w:rsid w:val="00367DD9"/>
    <w:rsid w:val="00375332"/>
    <w:rsid w:val="00385B0C"/>
    <w:rsid w:val="00395AF2"/>
    <w:rsid w:val="003A1D66"/>
    <w:rsid w:val="003A203A"/>
    <w:rsid w:val="003A272D"/>
    <w:rsid w:val="003A5B2A"/>
    <w:rsid w:val="003C28F9"/>
    <w:rsid w:val="003C58ED"/>
    <w:rsid w:val="003D4DD9"/>
    <w:rsid w:val="003F1BBE"/>
    <w:rsid w:val="00401F0D"/>
    <w:rsid w:val="00406598"/>
    <w:rsid w:val="00411239"/>
    <w:rsid w:val="00413B64"/>
    <w:rsid w:val="00415C32"/>
    <w:rsid w:val="0042207D"/>
    <w:rsid w:val="00424797"/>
    <w:rsid w:val="0045110F"/>
    <w:rsid w:val="00451DA0"/>
    <w:rsid w:val="004544AB"/>
    <w:rsid w:val="004762DE"/>
    <w:rsid w:val="00477C51"/>
    <w:rsid w:val="00487CAE"/>
    <w:rsid w:val="004927F6"/>
    <w:rsid w:val="00496BCD"/>
    <w:rsid w:val="00496DCB"/>
    <w:rsid w:val="004A004E"/>
    <w:rsid w:val="004C0359"/>
    <w:rsid w:val="004C2B16"/>
    <w:rsid w:val="004C2D81"/>
    <w:rsid w:val="004C752E"/>
    <w:rsid w:val="004F04E0"/>
    <w:rsid w:val="00560A17"/>
    <w:rsid w:val="00560FD9"/>
    <w:rsid w:val="00563187"/>
    <w:rsid w:val="00566243"/>
    <w:rsid w:val="00566ED6"/>
    <w:rsid w:val="005952FF"/>
    <w:rsid w:val="005B3FDF"/>
    <w:rsid w:val="005B78E2"/>
    <w:rsid w:val="005C3D90"/>
    <w:rsid w:val="005E0499"/>
    <w:rsid w:val="005F4FA6"/>
    <w:rsid w:val="0060217B"/>
    <w:rsid w:val="006023DB"/>
    <w:rsid w:val="00627AAB"/>
    <w:rsid w:val="00656F59"/>
    <w:rsid w:val="00665210"/>
    <w:rsid w:val="00666493"/>
    <w:rsid w:val="0066658E"/>
    <w:rsid w:val="00676D94"/>
    <w:rsid w:val="00685383"/>
    <w:rsid w:val="00687AB1"/>
    <w:rsid w:val="00690690"/>
    <w:rsid w:val="00695486"/>
    <w:rsid w:val="006A5C17"/>
    <w:rsid w:val="006B598B"/>
    <w:rsid w:val="006E1709"/>
    <w:rsid w:val="006E268C"/>
    <w:rsid w:val="006E426F"/>
    <w:rsid w:val="006F1BC3"/>
    <w:rsid w:val="00704F2F"/>
    <w:rsid w:val="0071275D"/>
    <w:rsid w:val="0071515D"/>
    <w:rsid w:val="00717988"/>
    <w:rsid w:val="007238C1"/>
    <w:rsid w:val="007343FD"/>
    <w:rsid w:val="00755124"/>
    <w:rsid w:val="00763CC9"/>
    <w:rsid w:val="007644D3"/>
    <w:rsid w:val="0077316D"/>
    <w:rsid w:val="007763C0"/>
    <w:rsid w:val="00776447"/>
    <w:rsid w:val="00787D47"/>
    <w:rsid w:val="00791BD7"/>
    <w:rsid w:val="00797E39"/>
    <w:rsid w:val="007A2BAA"/>
    <w:rsid w:val="007B0B3B"/>
    <w:rsid w:val="007B2CD4"/>
    <w:rsid w:val="007C51F5"/>
    <w:rsid w:val="007E0AAD"/>
    <w:rsid w:val="007E4994"/>
    <w:rsid w:val="007E7770"/>
    <w:rsid w:val="007F7174"/>
    <w:rsid w:val="00804DF1"/>
    <w:rsid w:val="008222F2"/>
    <w:rsid w:val="00830E58"/>
    <w:rsid w:val="00840675"/>
    <w:rsid w:val="00845976"/>
    <w:rsid w:val="008660CD"/>
    <w:rsid w:val="0088469B"/>
    <w:rsid w:val="00893D65"/>
    <w:rsid w:val="0089772A"/>
    <w:rsid w:val="008C598A"/>
    <w:rsid w:val="00903758"/>
    <w:rsid w:val="009041F7"/>
    <w:rsid w:val="00912594"/>
    <w:rsid w:val="00927D03"/>
    <w:rsid w:val="00943A90"/>
    <w:rsid w:val="00960576"/>
    <w:rsid w:val="009646A7"/>
    <w:rsid w:val="0096503E"/>
    <w:rsid w:val="009710E7"/>
    <w:rsid w:val="0098449C"/>
    <w:rsid w:val="00987EBE"/>
    <w:rsid w:val="009A4370"/>
    <w:rsid w:val="009B5DC3"/>
    <w:rsid w:val="009B690E"/>
    <w:rsid w:val="009C46C6"/>
    <w:rsid w:val="009C4D25"/>
    <w:rsid w:val="009D1E99"/>
    <w:rsid w:val="009D42EE"/>
    <w:rsid w:val="009D5DCB"/>
    <w:rsid w:val="009E0C68"/>
    <w:rsid w:val="009F32BF"/>
    <w:rsid w:val="009F7D1F"/>
    <w:rsid w:val="00A02839"/>
    <w:rsid w:val="00A032C2"/>
    <w:rsid w:val="00A74F27"/>
    <w:rsid w:val="00A8281A"/>
    <w:rsid w:val="00A9055D"/>
    <w:rsid w:val="00A90F93"/>
    <w:rsid w:val="00A9194F"/>
    <w:rsid w:val="00A95893"/>
    <w:rsid w:val="00AA6569"/>
    <w:rsid w:val="00AC0920"/>
    <w:rsid w:val="00AC23E3"/>
    <w:rsid w:val="00AC7838"/>
    <w:rsid w:val="00AD1A32"/>
    <w:rsid w:val="00AD2B84"/>
    <w:rsid w:val="00AE3612"/>
    <w:rsid w:val="00AE4FA0"/>
    <w:rsid w:val="00AE6828"/>
    <w:rsid w:val="00AF62C4"/>
    <w:rsid w:val="00AF7F79"/>
    <w:rsid w:val="00B17210"/>
    <w:rsid w:val="00B218CA"/>
    <w:rsid w:val="00B6335D"/>
    <w:rsid w:val="00B635F4"/>
    <w:rsid w:val="00B64E3B"/>
    <w:rsid w:val="00B72095"/>
    <w:rsid w:val="00B8115E"/>
    <w:rsid w:val="00BA06F9"/>
    <w:rsid w:val="00BB67C6"/>
    <w:rsid w:val="00BC1669"/>
    <w:rsid w:val="00BC3788"/>
    <w:rsid w:val="00BE2F20"/>
    <w:rsid w:val="00BE417C"/>
    <w:rsid w:val="00C016F4"/>
    <w:rsid w:val="00C06798"/>
    <w:rsid w:val="00C149EC"/>
    <w:rsid w:val="00C43E36"/>
    <w:rsid w:val="00C528AE"/>
    <w:rsid w:val="00C769A5"/>
    <w:rsid w:val="00C8006E"/>
    <w:rsid w:val="00C8266A"/>
    <w:rsid w:val="00CC4B0F"/>
    <w:rsid w:val="00CC639A"/>
    <w:rsid w:val="00CC77FB"/>
    <w:rsid w:val="00CD47E7"/>
    <w:rsid w:val="00CD50C8"/>
    <w:rsid w:val="00CD5A4C"/>
    <w:rsid w:val="00CE3ADD"/>
    <w:rsid w:val="00CF383F"/>
    <w:rsid w:val="00CF6B1F"/>
    <w:rsid w:val="00D0235C"/>
    <w:rsid w:val="00D031CD"/>
    <w:rsid w:val="00D06E61"/>
    <w:rsid w:val="00D11A9C"/>
    <w:rsid w:val="00D1611A"/>
    <w:rsid w:val="00D21292"/>
    <w:rsid w:val="00D431D9"/>
    <w:rsid w:val="00D445BD"/>
    <w:rsid w:val="00D53EEF"/>
    <w:rsid w:val="00D85CB1"/>
    <w:rsid w:val="00D86716"/>
    <w:rsid w:val="00D921D7"/>
    <w:rsid w:val="00D9360D"/>
    <w:rsid w:val="00DA11C6"/>
    <w:rsid w:val="00DB3579"/>
    <w:rsid w:val="00DC79C3"/>
    <w:rsid w:val="00DD27E0"/>
    <w:rsid w:val="00DD6FAF"/>
    <w:rsid w:val="00DE56C9"/>
    <w:rsid w:val="00DF0DCB"/>
    <w:rsid w:val="00DF1E6B"/>
    <w:rsid w:val="00E02BFC"/>
    <w:rsid w:val="00E32A7F"/>
    <w:rsid w:val="00E373AE"/>
    <w:rsid w:val="00E433A0"/>
    <w:rsid w:val="00E56418"/>
    <w:rsid w:val="00E95278"/>
    <w:rsid w:val="00EA053A"/>
    <w:rsid w:val="00EA3D14"/>
    <w:rsid w:val="00EA46C1"/>
    <w:rsid w:val="00EA6283"/>
    <w:rsid w:val="00EB0283"/>
    <w:rsid w:val="00EB3C75"/>
    <w:rsid w:val="00EB5CA4"/>
    <w:rsid w:val="00EE2A89"/>
    <w:rsid w:val="00F06C97"/>
    <w:rsid w:val="00F113C6"/>
    <w:rsid w:val="00F55CB2"/>
    <w:rsid w:val="00F70CD4"/>
    <w:rsid w:val="00F73032"/>
    <w:rsid w:val="00F9169C"/>
    <w:rsid w:val="00FA268C"/>
    <w:rsid w:val="00FC09EC"/>
    <w:rsid w:val="00FD18EC"/>
    <w:rsid w:val="00FE0941"/>
    <w:rsid w:val="00FE375F"/>
    <w:rsid w:val="00FE3CBC"/>
    <w:rsid w:val="00FE485F"/>
    <w:rsid w:val="00FE4D68"/>
    <w:rsid w:val="07195A00"/>
    <w:rsid w:val="0FEE047E"/>
    <w:rsid w:val="13C70671"/>
    <w:rsid w:val="5E8F0FA0"/>
    <w:rsid w:val="62DD22DA"/>
    <w:rsid w:val="6ADA2C0B"/>
    <w:rsid w:val="71792747"/>
    <w:rsid w:val="746F7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D2EF35"/>
  <w15:docId w15:val="{3ABB40B8-7C06-4427-8FD9-CA6B891FB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spacing w:beforeAutospacing="1" w:afterAutospacing="1"/>
      <w:jc w:val="left"/>
    </w:pPr>
    <w:rPr>
      <w:rFonts w:cs="Times New Roman"/>
      <w:kern w:val="0"/>
      <w:sz w:val="24"/>
    </w:rPr>
  </w:style>
  <w:style w:type="table" w:styleId="aa">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qFormat/>
    <w:rPr>
      <w:b/>
    </w:rPr>
  </w:style>
  <w:style w:type="character" w:customStyle="1" w:styleId="a8">
    <w:name w:val="页眉 字符"/>
    <w:basedOn w:val="a0"/>
    <w:link w:val="a7"/>
    <w:qFormat/>
    <w:rPr>
      <w:rFonts w:asciiTheme="minorHAnsi" w:eastAsiaTheme="minorEastAsia" w:hAnsiTheme="minorHAnsi" w:cstheme="minorBidi"/>
      <w:kern w:val="2"/>
      <w:sz w:val="18"/>
      <w:szCs w:val="18"/>
    </w:rPr>
  </w:style>
  <w:style w:type="character" w:customStyle="1" w:styleId="a6">
    <w:name w:val="页脚 字符"/>
    <w:basedOn w:val="a0"/>
    <w:link w:val="a5"/>
    <w:qFormat/>
    <w:rPr>
      <w:rFonts w:asciiTheme="minorHAnsi" w:eastAsiaTheme="minorEastAsia" w:hAnsiTheme="minorHAnsi" w:cstheme="minorBidi"/>
      <w:kern w:val="2"/>
      <w:sz w:val="18"/>
      <w:szCs w:val="18"/>
    </w:rPr>
  </w:style>
  <w:style w:type="character" w:customStyle="1" w:styleId="a4">
    <w:name w:val="批注框文本 字符"/>
    <w:basedOn w:val="a0"/>
    <w:link w:val="a3"/>
    <w:qFormat/>
    <w:rPr>
      <w:rFonts w:asciiTheme="minorHAnsi" w:eastAsiaTheme="minorEastAsia" w:hAnsiTheme="minorHAnsi" w:cstheme="minorBidi"/>
      <w:kern w:val="2"/>
      <w:sz w:val="18"/>
      <w:szCs w:val="18"/>
    </w:rPr>
  </w:style>
  <w:style w:type="paragraph" w:styleId="ac">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459</Words>
  <Characters>2621</Characters>
  <Application>Microsoft Office Word</Application>
  <DocSecurity>0</DocSecurity>
  <Lines>21</Lines>
  <Paragraphs>6</Paragraphs>
  <ScaleCrop>false</ScaleCrop>
  <Company>Microsoft</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杨庆丰</cp:lastModifiedBy>
  <cp:revision>3</cp:revision>
  <dcterms:created xsi:type="dcterms:W3CDTF">2023-04-12T03:29:00Z</dcterms:created>
  <dcterms:modified xsi:type="dcterms:W3CDTF">2023-04-12T06:09:00Z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ACDDB73877E840F982352E3404410634</vt:lpwstr>
  </property>
</Properties>
</file>