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Style w:val="10"/>
          <w:rFonts w:hint="eastAsia" w:ascii="仿宋" w:hAnsi="仿宋" w:eastAsia="仿宋" w:cs="仿宋"/>
          <w:bCs/>
          <w:i w:val="0"/>
          <w:iCs w:val="0"/>
          <w:caps w:val="0"/>
          <w:color w:val="404040"/>
          <w:spacing w:val="0"/>
          <w:kern w:val="0"/>
          <w:sz w:val="24"/>
          <w:szCs w:val="24"/>
          <w:highlight w:val="none"/>
          <w:lang w:val="en-US" w:eastAsia="zh-CN" w:bidi="ar"/>
        </w:rPr>
      </w:pPr>
      <w:bookmarkStart w:id="0" w:name="OLE_LINK5"/>
      <w:bookmarkStart w:id="1" w:name="OLE_LINK10"/>
      <w:r>
        <w:rPr>
          <w:rStyle w:val="10"/>
          <w:rFonts w:hint="eastAsia" w:ascii="仿宋" w:hAnsi="仿宋" w:eastAsia="仿宋" w:cs="仿宋"/>
          <w:b/>
          <w:i w:val="0"/>
          <w:iCs w:val="0"/>
          <w:caps w:val="0"/>
          <w:color w:val="404040"/>
          <w:spacing w:val="0"/>
          <w:sz w:val="24"/>
          <w:szCs w:val="24"/>
          <w:highlight w:val="none"/>
        </w:rPr>
        <w:t>AI眼镜市场发展洞察与</w:t>
      </w:r>
      <w:r>
        <w:rPr>
          <w:rStyle w:val="10"/>
          <w:rFonts w:hint="eastAsia" w:ascii="仿宋" w:hAnsi="仿宋" w:eastAsia="仿宋" w:cs="仿宋"/>
          <w:bCs/>
          <w:i w:val="0"/>
          <w:iCs w:val="0"/>
          <w:caps w:val="0"/>
          <w:color w:val="404040"/>
          <w:spacing w:val="0"/>
          <w:kern w:val="0"/>
          <w:sz w:val="24"/>
          <w:szCs w:val="24"/>
          <w:highlight w:val="none"/>
          <w:lang w:val="en-US" w:eastAsia="zh-CN" w:bidi="ar"/>
        </w:rPr>
        <w:t>三大运营商的对标启示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随着多模态大模型与智能硬件的深度融合，AI眼镜正处于创新爆发与试商用探索的关键阶段。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对运营商来说，在传统业务增长动能减弱的背景下，AI眼镜</w:t>
      </w:r>
      <w:r>
        <w:rPr>
          <w:rFonts w:hint="eastAsia" w:ascii="仿宋" w:hAnsi="仿宋" w:eastAsia="仿宋" w:cs="仿宋"/>
          <w:sz w:val="24"/>
        </w:rPr>
        <w:t>作为大模型时代AI终端掌握流量的关键入口，有望成为运营商掌握AI流量分发入口和生态价值的关键抓手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。本文从AI眼镜现状、趋势和竞争格局入手，并对三大运营商的布局进行深入分析，总结中国电信目前发展问题，为其AI眼镜的战略发展提供针对性建议。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default"/>
          <w:b/>
          <w:bCs/>
          <w:lang w:val="en-US"/>
        </w:rPr>
      </w:pPr>
      <w:bookmarkStart w:id="2" w:name="OLE_LINK1"/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一、</w:t>
      </w: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AI眼镜现状、趋势与竞争格局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2" w:firstLineChars="200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</w:pPr>
      <w:bookmarkStart w:id="3" w:name="OLE_LINK2"/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1.AI眼镜在2025CES大放异彩，未来前景广阔，有望成为下一代人机交互核心入口</w:t>
      </w:r>
    </w:p>
    <w:bookmarkEnd w:id="3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在今年的国际消费电子展CES上，AI眼镜成为焦点，约60家中国企业和超过80家海外企业参与AI眼镜相关展示，展出的AI眼镜产品近50种。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从消费级市场看，AI眼镜正以轻量化、场景化功能渗透日常生活。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主流产品聚焦“拍摄+翻译+智能助手”的核心功能矩阵。雷鸟V3搭载索尼IMX681传感器，支持0.8秒极速抓拍与HDR录像，满足Vlog创作需求；闪极loomos以999元价格带提供实时语音翻译，支持16种语言离线处理；Rokid Glasses集成通义千问大模型，可完成AI导航、AI健康提醒等任务；小度AI眼镜通过文心大模型实现“边走边问”式知识问答。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行业级市场则呈现专业化、定制化特征，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AI眼镜成为生产力革新工具。工业领域，Rokid Glasses通过AR远程协作系统实现设备故障的“第一视角诊断”；医疗场景中，李未可View眼镜探索了慢性病患者的远程体征监测，雷鸟X3 Pro的AR导航功能辅助外科医生实施显微手术；教育领域，INMO Air 3的AR课件呈现技术使抽象知识具象化；安防场景中，闪极AI拍拍镜的90°广角镜头满足安保巡检需求。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随着技术迭代加速、生态应用完善以及用户习惯的养成，AI眼镜将逐步渗透至工作、生活全场景，有望成为继智能手机之后，承载下一代智能生态的核心交互终端。</w:t>
      </w:r>
      <w:r>
        <w:rPr>
          <w:rFonts w:hint="eastAsia" w:ascii="仿宋" w:hAnsi="仿宋" w:eastAsia="仿宋" w:cs="仿宋"/>
          <w:sz w:val="24"/>
          <w:szCs w:val="24"/>
          <w:highlight w:val="none"/>
          <w:lang w:eastAsia="zh-CN"/>
        </w:rPr>
        <w:t>根据Wellsenn XR的数据，2024年全球AI眼镜销量达152万台（其中中国5万台），市场规模约35.1亿美元。预测2025年全球销量有望进一步增长至350万台，较2024年增长230%，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展现出强劲的增长态势。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center"/>
        <w:textAlignment w:val="auto"/>
        <w:rPr>
          <w:rFonts w:hint="eastAsia" w:ascii="仿宋" w:hAnsi="仿宋" w:eastAsia="仿宋" w:cs="仿宋"/>
          <w:sz w:val="24"/>
          <w:szCs w:val="24"/>
          <w:highlight w:val="none"/>
          <w:lang w:eastAsia="zh-CN"/>
        </w:rPr>
      </w:pPr>
      <w:r>
        <w:drawing>
          <wp:inline distT="0" distB="0" distL="114300" distR="114300">
            <wp:extent cx="4489450" cy="2242185"/>
            <wp:effectExtent l="9525" t="9525" r="16510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b="12130"/>
                    <a:stretch>
                      <a:fillRect/>
                    </a:stretch>
                  </pic:blipFill>
                  <pic:spPr>
                    <a:xfrm>
                      <a:off x="0" y="0"/>
                      <a:ext cx="4489450" cy="22421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60" w:firstLineChars="200"/>
        <w:jc w:val="center"/>
        <w:textAlignment w:val="auto"/>
        <w:rPr>
          <w:rFonts w:hint="default" w:ascii="仿宋" w:hAnsi="仿宋" w:eastAsia="仿宋" w:cs="仿宋"/>
          <w:sz w:val="18"/>
          <w:szCs w:val="18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18"/>
          <w:szCs w:val="18"/>
          <w:highlight w:val="none"/>
          <w:lang w:val="en-US" w:eastAsia="zh-CN"/>
        </w:rPr>
        <w:t>图1. 2023-2030年全球AI眼镜销量及预测（万台）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60" w:firstLineChars="200"/>
        <w:jc w:val="center"/>
        <w:textAlignment w:val="auto"/>
        <w:rPr>
          <w:rFonts w:hint="eastAsia" w:ascii="仿宋" w:hAnsi="仿宋" w:eastAsia="仿宋" w:cs="仿宋"/>
          <w:sz w:val="18"/>
          <w:szCs w:val="18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18"/>
          <w:szCs w:val="18"/>
          <w:highlight w:val="none"/>
          <w:lang w:val="en-US" w:eastAsia="zh-CN"/>
        </w:rPr>
        <w:t>资料来源：Wellsenn XR（维深信息）《2024年AI智能眼镜销量跟踪报告》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2.主要竞争格局表现为全球市场头部厂商垄断格局，本土企业创新突围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国际巨头：Meta主导全球市场。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  <w:t>国际巨头如Meta、微软、谷歌等凭借技术优势主导全球市场，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IDC数据显示，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  <w:t>Meta在2024年第四季度占据全球智能眼镜市场83.8%的份额,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微软、谷歌等巨头通过生态整合和技术优势布局消费与企业级市场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国内阵营：全场景生态+垂直赛道创新突围。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  <w:t>国内阵营则呈现多维度分化。</w:t>
      </w: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头部品</w:t>
      </w:r>
      <w:bookmarkStart w:id="4" w:name="OLE_LINK12"/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牌</w:t>
      </w:r>
      <w:bookmarkEnd w:id="4"/>
      <w:r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  <w:t>：华为、雷鸟创新等头部品牌率先布局。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2024年AI音频眼镜以70%市占率主导市场，其中华为以76.6%份额占据绝对优势；2025年Q1 AI拍摄眼镜异军突起，市占率达28.1%，雷鸟创新以超90%份额主导该细分领域。</w:t>
      </w: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新兴势力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  <w:t>：小米、百度等新兴势力聚焦细分领域，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小米联合歌尔计划2025年Q2推出千元级教育场景产品，预计出货量30万台；百度（小度）聚焦方言识别技术深耕下沉市场。</w:t>
      </w: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潜力玩家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  <w:t>：电信运营商依托强大的网络基础（5G/5G-A的低延迟高带宽及eSIM的便捷连接）、庞大的用户基础、广泛的线下渠道以及成熟的计费和服务体系，通过终端厂商联合研发、差异化场景定制（如健康监测、无障碍辅助等）及运营商生态协同等模式打造竞争优势。</w:t>
      </w:r>
    </w:p>
    <w:bookmarkEnd w:id="2"/>
    <w:p>
      <w:pPr>
        <w:spacing w:line="360" w:lineRule="auto"/>
        <w:ind w:firstLine="482" w:firstLineChars="200"/>
        <w:jc w:val="left"/>
        <w:rPr>
          <w:rFonts w:hint="eastAsia" w:ascii="仿宋" w:hAnsi="仿宋" w:eastAsia="仿宋" w:cs="仿宋"/>
          <w:b/>
          <w:bCs/>
          <w:sz w:val="24"/>
        </w:rPr>
      </w:pPr>
      <w:bookmarkStart w:id="5" w:name="OLE_LINK14"/>
      <w:r>
        <w:rPr>
          <w:rFonts w:hint="eastAsia" w:ascii="仿宋" w:hAnsi="仿宋" w:eastAsia="仿宋" w:cs="仿宋"/>
          <w:b/>
          <w:bCs/>
          <w:sz w:val="24"/>
        </w:rPr>
        <w:t>二、三大运营商</w:t>
      </w:r>
      <w:r>
        <w:rPr>
          <w:rFonts w:hint="eastAsia" w:ascii="仿宋" w:hAnsi="仿宋" w:eastAsia="仿宋" w:cs="仿宋"/>
          <w:b/>
          <w:bCs/>
          <w:sz w:val="24"/>
          <w:lang w:val="en-US" w:eastAsia="zh-CN"/>
        </w:rPr>
        <w:t>在</w:t>
      </w:r>
      <w:r>
        <w:rPr>
          <w:rFonts w:hint="eastAsia" w:ascii="仿宋" w:hAnsi="仿宋" w:eastAsia="仿宋" w:cs="仿宋"/>
          <w:b/>
          <w:bCs/>
          <w:sz w:val="24"/>
        </w:rPr>
        <w:t>AI眼镜的布局与挑战</w:t>
      </w:r>
    </w:p>
    <w:p>
      <w:pPr>
        <w:spacing w:line="360" w:lineRule="auto"/>
        <w:ind w:firstLine="480" w:firstLineChars="200"/>
        <w:jc w:val="left"/>
        <w:rPr>
          <w:rFonts w:hint="eastAsia" w:ascii="仿宋" w:hAnsi="仿宋" w:eastAsia="仿宋" w:cs="仿宋"/>
          <w:b/>
          <w:bCs/>
          <w:sz w:val="24"/>
          <w:lang w:eastAsia="zh-CN"/>
        </w:rPr>
      </w:pPr>
      <w:r>
        <w:rPr>
          <w:rFonts w:hint="eastAsia" w:ascii="仿宋" w:hAnsi="仿宋" w:eastAsia="仿宋" w:cs="仿宋"/>
          <w:sz w:val="24"/>
        </w:rPr>
        <w:t>三大运营商均在加速布局AI眼镜，但战略与产品定位差异显著</w:t>
      </w:r>
      <w:r>
        <w:rPr>
          <w:rFonts w:hint="eastAsia" w:ascii="仿宋" w:hAnsi="仿宋" w:eastAsia="仿宋" w:cs="仿宋"/>
          <w:sz w:val="24"/>
          <w:lang w:eastAsia="zh-CN"/>
        </w:rPr>
        <w:t>。</w:t>
      </w:r>
    </w:p>
    <w:p>
      <w:pPr>
        <w:widowControl/>
        <w:ind w:firstLine="482" w:firstLineChars="200"/>
        <w:jc w:val="left"/>
        <w:rPr>
          <w:rFonts w:hint="eastAsia" w:ascii="仿宋" w:hAnsi="仿宋" w:eastAsia="仿宋" w:cs="仿宋"/>
          <w:b/>
          <w:bCs/>
          <w:sz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</w:rPr>
        <w:t>1.移</w:t>
      </w:r>
      <w:bookmarkStart w:id="12" w:name="_GoBack"/>
      <w:bookmarkEnd w:id="12"/>
      <w:r>
        <w:rPr>
          <w:rFonts w:hint="eastAsia" w:ascii="仿宋" w:hAnsi="仿宋" w:eastAsia="仿宋" w:cs="仿宋"/>
          <w:b/>
          <w:bCs/>
          <w:sz w:val="24"/>
        </w:rPr>
        <w:t>动重视技术整合与生态构建，联通发力运动场景</w:t>
      </w:r>
      <w:r>
        <w:rPr>
          <w:rFonts w:hint="eastAsia" w:ascii="仿宋" w:hAnsi="仿宋" w:eastAsia="仿宋" w:cs="仿宋"/>
          <w:b/>
          <w:bCs/>
          <w:sz w:val="24"/>
          <w:lang w:val="en-US" w:eastAsia="zh-CN"/>
        </w:rPr>
        <w:t>,</w:t>
      </w:r>
      <w:r>
        <w:rPr>
          <w:rFonts w:hint="eastAsia" w:ascii="仿宋" w:hAnsi="仿宋" w:eastAsia="仿宋" w:cs="仿宋"/>
          <w:b/>
          <w:bCs/>
          <w:sz w:val="24"/>
        </w:rPr>
        <w:t>电信侧重普惠场景</w:t>
      </w:r>
    </w:p>
    <w:p>
      <w:pPr>
        <w:spacing w:line="360" w:lineRule="auto"/>
        <w:ind w:firstLine="482" w:firstLineChars="200"/>
        <w:jc w:val="left"/>
        <w:rPr>
          <w:rFonts w:hint="eastAsia"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b/>
          <w:bCs/>
          <w:sz w:val="24"/>
        </w:rPr>
        <w:t>中国移动以技术生态拓展行业应用，用大模型赋能全场景。</w:t>
      </w:r>
      <w:r>
        <w:rPr>
          <w:rFonts w:hint="eastAsia" w:ascii="仿宋" w:hAnsi="仿宋" w:eastAsia="仿宋" w:cs="仿宋"/>
          <w:sz w:val="24"/>
        </w:rPr>
        <w:t>2025年计划推出四大系列十余款产品，包括最新发布的“移动爱家AI眼镜”以及“AI智能翻译眼镜G3000/G1000”，搭载中国移动灵犀智能体，覆盖高端与大众市场。并通过镜像接入李未可等品牌产品，形成开放生态。</w:t>
      </w:r>
      <w:r>
        <w:rPr>
          <w:rFonts w:hint="eastAsia" w:ascii="仿宋" w:hAnsi="仿宋" w:eastAsia="仿宋" w:cs="仿宋"/>
          <w:b/>
          <w:bCs/>
          <w:sz w:val="24"/>
        </w:rPr>
        <w:t>中国联通提出“无eSIM不AI”，以场景专精试水早期用户。</w:t>
      </w:r>
      <w:r>
        <w:rPr>
          <w:rFonts w:hint="eastAsia" w:ascii="仿宋" w:hAnsi="仿宋" w:eastAsia="仿宋" w:cs="仿宋"/>
          <w:sz w:val="24"/>
        </w:rPr>
        <w:t>已于2024年下半年推出eSIM AI运动眼镜，主打运动场景与eSIM集成，搭配每月10元优惠流量套餐，产品线相对单一，功能集中于基础交互与运动健康监测，未来计划向户外探险、职业训练等领域延伸。但功能聚焦较窄，尚未形成完整生态。</w:t>
      </w:r>
      <w:r>
        <w:rPr>
          <w:rFonts w:hint="eastAsia" w:ascii="仿宋" w:hAnsi="仿宋" w:eastAsia="仿宋" w:cs="仿宋"/>
          <w:b/>
          <w:bCs/>
          <w:sz w:val="24"/>
        </w:rPr>
        <w:t>中国电信以普惠性功能撬动大众市场，自研产品即将落地。</w:t>
      </w:r>
      <w:r>
        <w:rPr>
          <w:rFonts w:hint="eastAsia" w:ascii="仿宋" w:hAnsi="仿宋" w:eastAsia="仿宋" w:cs="仿宋"/>
          <w:sz w:val="24"/>
        </w:rPr>
        <w:t>自研AI眼镜计划于2025年5月正式面市，以“星辰大模型”为核心，主打高性价比，定价控制在2000元以内，集成物体/人像识别、跨语种翻译、视障辅助等功能，并联合舜宇光学子公司强化硬件研发，目标覆盖生活、教育及工业场景。</w:t>
      </w:r>
    </w:p>
    <w:p>
      <w:pPr>
        <w:spacing w:line="360" w:lineRule="auto"/>
        <w:jc w:val="center"/>
        <w:rPr>
          <w:rFonts w:hint="eastAsia" w:ascii="仿宋" w:hAnsi="仿宋" w:eastAsia="仿宋" w:cs="仿宋"/>
          <w:sz w:val="24"/>
        </w:rPr>
      </w:pPr>
      <w:r>
        <w:drawing>
          <wp:inline distT="0" distB="0" distL="114300" distR="114300">
            <wp:extent cx="6396990" cy="3056255"/>
            <wp:effectExtent l="0" t="0" r="635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ind w:firstLine="482" w:firstLineChars="200"/>
        <w:jc w:val="left"/>
        <w:rPr>
          <w:rFonts w:hint="default" w:ascii="仿宋" w:hAnsi="仿宋" w:eastAsia="仿宋" w:cs="仿宋"/>
          <w:b/>
          <w:bCs/>
          <w:sz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</w:rPr>
        <w:t>2.中国电信在</w:t>
      </w:r>
      <w:r>
        <w:rPr>
          <w:rFonts w:hint="eastAsia" w:ascii="仿宋" w:hAnsi="仿宋" w:eastAsia="仿宋" w:cs="仿宋"/>
          <w:b/>
          <w:bCs/>
          <w:sz w:val="24"/>
          <w:lang w:val="en-US" w:eastAsia="zh-CN"/>
        </w:rPr>
        <w:t>产品</w:t>
      </w:r>
      <w:r>
        <w:rPr>
          <w:rFonts w:hint="eastAsia" w:ascii="仿宋" w:hAnsi="仿宋" w:eastAsia="仿宋" w:cs="仿宋"/>
          <w:b/>
          <w:bCs/>
          <w:sz w:val="24"/>
        </w:rPr>
        <w:t>落地与</w:t>
      </w:r>
      <w:r>
        <w:rPr>
          <w:rFonts w:hint="eastAsia" w:ascii="仿宋" w:hAnsi="仿宋" w:eastAsia="仿宋" w:cs="仿宋"/>
          <w:b/>
          <w:bCs/>
          <w:sz w:val="24"/>
          <w:lang w:val="en-US" w:eastAsia="zh-CN"/>
        </w:rPr>
        <w:t>生态构建方面面临挑战</w:t>
      </w:r>
    </w:p>
    <w:p>
      <w:pPr>
        <w:spacing w:line="360" w:lineRule="auto"/>
        <w:ind w:firstLine="480" w:firstLineChars="200"/>
        <w:jc w:val="left"/>
        <w:rPr>
          <w:rFonts w:hint="eastAsia"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从产品角度看，其核心问题在于产品线单一且缺乏差异化竞争力，且更新缓慢</w:t>
      </w:r>
      <w:r>
        <w:rPr>
          <w:rFonts w:hint="eastAsia" w:ascii="仿宋" w:hAnsi="仿宋" w:eastAsia="仿宋" w:cs="仿宋"/>
          <w:sz w:val="24"/>
          <w:lang w:eastAsia="zh-CN"/>
        </w:rPr>
        <w:t>，</w:t>
      </w:r>
      <w:r>
        <w:rPr>
          <w:rFonts w:hint="eastAsia" w:ascii="仿宋" w:hAnsi="仿宋" w:eastAsia="仿宋" w:cs="仿宋"/>
          <w:sz w:val="24"/>
        </w:rPr>
        <w:t>定价策略亦显被动。相较于中国移动计划推出的四大系列十余款产品，中电信目前仅聚焦于单款AI眼镜的研发，</w:t>
      </w:r>
      <w:r>
        <w:rPr>
          <w:rFonts w:hint="eastAsia" w:ascii="仿宋" w:hAnsi="仿宋" w:eastAsia="仿宋" w:cs="仿宋"/>
          <w:sz w:val="24"/>
          <w:lang w:val="en-US" w:eastAsia="zh-CN"/>
        </w:rPr>
        <w:t>试图打造</w:t>
      </w:r>
      <w:r>
        <w:rPr>
          <w:rFonts w:hint="eastAsia" w:ascii="仿宋" w:hAnsi="仿宋" w:eastAsia="仿宋" w:cs="仿宋"/>
          <w:sz w:val="24"/>
        </w:rPr>
        <w:t>独立设计、制造并主打自有品牌的“全能型”AI眼镜。其将成本控制在2000元以内的目标虽意图抢占中端市场，但</w:t>
      </w:r>
      <w:r>
        <w:rPr>
          <w:rFonts w:hint="eastAsia" w:ascii="仿宋" w:hAnsi="仿宋" w:eastAsia="仿宋" w:cs="仿宋"/>
          <w:sz w:val="24"/>
          <w:lang w:val="en-US" w:eastAsia="zh-CN"/>
        </w:rPr>
        <w:t>其</w:t>
      </w:r>
      <w:r>
        <w:rPr>
          <w:rFonts w:hint="eastAsia" w:ascii="仿宋" w:hAnsi="仿宋" w:eastAsia="仿宋" w:cs="仿宋"/>
          <w:sz w:val="24"/>
        </w:rPr>
        <w:t>硬件性能难以与和Meta、雷鸟等直接竞争，在低端市场又面临小米等厂商的价格挤压。</w:t>
      </w:r>
    </w:p>
    <w:p>
      <w:pPr>
        <w:spacing w:line="360" w:lineRule="auto"/>
        <w:ind w:firstLine="480" w:firstLineChars="200"/>
        <w:jc w:val="left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在生态构建方面的短板尤为显著。一方面，其开发者生态薄弱，应用场景局限于预设的垂直功能，未拓展娱乐、教育等大众化应用，导致用户粘性不足。另一方面，电信的生态闭环更偏向内部服务整合，生态开放性低于中移动。中移动通过向合作伙伴提供语言模型接口，已构建起涵盖音乐、医疗等多场景的服务矩阵，而电信的生态闭环更偏向内部服务整合（如云存储、话费充值），缺乏跨品牌兼容性与行业标准支持。</w:t>
      </w:r>
    </w:p>
    <w:p>
      <w:pPr>
        <w:pStyle w:val="6"/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200"/>
        <w:textAlignment w:val="auto"/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三、中国电信发展AI眼镜的启示与建议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  <w:t>运营商做AI眼镜，成功的关键在于不与专业硬件厂商拼硬件本身，而是利用自身网络、渠道、用户和服务优势，扮演好“连接者”、“赋能者”和“特定场景解决方案提供者”的角色。 以下是从产品、生态和营销三方面提出的针对性建议。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2" w:firstLineChars="200"/>
        <w:textAlignment w:val="auto"/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</w:pPr>
      <w:bookmarkStart w:id="6" w:name="OLE_LINK4"/>
      <w:bookmarkStart w:id="7" w:name="OLE_LINK8"/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1.产品布局：发挥资源和服务优势，穿透场景建立专属根据地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default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  <w:t>中国电信应充分发挥资源和服务优势，通过以下策略构建差异化的产品布局。</w:t>
      </w: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一是深度绑定核心业务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  <w:t>，开发与通信、云服务、内容等核心业务紧密结合的应用，如实现无缝的VoNR/VoLTE通话和视频通话集成，提供基于运营商云盘的即时照片和视频备份与分享功能，并通过精准推送运营，提升用户体验。</w:t>
      </w: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二是聚焦细分场景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  <w:t>，专注优势细分场景，避免与互联网硬件厂商正面竞争。针对电力、教育、安防等行业客户，提供深度定制化的AI眼镜解决方案，如为电力行业提供巡检辅助工具，为教育领域开发AR教学设备，为安防场景提供实时监控与分析功能。</w:t>
      </w: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三是构建多层次产品体系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  <w:t>，打破单一产品线局限，构建多元化的产品矩阵，满足不同消费群体和行业客户的需求。在消费级市场，推出不同价格和功能的产品，覆盖更多使用场景，例如推出高端产品满足专业用户需求，同时推出中低端产品覆盖更广泛的消费群体。</w:t>
      </w:r>
      <w:bookmarkEnd w:id="6"/>
    </w:p>
    <w:bookmarkEnd w:id="7"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2" w:firstLineChars="200"/>
        <w:textAlignment w:val="auto"/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</w:pPr>
      <w:bookmarkStart w:id="8" w:name="OLE_LINK6"/>
      <w:bookmarkStart w:id="9" w:name="OLE_LINK13"/>
      <w:r>
        <w:rPr>
          <w:rFonts w:hint="eastAsia" w:ascii="仿宋" w:hAnsi="仿宋" w:eastAsia="仿宋" w:cs="仿宋"/>
          <w:b/>
          <w:bCs/>
          <w:kern w:val="2"/>
          <w:sz w:val="24"/>
          <w:szCs w:val="24"/>
          <w:lang w:val="en-US" w:eastAsia="zh-CN" w:bidi="ar-SA"/>
        </w:rPr>
        <w:t>2.</w:t>
      </w:r>
      <w:r>
        <w:rPr>
          <w:rFonts w:hint="default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生态</w:t>
      </w: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合作：开放AI能力，发挥优势能力，共同打造AI眼镜生态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</w:pPr>
      <w:bookmarkStart w:id="10" w:name="OLE_LINK7"/>
      <w:r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  <w:t>中国电信需要打破封闭式合作模式，吸引开发者和合作伙伴，进一步</w:t>
      </w:r>
      <w:r>
        <w:rPr>
          <w:rFonts w:hint="default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  <w:t>扩大AI眼镜覆盖范围与服务价值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  <w:t>。</w:t>
      </w: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一是技术开放与开发者赋能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  <w:t>通过分阶段开放星辰大模型的图像识别、多语言翻译等核心API接口，为开发者提供标准化技术接口，降低开发门槛，促进生态共建。优先吸引教育机构开发AR课件，健康管理平台整合运动数据，工业软件服务商打造AR巡检工具，加速场景应用孵化。</w:t>
      </w: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二是</w:t>
      </w:r>
      <w:r>
        <w:rPr>
          <w:rFonts w:hint="default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跨界</w:t>
      </w: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生态融合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  <w:t>联合智能硬件厂商（如舜宇光学）优化光学模组与佩戴体验，联动内容平台（如哔哩哔哩）开发轻量化AR内容，协同能源、医疗等政企客户打造定制化解决方案，实现技术、资源和市场的互补，共同开拓新的应用场景。通过开放平台与跨界合作，中国电信可充分发挥自身优势，打造更具竞争力的AI眼镜生态。</w:t>
      </w:r>
    </w:p>
    <w:bookmarkEnd w:id="5"/>
    <w:bookmarkEnd w:id="8"/>
    <w:bookmarkEnd w:id="9"/>
    <w:bookmarkEnd w:id="1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2" w:firstLineChars="200"/>
        <w:textAlignment w:val="auto"/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</w:pPr>
      <w:bookmarkStart w:id="11" w:name="OLE_LINK3"/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3.营销破局：通过“终端+套餐+订阅服务”销售模式，增强用户粘性</w:t>
      </w:r>
    </w:p>
    <w:p>
      <w:pPr>
        <w:adjustRightInd w:val="0"/>
        <w:snapToGrid w:val="0"/>
        <w:spacing w:line="360" w:lineRule="auto"/>
        <w:ind w:firstLine="480" w:firstLineChars="200"/>
        <w:rPr>
          <w:rFonts w:hint="eastAsia" w:ascii="仿宋" w:hAnsi="仿宋" w:eastAsia="仿宋" w:cs="仿宋"/>
          <w:color w:val="auto"/>
          <w:sz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lang w:val="en-US" w:eastAsia="zh-CN"/>
        </w:rPr>
        <w:t>中国电信需通过创新的营销策略以打开市场，增强用户粘性。</w:t>
      </w: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一是加强渠道触达与体验推广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  <w:t>充分发挥电信渠道优势，在营业厅和合作门店举办沉浸式体验活动，设置AR导航、实时翻译等高频场景演示</w:t>
      </w:r>
      <w:r>
        <w:rPr>
          <w:rFonts w:hint="eastAsia" w:ascii="仿宋" w:hAnsi="仿宋" w:eastAsia="仿宋" w:cs="仿宋"/>
          <w:color w:val="auto"/>
          <w:sz w:val="24"/>
          <w:lang w:val="en-US" w:eastAsia="zh-CN"/>
        </w:rPr>
        <w:t>，帮助用户直观感受产品价值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  <w:t>，突破用户认知障碍。</w:t>
      </w: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CN"/>
        </w:rPr>
        <w:t>二是专属套餐与服务订阅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  <w:t>针对细分人群推出定制化AI眼镜套餐，如为</w:t>
      </w:r>
      <w:r>
        <w:rPr>
          <w:rFonts w:hint="eastAsia" w:ascii="仿宋" w:hAnsi="仿宋" w:eastAsia="仿宋" w:cs="仿宋"/>
          <w:color w:val="auto"/>
          <w:sz w:val="24"/>
          <w:lang w:val="en-US" w:eastAsia="zh-CN"/>
        </w:rPr>
        <w:t>老年群体设计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  <w:t>“银发守护套装”</w:t>
      </w:r>
      <w:r>
        <w:rPr>
          <w:rFonts w:hint="eastAsia" w:ascii="仿宋" w:hAnsi="仿宋" w:eastAsia="仿宋" w:cs="仿宋"/>
          <w:color w:val="auto"/>
          <w:sz w:val="24"/>
          <w:lang w:val="en-US" w:eastAsia="zh-CN"/>
        </w:rPr>
        <w:t>，为年轻群体推出“智能运动组合”，为上班族提供“商务办公套餐”。</w:t>
      </w:r>
      <w:r>
        <w:rPr>
          <w:rFonts w:hint="eastAsia" w:ascii="仿宋" w:hAnsi="仿宋" w:eastAsia="仿宋" w:cs="仿宋"/>
          <w:color w:val="auto"/>
          <w:sz w:val="24"/>
        </w:rPr>
        <w:t>通过合约套餐、硬件租赁、服务订阅等方式</w:t>
      </w: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highlight w:val="none"/>
          <w:lang w:val="en-US" w:eastAsia="zh-CN"/>
        </w:rPr>
        <w:t>，降低用户使用门槛</w:t>
      </w:r>
      <w:r>
        <w:rPr>
          <w:rFonts w:hint="eastAsia" w:ascii="仿宋" w:hAnsi="仿宋" w:eastAsia="仿宋" w:cs="仿宋"/>
          <w:color w:val="auto"/>
          <w:sz w:val="24"/>
          <w:lang w:val="en-US" w:eastAsia="zh-CN"/>
        </w:rPr>
        <w:t>，提升市场接受度</w:t>
      </w: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highlight w:val="none"/>
          <w:lang w:val="en-US" w:eastAsia="zh-CN"/>
        </w:rPr>
        <w:t>。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highlight w:val="none"/>
          <w:lang w:val="en-US" w:eastAsia="zh-CN"/>
        </w:rPr>
        <w:t>三是长期服务创造价值</w:t>
      </w: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highlight w:val="none"/>
          <w:lang w:val="en-US" w:eastAsia="zh-CN"/>
        </w:rPr>
        <w:t>，</w:t>
      </w:r>
      <w:r>
        <w:rPr>
          <w:rFonts w:hint="eastAsia" w:ascii="仿宋" w:hAnsi="仿宋" w:eastAsia="仿宋" w:cs="仿宋"/>
          <w:color w:val="auto"/>
          <w:sz w:val="24"/>
          <w:lang w:val="en-US" w:eastAsia="zh-CN"/>
        </w:rPr>
        <w:t>将</w:t>
      </w:r>
      <w:r>
        <w:rPr>
          <w:rFonts w:hint="eastAsia" w:ascii="仿宋" w:hAnsi="仿宋" w:eastAsia="仿宋" w:cs="仿宋"/>
          <w:color w:val="auto"/>
          <w:sz w:val="24"/>
        </w:rPr>
        <w:t>服务作为增</w:t>
      </w:r>
      <w:r>
        <w:rPr>
          <w:rFonts w:hint="eastAsia" w:ascii="仿宋" w:hAnsi="仿宋" w:eastAsia="仿宋" w:cs="仿宋"/>
          <w:color w:val="auto"/>
          <w:sz w:val="24"/>
          <w:lang w:val="en-US" w:eastAsia="zh-CN"/>
        </w:rPr>
        <w:t>强</w:t>
      </w:r>
      <w:r>
        <w:rPr>
          <w:rFonts w:hint="eastAsia" w:ascii="仿宋" w:hAnsi="仿宋" w:eastAsia="仿宋" w:cs="仿宋"/>
          <w:color w:val="auto"/>
          <w:sz w:val="24"/>
        </w:rPr>
        <w:t>客户粘性和增收的</w:t>
      </w:r>
      <w:r>
        <w:rPr>
          <w:rFonts w:hint="eastAsia" w:ascii="仿宋" w:hAnsi="仿宋" w:eastAsia="仿宋" w:cs="仿宋"/>
          <w:color w:val="auto"/>
          <w:sz w:val="24"/>
          <w:lang w:val="en-US" w:eastAsia="zh-CN"/>
        </w:rPr>
        <w:t>关键</w:t>
      </w:r>
      <w:r>
        <w:rPr>
          <w:rFonts w:hint="eastAsia" w:ascii="仿宋" w:hAnsi="仿宋" w:eastAsia="仿宋" w:cs="仿宋"/>
          <w:color w:val="auto"/>
          <w:sz w:val="24"/>
        </w:rPr>
        <w:t>手段，通过持续的软件更新、内容推送和增值服务，</w:t>
      </w:r>
      <w:r>
        <w:rPr>
          <w:rFonts w:hint="eastAsia" w:ascii="仿宋" w:hAnsi="仿宋" w:eastAsia="仿宋" w:cs="仿宋"/>
          <w:color w:val="auto"/>
          <w:sz w:val="24"/>
          <w:lang w:val="en-US" w:eastAsia="zh-CN"/>
        </w:rPr>
        <w:t>为用户提供长期价值，促进用户留存与口碑传播</w:t>
      </w:r>
      <w:bookmarkEnd w:id="0"/>
      <w:bookmarkEnd w:id="1"/>
      <w:bookmarkEnd w:id="11"/>
      <w:r>
        <w:rPr>
          <w:rFonts w:hint="eastAsia" w:ascii="仿宋" w:hAnsi="仿宋" w:eastAsia="仿宋" w:cs="仿宋"/>
          <w:color w:val="auto"/>
          <w:sz w:val="24"/>
          <w:lang w:val="en-US" w:eastAsia="zh-CN"/>
        </w:rPr>
        <w:t>。</w:t>
      </w:r>
    </w:p>
    <w:sectPr>
      <w:pgSz w:w="11906" w:h="16838"/>
      <w:pgMar w:top="820" w:right="866" w:bottom="678" w:left="96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MxZTBmNTE4ODcwMWYwZjJiNjdmZWI0MTFkNjA0ZWQifQ=="/>
  </w:docVars>
  <w:rsids>
    <w:rsidRoot w:val="5DDE6286"/>
    <w:rsid w:val="0014179F"/>
    <w:rsid w:val="00A3470B"/>
    <w:rsid w:val="00EA2187"/>
    <w:rsid w:val="02A65399"/>
    <w:rsid w:val="04122BBF"/>
    <w:rsid w:val="04BB7580"/>
    <w:rsid w:val="0559183C"/>
    <w:rsid w:val="05697EE2"/>
    <w:rsid w:val="05DB78E7"/>
    <w:rsid w:val="06B1240A"/>
    <w:rsid w:val="0788799E"/>
    <w:rsid w:val="07F923A1"/>
    <w:rsid w:val="08752046"/>
    <w:rsid w:val="08807182"/>
    <w:rsid w:val="09D225E9"/>
    <w:rsid w:val="0A9877F2"/>
    <w:rsid w:val="0B65096D"/>
    <w:rsid w:val="0C1711B1"/>
    <w:rsid w:val="0EDB47CA"/>
    <w:rsid w:val="0FCE19CC"/>
    <w:rsid w:val="1169429C"/>
    <w:rsid w:val="13911FC2"/>
    <w:rsid w:val="17183A2B"/>
    <w:rsid w:val="18055854"/>
    <w:rsid w:val="19B0456E"/>
    <w:rsid w:val="19CC5D04"/>
    <w:rsid w:val="1A4B1A11"/>
    <w:rsid w:val="1A952039"/>
    <w:rsid w:val="1BF73705"/>
    <w:rsid w:val="1DFF23EF"/>
    <w:rsid w:val="1E7B2E90"/>
    <w:rsid w:val="1F2F394F"/>
    <w:rsid w:val="20B36FFE"/>
    <w:rsid w:val="22E152C9"/>
    <w:rsid w:val="22FF75CB"/>
    <w:rsid w:val="23503E27"/>
    <w:rsid w:val="23560AD0"/>
    <w:rsid w:val="29A41EB7"/>
    <w:rsid w:val="2A4C3E5B"/>
    <w:rsid w:val="2DCD6330"/>
    <w:rsid w:val="2F375BA0"/>
    <w:rsid w:val="2F5B427F"/>
    <w:rsid w:val="32794A1C"/>
    <w:rsid w:val="34160F29"/>
    <w:rsid w:val="35C61F45"/>
    <w:rsid w:val="367F5E2B"/>
    <w:rsid w:val="37F3548C"/>
    <w:rsid w:val="3A7574B8"/>
    <w:rsid w:val="3B095088"/>
    <w:rsid w:val="3B794DC8"/>
    <w:rsid w:val="3C8C1C2A"/>
    <w:rsid w:val="3D3C1506"/>
    <w:rsid w:val="3D5567B2"/>
    <w:rsid w:val="40426BD1"/>
    <w:rsid w:val="404A674B"/>
    <w:rsid w:val="412054E6"/>
    <w:rsid w:val="478F4CB1"/>
    <w:rsid w:val="487970CD"/>
    <w:rsid w:val="49320D4E"/>
    <w:rsid w:val="4BB619E4"/>
    <w:rsid w:val="4F56323A"/>
    <w:rsid w:val="4FFC486B"/>
    <w:rsid w:val="50282697"/>
    <w:rsid w:val="506F7733"/>
    <w:rsid w:val="50742C4D"/>
    <w:rsid w:val="53BB2C6D"/>
    <w:rsid w:val="540042BD"/>
    <w:rsid w:val="545861EA"/>
    <w:rsid w:val="55EC7130"/>
    <w:rsid w:val="56293EE0"/>
    <w:rsid w:val="5874184C"/>
    <w:rsid w:val="58B27195"/>
    <w:rsid w:val="5C8B787B"/>
    <w:rsid w:val="5DDE6286"/>
    <w:rsid w:val="5E845AC4"/>
    <w:rsid w:val="5FB57738"/>
    <w:rsid w:val="601C4B3D"/>
    <w:rsid w:val="60733548"/>
    <w:rsid w:val="61A56A93"/>
    <w:rsid w:val="61A811DF"/>
    <w:rsid w:val="621A068C"/>
    <w:rsid w:val="630718A5"/>
    <w:rsid w:val="64C867A3"/>
    <w:rsid w:val="682E257A"/>
    <w:rsid w:val="6960058A"/>
    <w:rsid w:val="6C7E387E"/>
    <w:rsid w:val="6CB94EB3"/>
    <w:rsid w:val="70271038"/>
    <w:rsid w:val="70DF533C"/>
    <w:rsid w:val="73C74E06"/>
    <w:rsid w:val="73E55492"/>
    <w:rsid w:val="75504B8E"/>
    <w:rsid w:val="75750A98"/>
    <w:rsid w:val="758E64E9"/>
    <w:rsid w:val="75B96619"/>
    <w:rsid w:val="760F284C"/>
    <w:rsid w:val="763D7808"/>
    <w:rsid w:val="77FE53E9"/>
    <w:rsid w:val="786242E4"/>
    <w:rsid w:val="797D44D9"/>
    <w:rsid w:val="79CA2DDB"/>
    <w:rsid w:val="79D95BF8"/>
    <w:rsid w:val="7B417AC4"/>
    <w:rsid w:val="7BCB7A29"/>
    <w:rsid w:val="7C677634"/>
    <w:rsid w:val="7C91329A"/>
    <w:rsid w:val="7F78097A"/>
    <w:rsid w:val="7F9011E1"/>
    <w:rsid w:val="7FF70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3737</Words>
  <Characters>4029</Characters>
  <Lines>0</Lines>
  <Paragraphs>0</Paragraphs>
  <TotalTime>16</TotalTime>
  <ScaleCrop>false</ScaleCrop>
  <LinksUpToDate>false</LinksUpToDate>
  <CharactersWithSpaces>4043</CharactersWithSpaces>
  <Application>WPS Office_12.8.2.15091_F1E327BC-269C-435d-A152-05C5408002CA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2023-09-20T02:49:00Z</dcterms:created>
  <dc:creator>全波</dc:creator>
  <cp:lastModifiedBy>1</cp:lastModifiedBy>
  <dcterms:modified xsi:type="dcterms:W3CDTF">2025-04-29T09:25:16Z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B7EFCBB47A5B481181BDA7B80304563E_13</vt:lpwstr>
  </property>
  <property fmtid="{D5CDD505-2E9C-101B-9397-08002B2CF9AE}" pid="4" name="KSOTemplateDocerSaveRecord">
    <vt:lpwstr>eyJoZGlkIjoiZmViNDc3NmU2ODQyNjE0MGMyYTYwODFmZWJiODFmNWMiLCJ1c2VySWQiOiIyNzA2ODE5MjkifQ==</vt:lpwstr>
  </property>
</Properties>
</file>