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b/>
          <w:bCs/>
          <w:sz w:val="32"/>
          <w:szCs w:val="40"/>
          <w:highlight w:val="none"/>
          <w:lang w:val="en-US" w:eastAsia="zh-CN"/>
        </w:rPr>
      </w:pPr>
      <w:r>
        <w:rPr>
          <w:rFonts w:hint="eastAsia" w:ascii="楷体" w:hAnsi="楷体" w:eastAsia="楷体" w:cs="楷体"/>
          <w:b/>
          <w:bCs/>
          <w:sz w:val="32"/>
          <w:szCs w:val="40"/>
          <w:highlight w:val="none"/>
        </w:rPr>
        <w:t>DeepSeek</w:t>
      </w:r>
      <w:r>
        <w:rPr>
          <w:rFonts w:hint="eastAsia" w:ascii="楷体" w:hAnsi="楷体" w:eastAsia="楷体" w:cs="楷体"/>
          <w:b/>
          <w:bCs/>
          <w:sz w:val="32"/>
          <w:szCs w:val="40"/>
          <w:highlight w:val="none"/>
          <w:lang w:val="en-US" w:eastAsia="zh-CN"/>
        </w:rPr>
        <w:t>带来大量新增AI用户</w:t>
      </w:r>
      <w:r>
        <w:rPr>
          <w:rFonts w:hint="eastAsia" w:ascii="楷体" w:hAnsi="楷体" w:eastAsia="楷体" w:cs="楷体"/>
          <w:b/>
          <w:bCs/>
          <w:sz w:val="32"/>
          <w:szCs w:val="40"/>
          <w:highlight w:val="none"/>
          <w:lang w:eastAsia="zh-CN"/>
        </w:rPr>
        <w:t>，</w:t>
      </w:r>
      <w:r>
        <w:rPr>
          <w:rFonts w:hint="eastAsia" w:ascii="楷体" w:hAnsi="楷体" w:eastAsia="楷体" w:cs="楷体"/>
          <w:b/>
          <w:bCs/>
          <w:sz w:val="32"/>
          <w:szCs w:val="40"/>
          <w:highlight w:val="none"/>
        </w:rPr>
        <w:t>给</w:t>
      </w:r>
      <w:r>
        <w:rPr>
          <w:rFonts w:hint="eastAsia" w:ascii="楷体" w:hAnsi="楷体" w:eastAsia="楷体" w:cs="楷体"/>
          <w:b/>
          <w:bCs/>
          <w:sz w:val="32"/>
          <w:szCs w:val="40"/>
          <w:highlight w:val="none"/>
          <w:lang w:val="en-US" w:eastAsia="zh-CN"/>
        </w:rPr>
        <w:t>运营商</w:t>
      </w:r>
      <w:r>
        <w:rPr>
          <w:rFonts w:hint="eastAsia" w:ascii="楷体" w:hAnsi="楷体" w:eastAsia="楷体" w:cs="楷体"/>
          <w:b/>
          <w:bCs/>
          <w:sz w:val="32"/>
          <w:szCs w:val="40"/>
          <w:highlight w:val="none"/>
        </w:rPr>
        <w:t>带来</w:t>
      </w:r>
      <w:r>
        <w:rPr>
          <w:rFonts w:hint="eastAsia" w:ascii="楷体" w:hAnsi="楷体" w:eastAsia="楷体" w:cs="楷体"/>
          <w:b/>
          <w:bCs/>
          <w:sz w:val="32"/>
          <w:szCs w:val="40"/>
          <w:highlight w:val="none"/>
          <w:lang w:val="en-US" w:eastAsia="zh-CN"/>
        </w:rPr>
        <w:t>哪些</w:t>
      </w:r>
      <w:r>
        <w:rPr>
          <w:rFonts w:hint="eastAsia" w:ascii="楷体" w:hAnsi="楷体" w:eastAsia="楷体" w:cs="楷体"/>
          <w:b/>
          <w:bCs/>
          <w:sz w:val="32"/>
          <w:szCs w:val="40"/>
          <w:highlight w:val="none"/>
        </w:rPr>
        <w:t>机遇</w:t>
      </w:r>
      <w:r>
        <w:rPr>
          <w:rFonts w:hint="eastAsia" w:ascii="楷体" w:hAnsi="楷体" w:eastAsia="楷体" w:cs="楷体"/>
          <w:b/>
          <w:bCs/>
          <w:sz w:val="32"/>
          <w:szCs w:val="40"/>
          <w:highlight w:val="none"/>
          <w:lang w:eastAsia="zh-CN"/>
        </w:rPr>
        <w:t>？</w:t>
      </w:r>
    </w:p>
    <w:p>
      <w:pPr>
        <w:jc w:val="center"/>
        <w:rPr>
          <w:rFonts w:hint="eastAsia" w:ascii="楷体" w:hAnsi="楷体" w:eastAsia="楷体" w:cs="楷体"/>
          <w:b/>
          <w:bCs/>
          <w:sz w:val="28"/>
          <w:szCs w:val="36"/>
          <w:highlight w:val="none"/>
          <w:lang w:val="en-US" w:eastAsia="zh-CN"/>
        </w:rPr>
      </w:pPr>
    </w:p>
    <w:p>
      <w:pPr>
        <w:ind w:firstLine="560" w:firstLineChars="200"/>
        <w:jc w:val="left"/>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2025年1月，DeepSeek V3和R1开源大模型的卓越推理性能（生成效率提升多倍、医疗诊断等准确率很高等）、广泛适用领域和大幅优惠资费政策，引爆了全球多个行业应用高潮。根据访谈，节后我国金融、电商、医疗等多行业机构积极试用、接入和本地化部署DeepSeek。</w:t>
      </w:r>
      <w:bookmarkStart w:id="0" w:name="_GoBack"/>
      <w:bookmarkEnd w:id="0"/>
      <w:r>
        <w:rPr>
          <w:rFonts w:hint="eastAsia" w:ascii="楷体" w:hAnsi="楷体" w:eastAsia="楷体" w:cs="楷体"/>
          <w:b w:val="0"/>
          <w:bCs w:val="0"/>
          <w:sz w:val="28"/>
          <w:szCs w:val="36"/>
          <w:highlight w:val="none"/>
          <w:lang w:val="en-US" w:eastAsia="zh-CN"/>
        </w:rPr>
        <w:t>DeepSeek 新增用户效应显著，Web端仅28.2%源于其他厂商，APP端50%以上来自于海外用户，合作平台API调用次数也在急速上升。预计2025年对话式AI推理服务逐步走向行业深度价值挖掘，带来规模发展应用需求并替代现有行业大模型；AI产品形态将向平台化边缘服务方向演变，带动边缘云推理服务发展；多个垂直领域大模型本地化部署需求也会激增。高盛预测，DeepSeek等相关AI服务未来可以给运营商带来5-10%的总收入贡献。建议电信加运营商快使用AI重构运营商价值链条，将收入结构从“流量管道”转向“AI使能者”。建议加快公有云部署DeepSeek模型策略优化，与硅基流动等擅长云端部署领先企业开展部署合作；加快发掘政务、金融和医疗等行业私有环境本地化部署需求；</w:t>
      </w:r>
      <w:r>
        <w:rPr>
          <w:rFonts w:hint="eastAsia" w:ascii="楷体" w:hAnsi="楷体" w:eastAsia="楷体" w:cs="楷体"/>
          <w:b w:val="0"/>
          <w:bCs w:val="0"/>
          <w:sz w:val="28"/>
          <w:szCs w:val="28"/>
          <w:lang w:val="en-US" w:eastAsia="zh-CN"/>
        </w:rPr>
        <w:t>在网络侧，</w:t>
      </w:r>
      <w:r>
        <w:rPr>
          <w:rFonts w:hint="eastAsia" w:ascii="楷体" w:hAnsi="楷体" w:eastAsia="楷体" w:cs="楷体"/>
          <w:b w:val="0"/>
          <w:bCs w:val="0"/>
          <w:sz w:val="28"/>
          <w:szCs w:val="28"/>
          <w:highlight w:val="none"/>
          <w:lang w:val="en-US" w:eastAsia="zh-CN"/>
        </w:rPr>
        <w:t>强化5G与算力网络协同并</w:t>
      </w:r>
      <w:r>
        <w:rPr>
          <w:rFonts w:hint="eastAsia" w:ascii="楷体" w:hAnsi="楷体" w:eastAsia="楷体" w:cs="楷体"/>
          <w:b w:val="0"/>
          <w:bCs w:val="0"/>
          <w:sz w:val="28"/>
          <w:szCs w:val="28"/>
          <w:lang w:val="en-US" w:eastAsia="zh-CN"/>
        </w:rPr>
        <w:t>做好</w:t>
      </w:r>
      <w:r>
        <w:rPr>
          <w:rFonts w:hint="eastAsia" w:ascii="楷体" w:hAnsi="楷体" w:eastAsia="楷体" w:cs="楷体"/>
          <w:b w:val="0"/>
          <w:bCs w:val="0"/>
          <w:sz w:val="28"/>
          <w:szCs w:val="28"/>
          <w:highlight w:val="none"/>
          <w:lang w:val="en-US" w:eastAsia="zh-CN"/>
        </w:rPr>
        <w:t>流量激增下的网络韧性风险管控。</w:t>
      </w:r>
      <w:r>
        <w:rPr>
          <w:rFonts w:hint="eastAsia" w:ascii="楷体" w:hAnsi="楷体" w:eastAsia="楷体" w:cs="楷体"/>
          <w:b w:val="0"/>
          <w:bCs w:val="0"/>
          <w:sz w:val="28"/>
          <w:szCs w:val="28"/>
          <w:lang w:val="en-US" w:eastAsia="zh-CN"/>
        </w:rPr>
        <w:t>在业务侧，加快研究出台</w:t>
      </w:r>
      <w:r>
        <w:rPr>
          <w:rFonts w:hint="eastAsia" w:ascii="楷体" w:hAnsi="楷体" w:eastAsia="楷体" w:cs="楷体"/>
          <w:b w:val="0"/>
          <w:bCs w:val="0"/>
          <w:sz w:val="28"/>
          <w:szCs w:val="28"/>
          <w:highlight w:val="none"/>
          <w:lang w:val="en-US" w:eastAsia="zh-CN"/>
        </w:rPr>
        <w:t>差异化流量经营策略，在运营商自有APP嵌入DeepSeek。</w:t>
      </w:r>
    </w:p>
    <w:p>
      <w:pPr>
        <w:rPr>
          <w:rFonts w:hint="eastAsia" w:ascii="楷体" w:hAnsi="楷体" w:eastAsia="楷体" w:cs="楷体"/>
          <w:sz w:val="24"/>
          <w:szCs w:val="32"/>
          <w:highlight w:val="none"/>
        </w:rPr>
      </w:pPr>
    </w:p>
    <w:p>
      <w:pPr>
        <w:numPr>
          <w:ilvl w:val="0"/>
          <w:numId w:val="1"/>
        </w:numPr>
        <w:rPr>
          <w:rFonts w:hint="eastAsia" w:ascii="楷体" w:hAnsi="楷体" w:eastAsia="楷体" w:cs="楷体"/>
          <w:b/>
          <w:bCs/>
          <w:sz w:val="28"/>
          <w:szCs w:val="36"/>
          <w:highlight w:val="none"/>
          <w:lang w:val="en-US" w:eastAsia="zh-CN"/>
        </w:rPr>
      </w:pPr>
      <w:r>
        <w:rPr>
          <w:rFonts w:hint="eastAsia" w:ascii="楷体" w:hAnsi="楷体" w:eastAsia="楷体" w:cs="楷体"/>
          <w:b/>
          <w:bCs/>
          <w:sz w:val="28"/>
          <w:szCs w:val="36"/>
          <w:highlight w:val="none"/>
        </w:rPr>
        <w:t>DeepSeek</w:t>
      </w:r>
      <w:r>
        <w:rPr>
          <w:rFonts w:hint="eastAsia" w:ascii="楷体" w:hAnsi="楷体" w:eastAsia="楷体" w:cs="楷体"/>
          <w:b/>
          <w:bCs/>
          <w:sz w:val="28"/>
          <w:szCs w:val="36"/>
          <w:highlight w:val="none"/>
          <w:lang w:val="en-US" w:eastAsia="zh-CN"/>
        </w:rPr>
        <w:t>的用户来自于哪里？到底有没有带来增量用户？</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DeepSeek（“深度求索”）公司是我国大模型价格战的始作俑者，通过基本模型的较大幅度优惠来吸引新增用户。早在2024年5月，DeepSeek发布的MoE模型DeepSeek-V2，其API调用价格降至每百万tokens输入1元、输出2元，相当于当期GPT 4-Turbo资费的1%，并带动字节跳动、智谱AI、百度等国内头部大模型厂商被迫加入降价行列。2024年底和2025年初再次发布的V3和R1两大开源模型和45天API优惠政策，使得DeepSeek Web访问量再次飙升。</w:t>
      </w:r>
    </w:p>
    <w:p>
      <w:pPr>
        <w:numPr>
          <w:ilvl w:val="0"/>
          <w:numId w:val="0"/>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通过分析发现，DeepSeek新增用户效应显著。一是DeepSeek Web端访问量70%以上是新使用用户。根据对2025年1月份全球Web AI产品用户访问量榜单数据进行分析（表1），DeepSeek Web用户增量中仅有28.2%可用纳米AI搜索、百度和Kimi的用户流失来解释，另外的71.8%来自于国内外新增用户访问量。二是DeepSeek海外APP端日均活跃用户数规模超过国内。根据Appstore等统计，截止2月8日，DeepSeek海外APP端日均活跃用户数达到3685万，已经超过国内APP端的3494万，海外用户中印度、巴基斯坦、巴西和埃及、印尼等国用户占比较高，而这些国家除印度以外，其他国家截至2024年底的5G用户渗透率均低于10%。这意味着，DeepSeek以低于100KB/s带宽即可流畅运行的轻量化优势，在这些国家的4G网络环境下轻松获得大批用户。</w:t>
      </w:r>
      <w:r>
        <w:rPr>
          <w:rFonts w:hint="eastAsia" w:ascii="楷体" w:hAnsi="楷体" w:eastAsia="楷体" w:cs="楷体"/>
          <w:sz w:val="28"/>
          <w:szCs w:val="36"/>
          <w:highlight w:val="none"/>
          <w:lang w:val="en-US" w:eastAsia="zh-CN"/>
        </w:rPr>
        <w:t>三是</w:t>
      </w:r>
      <w:r>
        <w:rPr>
          <w:rFonts w:hint="eastAsia" w:ascii="楷体" w:hAnsi="楷体" w:eastAsia="楷体" w:cs="楷体"/>
          <w:b w:val="0"/>
          <w:bCs w:val="0"/>
          <w:sz w:val="28"/>
          <w:szCs w:val="36"/>
          <w:highlight w:val="none"/>
          <w:lang w:val="en-US" w:eastAsia="zh-CN"/>
        </w:rPr>
        <w:t>DeepSeek 相关平台的API调用量急剧增长。DeepSeek对</w:t>
      </w:r>
      <w:r>
        <w:rPr>
          <w:rFonts w:hint="eastAsia" w:ascii="楷体" w:hAnsi="楷体" w:eastAsia="楷体" w:cs="楷体"/>
          <w:sz w:val="28"/>
          <w:szCs w:val="36"/>
          <w:highlight w:val="none"/>
        </w:rPr>
        <w:t>普通用户，</w:t>
      </w:r>
      <w:r>
        <w:rPr>
          <w:rFonts w:hint="eastAsia" w:ascii="楷体" w:hAnsi="楷体" w:eastAsia="楷体" w:cs="楷体"/>
          <w:sz w:val="28"/>
          <w:szCs w:val="36"/>
          <w:highlight w:val="none"/>
          <w:lang w:val="en-US" w:eastAsia="zh-CN"/>
        </w:rPr>
        <w:t>支持</w:t>
      </w:r>
      <w:r>
        <w:rPr>
          <w:rFonts w:hint="eastAsia" w:ascii="楷体" w:hAnsi="楷体" w:eastAsia="楷体" w:cs="楷体"/>
          <w:sz w:val="28"/>
          <w:szCs w:val="36"/>
          <w:highlight w:val="none"/>
        </w:rPr>
        <w:t>免费API无限调用</w:t>
      </w:r>
      <w:r>
        <w:rPr>
          <w:rFonts w:hint="eastAsia" w:ascii="楷体" w:hAnsi="楷体" w:eastAsia="楷体" w:cs="楷体"/>
          <w:sz w:val="28"/>
          <w:szCs w:val="36"/>
          <w:highlight w:val="none"/>
          <w:lang w:eastAsia="zh-CN"/>
        </w:rPr>
        <w:t>，</w:t>
      </w:r>
      <w:r>
        <w:rPr>
          <w:rFonts w:hint="eastAsia" w:ascii="楷体" w:hAnsi="楷体" w:eastAsia="楷体" w:cs="楷体"/>
          <w:sz w:val="28"/>
          <w:szCs w:val="36"/>
          <w:highlight w:val="none"/>
        </w:rPr>
        <w:t>对需要更高性能或并发用户，根据付费模式进行调用。</w:t>
      </w:r>
      <w:r>
        <w:rPr>
          <w:rFonts w:hint="eastAsia" w:ascii="楷体" w:hAnsi="楷体" w:eastAsia="楷体" w:cs="楷体"/>
          <w:sz w:val="28"/>
          <w:szCs w:val="36"/>
          <w:highlight w:val="none"/>
          <w:lang w:val="en-US" w:eastAsia="zh-CN"/>
        </w:rPr>
        <w:t>部分</w:t>
      </w:r>
      <w:r>
        <w:rPr>
          <w:rFonts w:hint="eastAsia" w:ascii="楷体" w:hAnsi="楷体" w:eastAsia="楷体" w:cs="楷体"/>
          <w:b w:val="0"/>
          <w:bCs w:val="0"/>
          <w:sz w:val="28"/>
          <w:szCs w:val="36"/>
          <w:highlight w:val="none"/>
          <w:lang w:val="en-US" w:eastAsia="zh-CN"/>
        </w:rPr>
        <w:t>与DeepSeek深度聚合的数据平台如天聚平台，预计年调用将超 1500 亿次。根据调研，多家</w:t>
      </w:r>
      <w:r>
        <w:rPr>
          <w:rFonts w:hint="eastAsia" w:ascii="楷体" w:hAnsi="楷体" w:eastAsia="楷体" w:cs="楷体"/>
          <w:sz w:val="28"/>
          <w:szCs w:val="36"/>
          <w:highlight w:val="none"/>
          <w:lang w:eastAsia="zh-CN"/>
        </w:rPr>
        <w:t>数码</w:t>
      </w:r>
      <w:r>
        <w:rPr>
          <w:rFonts w:hint="eastAsia" w:ascii="楷体" w:hAnsi="楷体" w:eastAsia="楷体" w:cs="楷体"/>
          <w:sz w:val="28"/>
          <w:szCs w:val="36"/>
          <w:highlight w:val="none"/>
          <w:lang w:val="en-US" w:eastAsia="zh-CN"/>
        </w:rPr>
        <w:t>企业、法务公司、电商企业均在接入</w:t>
      </w:r>
      <w:r>
        <w:rPr>
          <w:rFonts w:hint="eastAsia" w:ascii="楷体" w:hAnsi="楷体" w:eastAsia="楷体" w:cs="楷体"/>
          <w:sz w:val="28"/>
          <w:szCs w:val="36"/>
          <w:highlight w:val="none"/>
          <w:lang w:eastAsia="zh-CN"/>
        </w:rPr>
        <w:t>DeepSeek-R1开源大模型</w:t>
      </w:r>
      <w:r>
        <w:rPr>
          <w:rFonts w:hint="eastAsia" w:ascii="楷体" w:hAnsi="楷体" w:eastAsia="楷体" w:cs="楷体"/>
          <w:sz w:val="28"/>
          <w:szCs w:val="36"/>
          <w:highlight w:val="none"/>
          <w:lang w:val="en-US" w:eastAsia="zh-CN"/>
        </w:rPr>
        <w:t>的API</w:t>
      </w:r>
      <w:r>
        <w:rPr>
          <w:rFonts w:hint="eastAsia" w:ascii="楷体" w:hAnsi="楷体" w:eastAsia="楷体" w:cs="楷体"/>
          <w:sz w:val="28"/>
          <w:szCs w:val="36"/>
          <w:highlight w:val="none"/>
          <w:lang w:eastAsia="zh-CN"/>
        </w:rPr>
        <w:t>接入</w:t>
      </w:r>
      <w:r>
        <w:rPr>
          <w:rFonts w:hint="eastAsia" w:ascii="楷体" w:hAnsi="楷体" w:eastAsia="楷体" w:cs="楷体"/>
          <w:sz w:val="28"/>
          <w:szCs w:val="36"/>
          <w:highlight w:val="none"/>
          <w:lang w:val="en-US" w:eastAsia="zh-CN"/>
        </w:rPr>
        <w:t>并尝试开展</w:t>
      </w:r>
      <w:r>
        <w:rPr>
          <w:rFonts w:hint="eastAsia" w:ascii="楷体" w:hAnsi="楷体" w:eastAsia="楷体" w:cs="楷体"/>
          <w:sz w:val="28"/>
          <w:szCs w:val="36"/>
          <w:highlight w:val="none"/>
          <w:lang w:eastAsia="zh-CN"/>
        </w:rPr>
        <w:t>本地化部署，</w:t>
      </w:r>
      <w:r>
        <w:rPr>
          <w:rFonts w:hint="eastAsia" w:ascii="楷体" w:hAnsi="楷体" w:eastAsia="楷体" w:cs="楷体"/>
          <w:sz w:val="28"/>
          <w:szCs w:val="36"/>
          <w:highlight w:val="none"/>
          <w:lang w:val="en-US" w:eastAsia="zh-CN"/>
        </w:rPr>
        <w:t>未来</w:t>
      </w:r>
      <w:r>
        <w:rPr>
          <w:rFonts w:hint="eastAsia" w:ascii="楷体" w:hAnsi="楷体" w:eastAsia="楷体" w:cs="楷体"/>
          <w:sz w:val="28"/>
          <w:szCs w:val="36"/>
          <w:highlight w:val="none"/>
          <w:lang w:eastAsia="zh-CN"/>
        </w:rPr>
        <w:t>DeepSeek</w:t>
      </w:r>
      <w:r>
        <w:rPr>
          <w:rFonts w:hint="eastAsia" w:ascii="楷体" w:hAnsi="楷体" w:eastAsia="楷体" w:cs="楷体"/>
          <w:sz w:val="28"/>
          <w:szCs w:val="36"/>
          <w:highlight w:val="none"/>
          <w:lang w:val="en-US" w:eastAsia="zh-CN"/>
        </w:rPr>
        <w:t xml:space="preserve"> API有可能会接近阿里云大模型API日均调用次数（2024年底接近100亿次）。</w:t>
      </w:r>
    </w:p>
    <w:tbl>
      <w:tblPr>
        <w:tblStyle w:val="4"/>
        <w:tblW w:w="76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95"/>
        <w:gridCol w:w="1873"/>
        <w:gridCol w:w="1735"/>
        <w:gridCol w:w="1110"/>
        <w:gridCol w:w="11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70" w:hRule="atLeast"/>
        </w:trPr>
        <w:tc>
          <w:tcPr>
            <w:tcW w:w="7620" w:type="dxa"/>
            <w:gridSpan w:val="5"/>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国内上榜AI应用月度WEB访问量（百万次）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AI应用</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2024年12月</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2025年1月</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变化量</w:t>
            </w:r>
          </w:p>
        </w:tc>
        <w:tc>
          <w:tcPr>
            <w:tcW w:w="0" w:type="auto"/>
            <w:tcBorders>
              <w:top w:val="single" w:color="000000" w:sz="4" w:space="0"/>
              <w:left w:val="single" w:color="000000" w:sz="4" w:space="0"/>
              <w:bottom w:val="single" w:color="000000" w:sz="4" w:space="0"/>
              <w:right w:val="single" w:color="000000" w:sz="4" w:space="0"/>
            </w:tcBorders>
            <w:shd w:val="clear" w:color="auto" w:fill="E7E6E6"/>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变化率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纳米AI搜素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359.33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307.87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-51.46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DeepSeek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11.01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256.54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245.53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2231%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豆包</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31.77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35.08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百度文库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45.89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-12.99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Kimi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38.37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-4.87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486.37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665.89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 xml:space="preserve">179.52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37%</w:t>
            </w:r>
          </w:p>
        </w:tc>
      </w:tr>
    </w:tbl>
    <w:p>
      <w:pPr>
        <w:numPr>
          <w:ilvl w:val="0"/>
          <w:numId w:val="0"/>
        </w:numPr>
        <w:ind w:firstLine="562"/>
        <w:rPr>
          <w:rFonts w:hint="eastAsia" w:ascii="楷体" w:hAnsi="楷体" w:eastAsia="楷体" w:cs="楷体"/>
          <w:b w:val="0"/>
          <w:bCs w:val="0"/>
          <w:sz w:val="24"/>
          <w:szCs w:val="52"/>
          <w:highlight w:val="none"/>
          <w:lang w:val="en-US" w:eastAsia="zh-CN"/>
        </w:rPr>
      </w:pPr>
      <w:r>
        <w:rPr>
          <w:rFonts w:hint="eastAsia" w:ascii="楷体" w:hAnsi="楷体" w:eastAsia="楷体" w:cs="楷体"/>
          <w:b w:val="0"/>
          <w:bCs w:val="0"/>
          <w:sz w:val="24"/>
          <w:szCs w:val="52"/>
          <w:highlight w:val="none"/>
          <w:lang w:val="en-US" w:eastAsia="zh-CN"/>
        </w:rPr>
        <w:t>表1：</w:t>
      </w:r>
      <w:r>
        <w:rPr>
          <w:rFonts w:hint="eastAsia" w:ascii="楷体" w:hAnsi="楷体" w:eastAsia="楷体" w:cs="楷体"/>
          <w:i w:val="0"/>
          <w:iCs w:val="0"/>
          <w:color w:val="000000"/>
          <w:kern w:val="0"/>
          <w:sz w:val="24"/>
          <w:szCs w:val="36"/>
          <w:highlight w:val="none"/>
          <w:u w:val="none"/>
          <w:lang w:val="en-US" w:eastAsia="zh-CN" w:bidi="ar"/>
        </w:rPr>
        <w:t>国内上榜AI应用月度WEB访问量环比情况</w:t>
      </w:r>
    </w:p>
    <w:p>
      <w:pPr>
        <w:numPr>
          <w:ilvl w:val="0"/>
          <w:numId w:val="0"/>
        </w:numPr>
        <w:ind w:firstLine="562"/>
        <w:rPr>
          <w:rFonts w:hint="eastAsia" w:ascii="楷体" w:hAnsi="楷体" w:eastAsia="楷体" w:cs="楷体"/>
          <w:b w:val="0"/>
          <w:bCs w:val="0"/>
          <w:sz w:val="28"/>
          <w:szCs w:val="36"/>
          <w:highlight w:val="none"/>
          <w:lang w:val="en-US" w:eastAsia="zh-CN"/>
        </w:rPr>
      </w:pPr>
    </w:p>
    <w:p>
      <w:pPr>
        <w:numPr>
          <w:ilvl w:val="0"/>
          <w:numId w:val="0"/>
        </w:numPr>
        <w:rPr>
          <w:rFonts w:hint="default"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二、DeepSeek大火之后将给哪些市场带来强劲需求？</w:t>
      </w:r>
    </w:p>
    <w:p>
      <w:pPr>
        <w:numPr>
          <w:ilvl w:val="0"/>
          <w:numId w:val="0"/>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从截至目前使用数据来看，DeepSeek R1在多个行业应用领域使用效果良好，反馈包括数字营销广告文案生成效率提升300%、秒级生成个性化学习方案教育培训、软件开发代码纠错准确率达98.7%、金融风控报告撰写时间缩短80%、医疗健康诊断建议符合率超三甲医院专家，测试门诊误诊率仅0.3%等。DeepSeek兴起直接带动全社会AI推理服务需求激增，预计2025年将带来如下细分市场的强劲增长。</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一是对话式AI推理服务逐步走向行业深度价值挖掘，带来规模发展应用需求</w:t>
      </w:r>
      <w:r>
        <w:rPr>
          <w:rFonts w:hint="eastAsia" w:ascii="楷体" w:hAnsi="楷体" w:eastAsia="楷体" w:cs="楷体"/>
          <w:b w:val="0"/>
          <w:bCs w:val="0"/>
          <w:sz w:val="28"/>
          <w:szCs w:val="36"/>
          <w:highlight w:val="none"/>
          <w:lang w:val="en-US" w:eastAsia="zh-CN"/>
        </w:rPr>
        <w:t>。根据Similar web等机构对全球2万多款AI产品的统计数据，2024年底AI应用访问量较年初增长1.1倍以上，其中对话式AI服务增长1.44倍，占比提高到63%（图1）。由于DeepSeek R1的深度推理优势明显强于其他的AI智能助手和AI搜索引擎，预计将全面激发G类、B类和C类用户在公众服务、医疗诊断、理财规划、教育培训等垂直领域的AI推理需求，并可能对现有的行业大模型构成更替。后续众多创业公司将通过定制化开发满足特定行业的推理需求，开展行业场景化深度推理价值挖掘，将进一步带动对话式AI推理服务的快速增长。</w:t>
      </w:r>
    </w:p>
    <w:p>
      <w:pPr>
        <w:numPr>
          <w:ilvl w:val="0"/>
          <w:numId w:val="0"/>
        </w:numPr>
        <w:ind w:firstLine="562"/>
        <w:rPr>
          <w:rFonts w:hint="default" w:ascii="楷体" w:hAnsi="楷体" w:eastAsia="楷体" w:cs="楷体"/>
          <w:b w:val="0"/>
          <w:bCs w:val="0"/>
          <w:sz w:val="28"/>
          <w:szCs w:val="36"/>
          <w:highlight w:val="none"/>
          <w:lang w:val="en-US" w:eastAsia="zh-CN"/>
        </w:rPr>
      </w:pPr>
      <w:r>
        <w:rPr>
          <w:rFonts w:hint="default" w:ascii="楷体" w:hAnsi="楷体" w:eastAsia="楷体" w:cs="楷体"/>
          <w:b w:val="0"/>
          <w:bCs w:val="0"/>
          <w:sz w:val="28"/>
          <w:szCs w:val="36"/>
          <w:highlight w:val="none"/>
          <w:lang w:val="en-US" w:eastAsia="zh-CN"/>
        </w:rPr>
        <w:drawing>
          <wp:inline distT="0" distB="0" distL="114300" distR="114300">
            <wp:extent cx="4189730" cy="2583815"/>
            <wp:effectExtent l="0" t="0" r="1270" b="6985"/>
            <wp:docPr id="2" name="图片 2" descr="173925496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9254969924"/>
                    <pic:cNvPicPr>
                      <a:picLocks noChangeAspect="1"/>
                    </pic:cNvPicPr>
                  </pic:nvPicPr>
                  <pic:blipFill>
                    <a:blip r:embed="rId4"/>
                    <a:stretch>
                      <a:fillRect/>
                    </a:stretch>
                  </pic:blipFill>
                  <pic:spPr>
                    <a:xfrm>
                      <a:off x="0" y="0"/>
                      <a:ext cx="4189730" cy="2583815"/>
                    </a:xfrm>
                    <a:prstGeom prst="rect">
                      <a:avLst/>
                    </a:prstGeom>
                  </pic:spPr>
                </pic:pic>
              </a:graphicData>
            </a:graphic>
          </wp:inline>
        </w:drawing>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val="0"/>
          <w:bCs w:val="0"/>
          <w:sz w:val="24"/>
          <w:szCs w:val="32"/>
          <w:highlight w:val="none"/>
          <w:lang w:val="en-US" w:eastAsia="zh-CN"/>
        </w:rPr>
        <w:t>图1：2024全年全球2万多款AI应用访问量分布</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二是AI产品形态将向平台化边缘服务方向演变，带动边缘云推理服务发展。</w:t>
      </w:r>
      <w:r>
        <w:rPr>
          <w:rFonts w:hint="eastAsia" w:ascii="楷体" w:hAnsi="楷体" w:eastAsia="楷体" w:cs="楷体"/>
          <w:b w:val="0"/>
          <w:bCs w:val="0"/>
          <w:sz w:val="28"/>
          <w:szCs w:val="36"/>
          <w:highlight w:val="none"/>
          <w:lang w:val="en-US" w:eastAsia="zh-CN"/>
        </w:rPr>
        <w:t>DeepSeek具备可轻量化部署特征将进一步带动边缘计算逐渐成为AI推理的重要承载平台。随着DeepSeek大模型向工业互联网、物联网及智能穿戴设备领域的蔓延，用户侧对推理实时性、安全性和隐私性的需求日益显现，边缘推理在自动驾驶、具身机器人、智能家居等场景中具有不可替代的应用价值。与此同时，大模型商也将推出可以整合边缘设备的AI助手客户端，通过平台化方式提供边缘设备智能化管理、数据分析和预警等专业功能。根据Gartner预计，2025年50%的企业数据将在边缘端创建。目前云服务商除采用“云端训练、边缘推理”的部署模式之外，还通过采用新型AI推理芯片、边缘计算平台（如AWS Greengrass）等方式支持更高效的AI边缘推理任务。</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三是多垂直领域本地化部署大模型的企业需求将会激增</w:t>
      </w:r>
      <w:r>
        <w:rPr>
          <w:rFonts w:hint="eastAsia" w:ascii="楷体" w:hAnsi="楷体" w:eastAsia="楷体" w:cs="楷体"/>
          <w:b w:val="0"/>
          <w:bCs w:val="0"/>
          <w:sz w:val="28"/>
          <w:szCs w:val="36"/>
          <w:highlight w:val="none"/>
          <w:lang w:val="en-US" w:eastAsia="zh-CN"/>
        </w:rPr>
        <w:t>。在2月5日优惠期到期之后，DeepSeek 的</w:t>
      </w:r>
      <w:r>
        <w:rPr>
          <w:rFonts w:hint="default" w:ascii="楷体" w:hAnsi="楷体" w:eastAsia="楷体" w:cs="楷体"/>
          <w:b w:val="0"/>
          <w:bCs w:val="0"/>
          <w:sz w:val="28"/>
          <w:szCs w:val="36"/>
          <w:highlight w:val="none"/>
          <w:lang w:val="en-US" w:eastAsia="zh-CN"/>
        </w:rPr>
        <w:t>API</w:t>
      </w:r>
      <w:r>
        <w:rPr>
          <w:rFonts w:hint="eastAsia" w:ascii="楷体" w:hAnsi="楷体" w:eastAsia="楷体" w:cs="楷体"/>
          <w:b w:val="0"/>
          <w:bCs w:val="0"/>
          <w:sz w:val="28"/>
          <w:szCs w:val="36"/>
          <w:highlight w:val="none"/>
          <w:lang w:val="en-US" w:eastAsia="zh-CN"/>
        </w:rPr>
        <w:t>调用</w:t>
      </w:r>
      <w:r>
        <w:rPr>
          <w:rFonts w:hint="default" w:ascii="楷体" w:hAnsi="楷体" w:eastAsia="楷体" w:cs="楷体"/>
          <w:b w:val="0"/>
          <w:bCs w:val="0"/>
          <w:sz w:val="28"/>
          <w:szCs w:val="36"/>
          <w:highlight w:val="none"/>
          <w:lang w:val="en-US" w:eastAsia="zh-CN"/>
        </w:rPr>
        <w:t>价格相较优惠期上调2</w:t>
      </w:r>
      <w:r>
        <w:rPr>
          <w:rFonts w:hint="eastAsia" w:ascii="楷体" w:hAnsi="楷体" w:eastAsia="楷体" w:cs="楷体"/>
          <w:b w:val="0"/>
          <w:bCs w:val="0"/>
          <w:sz w:val="28"/>
          <w:szCs w:val="36"/>
          <w:highlight w:val="none"/>
          <w:lang w:val="en-US" w:eastAsia="zh-CN"/>
        </w:rPr>
        <w:t>-</w:t>
      </w:r>
      <w:r>
        <w:rPr>
          <w:rFonts w:hint="default" w:ascii="楷体" w:hAnsi="楷体" w:eastAsia="楷体" w:cs="楷体"/>
          <w:b w:val="0"/>
          <w:bCs w:val="0"/>
          <w:sz w:val="28"/>
          <w:szCs w:val="36"/>
          <w:highlight w:val="none"/>
          <w:lang w:val="en-US" w:eastAsia="zh-CN"/>
        </w:rPr>
        <w:t>4倍不等，</w:t>
      </w:r>
      <w:r>
        <w:rPr>
          <w:rFonts w:hint="eastAsia" w:ascii="楷体" w:hAnsi="楷体" w:eastAsia="楷体" w:cs="楷体"/>
          <w:b w:val="0"/>
          <w:bCs w:val="0"/>
          <w:sz w:val="28"/>
          <w:szCs w:val="36"/>
          <w:highlight w:val="none"/>
          <w:lang w:val="en-US" w:eastAsia="zh-CN"/>
        </w:rPr>
        <w:t>加上DeepSeek 的开源策略，更多企业和机构将</w:t>
      </w:r>
      <w:r>
        <w:rPr>
          <w:rFonts w:hint="default" w:ascii="楷体" w:hAnsi="楷体" w:eastAsia="楷体" w:cs="楷体"/>
          <w:b w:val="0"/>
          <w:bCs w:val="0"/>
          <w:sz w:val="28"/>
          <w:szCs w:val="36"/>
          <w:highlight w:val="none"/>
          <w:lang w:val="en-US" w:eastAsia="zh-CN"/>
        </w:rPr>
        <w:t>更倾向于选择本地化部署</w:t>
      </w:r>
      <w:r>
        <w:rPr>
          <w:rFonts w:hint="eastAsia" w:ascii="楷体" w:hAnsi="楷体" w:eastAsia="楷体" w:cs="楷体"/>
          <w:b w:val="0"/>
          <w:bCs w:val="0"/>
          <w:sz w:val="28"/>
          <w:szCs w:val="36"/>
          <w:highlight w:val="none"/>
          <w:lang w:val="en-US" w:eastAsia="zh-CN"/>
        </w:rPr>
        <w:t>大模型。DeepSeek以其优化算法和工程实践降低了大模型的开发成本，同时支持定制化调整，受到G类和B类用户的普遍欢迎。根据调研和访谈，节后我国金融、电商、医疗、法务等多行业机构通过多种方式试用、接入和本地化部署DeepSeek。目前已有多家券商完成DeepSeek的本地化部署测试，并计划将其应用于风险管理、投资分析等核心业务领域，如</w:t>
      </w:r>
      <w:r>
        <w:rPr>
          <w:rFonts w:hint="eastAsia" w:ascii="楷体" w:hAnsi="楷体" w:eastAsia="楷体" w:cs="楷体"/>
          <w:sz w:val="28"/>
          <w:szCs w:val="36"/>
          <w:highlight w:val="none"/>
          <w:lang w:eastAsia="zh-CN"/>
        </w:rPr>
        <w:t>东方国信</w:t>
      </w:r>
      <w:r>
        <w:rPr>
          <w:rFonts w:hint="eastAsia" w:ascii="楷体" w:hAnsi="楷体" w:eastAsia="楷体" w:cs="楷体"/>
          <w:sz w:val="28"/>
          <w:szCs w:val="36"/>
          <w:highlight w:val="none"/>
          <w:lang w:val="en-US" w:eastAsia="zh-CN"/>
        </w:rPr>
        <w:t>的</w:t>
      </w:r>
      <w:r>
        <w:rPr>
          <w:rFonts w:hint="eastAsia" w:ascii="楷体" w:hAnsi="楷体" w:eastAsia="楷体" w:cs="楷体"/>
          <w:sz w:val="28"/>
          <w:szCs w:val="36"/>
          <w:highlight w:val="none"/>
          <w:lang w:eastAsia="zh-CN"/>
        </w:rPr>
        <w:t>幕僚智数平台</w:t>
      </w:r>
      <w:r>
        <w:rPr>
          <w:rFonts w:hint="eastAsia" w:ascii="楷体" w:hAnsi="楷体" w:eastAsia="楷体" w:cs="楷体"/>
          <w:b w:val="0"/>
          <w:bCs w:val="0"/>
          <w:sz w:val="28"/>
          <w:szCs w:val="36"/>
          <w:highlight w:val="none"/>
          <w:lang w:val="en-US" w:eastAsia="zh-CN"/>
        </w:rPr>
        <w:t>。部分制造业企业也计划使用DeepSeek用于预测性维护、工艺参数优化等本地化推理场景，部分医疗机构使用DeepSeek用于训练客户数据集并开展AI诊疗服务，部分电商用于</w:t>
      </w:r>
      <w:r>
        <w:rPr>
          <w:rFonts w:hint="eastAsia" w:ascii="楷体" w:hAnsi="楷体" w:eastAsia="楷体" w:cs="楷体"/>
          <w:sz w:val="28"/>
          <w:szCs w:val="36"/>
          <w:highlight w:val="none"/>
          <w:lang w:eastAsia="zh-CN"/>
        </w:rPr>
        <w:t>旗下的商品治理、价格监测、智能辅助评标</w:t>
      </w:r>
      <w:r>
        <w:rPr>
          <w:rFonts w:hint="eastAsia" w:ascii="楷体" w:hAnsi="楷体" w:eastAsia="楷体" w:cs="楷体"/>
          <w:sz w:val="28"/>
          <w:szCs w:val="36"/>
          <w:highlight w:val="none"/>
          <w:lang w:val="en-US" w:eastAsia="zh-CN"/>
        </w:rPr>
        <w:t>和</w:t>
      </w:r>
      <w:r>
        <w:rPr>
          <w:rFonts w:hint="eastAsia" w:ascii="楷体" w:hAnsi="楷体" w:eastAsia="楷体" w:cs="楷体"/>
          <w:sz w:val="28"/>
          <w:szCs w:val="36"/>
          <w:highlight w:val="none"/>
          <w:lang w:eastAsia="zh-CN"/>
        </w:rPr>
        <w:t>智能采购</w:t>
      </w:r>
      <w:r>
        <w:rPr>
          <w:rFonts w:hint="eastAsia" w:ascii="楷体" w:hAnsi="楷体" w:eastAsia="楷体" w:cs="楷体"/>
          <w:b w:val="0"/>
          <w:bCs w:val="0"/>
          <w:sz w:val="28"/>
          <w:szCs w:val="36"/>
          <w:highlight w:val="none"/>
          <w:lang w:val="en-US" w:eastAsia="zh-CN"/>
        </w:rPr>
        <w:t>。</w:t>
      </w:r>
    </w:p>
    <w:p>
      <w:pPr>
        <w:numPr>
          <w:ilvl w:val="0"/>
          <w:numId w:val="0"/>
        </w:numPr>
        <w:ind w:firstLine="562"/>
        <w:rPr>
          <w:rFonts w:hint="eastAsia" w:ascii="楷体" w:hAnsi="楷体" w:eastAsia="楷体" w:cs="楷体"/>
          <w:b w:val="0"/>
          <w:bCs w:val="0"/>
          <w:sz w:val="28"/>
          <w:szCs w:val="36"/>
          <w:highlight w:val="none"/>
          <w:lang w:val="en-US" w:eastAsia="zh-CN"/>
        </w:rPr>
      </w:pPr>
    </w:p>
    <w:p>
      <w:pPr>
        <w:numPr>
          <w:ilvl w:val="0"/>
          <w:numId w:val="0"/>
        </w:numPr>
        <w:ind w:firstLine="562"/>
        <w:rPr>
          <w:rFonts w:hint="default" w:ascii="楷体" w:hAnsi="楷体" w:eastAsia="楷体" w:cs="楷体"/>
          <w:b/>
          <w:bCs/>
          <w:sz w:val="28"/>
          <w:szCs w:val="36"/>
          <w:highlight w:val="none"/>
          <w:lang w:val="en-US" w:eastAsia="zh-CN"/>
        </w:rPr>
      </w:pPr>
      <w:r>
        <w:rPr>
          <w:rFonts w:hint="eastAsia" w:ascii="楷体" w:hAnsi="楷体" w:eastAsia="楷体" w:cs="楷体"/>
          <w:b/>
          <w:bCs/>
          <w:sz w:val="28"/>
          <w:szCs w:val="36"/>
          <w:highlight w:val="none"/>
          <w:lang w:val="en-US" w:eastAsia="zh-CN"/>
        </w:rPr>
        <w:t>三、DeepSeek模型多种部署方式下，电信运营商可以做些什么？</w:t>
      </w:r>
    </w:p>
    <w:p>
      <w:pPr>
        <w:numPr>
          <w:ilvl w:val="0"/>
          <w:numId w:val="0"/>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val="0"/>
          <w:bCs w:val="0"/>
          <w:sz w:val="28"/>
          <w:szCs w:val="36"/>
          <w:highlight w:val="none"/>
          <w:lang w:val="en-US" w:eastAsia="zh-CN"/>
        </w:rPr>
        <w:t>建议积极进一步动态跟踪DeepSeek带来的商业化突破契机，全面梳理运营商从算力和云基础设施层、多模型部署平台层、大模型应用生态等层面的能力体系，优化调整市场策略，加快迎接DeepSeek给运营商带来的云、5G和低空经济、数据要素等领域的发展机遇。</w:t>
      </w:r>
    </w:p>
    <w:p>
      <w:pPr>
        <w:numPr>
          <w:ilvl w:val="0"/>
          <w:numId w:val="0"/>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一是加快公有云部署DeepSeek模型策略优化，与硅基流动等擅长云端部署领先企业开展部署合作</w:t>
      </w:r>
      <w:r>
        <w:rPr>
          <w:rFonts w:hint="eastAsia" w:ascii="楷体" w:hAnsi="楷体" w:eastAsia="楷体" w:cs="楷体"/>
          <w:b w:val="0"/>
          <w:bCs w:val="0"/>
          <w:sz w:val="28"/>
          <w:szCs w:val="36"/>
          <w:highlight w:val="none"/>
          <w:lang w:val="en-US" w:eastAsia="zh-CN"/>
        </w:rPr>
        <w:t>。建议尽快下调公有云一键部署DeepSeek模型门槛和GPU裸金属服务器报价，增大营销力度，挖掘需要准备在公有云上接入Deep Seek的行业用户，根据其使用场景、硬件环境和Token数要求，确定多样化的部署策略，如借鉴阿里云通过PAI Model Gallery支持BladeLLM 、SGLang、vLLM和标准等四种加速部署策略，接入不同参数规模的DeepSeek R1版本，适用于不同的终端和场景，如BladeLLM 适用于高性能推理场景，SGLang 适用于视觉语言模型快速服务场景，vLLM适用于高吞吐量和低延迟的场景。另外，尽快与特别擅长云端部署技术的硅基流动等企业开展云端高性能推理套件、一站式大模型云服务平台和AI应用开发平台合作。</w:t>
      </w:r>
    </w:p>
    <w:p>
      <w:pPr>
        <w:numPr>
          <w:ilvl w:val="0"/>
          <w:numId w:val="0"/>
        </w:numPr>
        <w:ind w:firstLine="562"/>
        <w:rPr>
          <w:rFonts w:hint="eastAsia" w:ascii="楷体" w:hAnsi="楷体" w:eastAsia="楷体" w:cs="楷体"/>
          <w:b w:val="0"/>
          <w:bCs w:val="0"/>
          <w:sz w:val="28"/>
          <w:szCs w:val="36"/>
          <w:highlight w:val="none"/>
          <w:lang w:val="en-US" w:eastAsia="zh-CN"/>
        </w:rPr>
      </w:pPr>
      <w:r>
        <w:rPr>
          <w:rFonts w:hint="eastAsia" w:ascii="楷体" w:hAnsi="楷体" w:eastAsia="楷体" w:cs="楷体"/>
          <w:b/>
          <w:bCs/>
          <w:sz w:val="28"/>
          <w:szCs w:val="36"/>
          <w:highlight w:val="none"/>
          <w:lang w:val="en-US" w:eastAsia="zh-CN"/>
        </w:rPr>
        <w:t>二是加快发掘政务、金融和医疗等行业私有环境本地化部署需求。</w:t>
      </w:r>
      <w:r>
        <w:rPr>
          <w:rFonts w:hint="eastAsia" w:ascii="楷体" w:hAnsi="楷体" w:eastAsia="楷体" w:cs="楷体"/>
          <w:b w:val="0"/>
          <w:bCs w:val="0"/>
          <w:sz w:val="28"/>
          <w:szCs w:val="36"/>
          <w:highlight w:val="none"/>
          <w:lang w:val="en-US" w:eastAsia="zh-CN"/>
        </w:rPr>
        <w:t>建议全面拓展</w:t>
      </w:r>
      <w:r>
        <w:rPr>
          <w:rFonts w:hint="eastAsia" w:ascii="楷体" w:hAnsi="楷体" w:eastAsia="楷体" w:cs="楷体"/>
          <w:sz w:val="28"/>
          <w:szCs w:val="36"/>
          <w:highlight w:val="none"/>
        </w:rPr>
        <w:t>互联网开发</w:t>
      </w:r>
      <w:r>
        <w:rPr>
          <w:rFonts w:hint="eastAsia" w:ascii="楷体" w:hAnsi="楷体" w:eastAsia="楷体" w:cs="楷体"/>
          <w:sz w:val="28"/>
          <w:szCs w:val="36"/>
          <w:highlight w:val="none"/>
          <w:lang w:eastAsia="zh-CN"/>
        </w:rPr>
        <w:t>、</w:t>
      </w:r>
      <w:r>
        <w:rPr>
          <w:rFonts w:hint="eastAsia" w:ascii="楷体" w:hAnsi="楷体" w:eastAsia="楷体" w:cs="楷体"/>
          <w:sz w:val="28"/>
          <w:szCs w:val="36"/>
          <w:highlight w:val="none"/>
        </w:rPr>
        <w:t>律所</w:t>
      </w:r>
      <w:r>
        <w:rPr>
          <w:rFonts w:hint="eastAsia" w:ascii="楷体" w:hAnsi="楷体" w:eastAsia="楷体" w:cs="楷体"/>
          <w:sz w:val="28"/>
          <w:szCs w:val="36"/>
          <w:highlight w:val="none"/>
          <w:lang w:val="en-US" w:eastAsia="zh-CN"/>
        </w:rPr>
        <w:t>法务、</w:t>
      </w:r>
      <w:r>
        <w:rPr>
          <w:rFonts w:hint="eastAsia" w:ascii="楷体" w:hAnsi="楷体" w:eastAsia="楷体" w:cs="楷体"/>
          <w:sz w:val="28"/>
          <w:szCs w:val="36"/>
          <w:highlight w:val="none"/>
        </w:rPr>
        <w:t>银行基金</w:t>
      </w:r>
      <w:r>
        <w:rPr>
          <w:rFonts w:hint="eastAsia" w:ascii="楷体" w:hAnsi="楷体" w:eastAsia="楷体" w:cs="楷体"/>
          <w:sz w:val="28"/>
          <w:szCs w:val="36"/>
          <w:highlight w:val="none"/>
          <w:lang w:val="en-US" w:eastAsia="zh-CN"/>
        </w:rPr>
        <w:t>和</w:t>
      </w:r>
      <w:r>
        <w:rPr>
          <w:rFonts w:hint="eastAsia" w:ascii="楷体" w:hAnsi="楷体" w:eastAsia="楷体" w:cs="楷体"/>
          <w:sz w:val="28"/>
          <w:szCs w:val="36"/>
          <w:highlight w:val="none"/>
        </w:rPr>
        <w:t>保险</w:t>
      </w:r>
      <w:r>
        <w:rPr>
          <w:rFonts w:hint="eastAsia" w:ascii="楷体" w:hAnsi="楷体" w:eastAsia="楷体" w:cs="楷体"/>
          <w:sz w:val="28"/>
          <w:szCs w:val="36"/>
          <w:highlight w:val="none"/>
          <w:lang w:eastAsia="zh-CN"/>
        </w:rPr>
        <w:t>、</w:t>
      </w:r>
      <w:r>
        <w:rPr>
          <w:rFonts w:hint="eastAsia" w:ascii="楷体" w:hAnsi="楷体" w:eastAsia="楷体" w:cs="楷体"/>
          <w:sz w:val="28"/>
          <w:szCs w:val="36"/>
          <w:highlight w:val="none"/>
        </w:rPr>
        <w:t>电商</w:t>
      </w:r>
      <w:r>
        <w:rPr>
          <w:rFonts w:hint="eastAsia" w:ascii="楷体" w:hAnsi="楷体" w:eastAsia="楷体" w:cs="楷体"/>
          <w:sz w:val="28"/>
          <w:szCs w:val="36"/>
          <w:highlight w:val="none"/>
          <w:lang w:val="en-US" w:eastAsia="zh-CN"/>
        </w:rPr>
        <w:t>和工业制造</w:t>
      </w:r>
      <w:r>
        <w:rPr>
          <w:rFonts w:hint="eastAsia" w:ascii="楷体" w:hAnsi="楷体" w:eastAsia="楷体" w:cs="楷体"/>
          <w:sz w:val="28"/>
          <w:szCs w:val="36"/>
          <w:highlight w:val="none"/>
          <w:lang w:eastAsia="zh-CN"/>
        </w:rPr>
        <w:t>、</w:t>
      </w:r>
      <w:r>
        <w:rPr>
          <w:rFonts w:hint="eastAsia" w:ascii="楷体" w:hAnsi="楷体" w:eastAsia="楷体" w:cs="楷体"/>
          <w:sz w:val="28"/>
          <w:szCs w:val="36"/>
          <w:highlight w:val="none"/>
          <w:lang w:val="en-US" w:eastAsia="zh-CN"/>
        </w:rPr>
        <w:t>医疗和</w:t>
      </w:r>
      <w:r>
        <w:rPr>
          <w:rFonts w:hint="eastAsia" w:ascii="楷体" w:hAnsi="楷体" w:eastAsia="楷体" w:cs="楷体"/>
          <w:sz w:val="28"/>
          <w:szCs w:val="36"/>
          <w:highlight w:val="none"/>
        </w:rPr>
        <w:t>教育</w:t>
      </w:r>
      <w:r>
        <w:rPr>
          <w:rFonts w:hint="eastAsia" w:ascii="楷体" w:hAnsi="楷体" w:eastAsia="楷体" w:cs="楷体"/>
          <w:sz w:val="28"/>
          <w:szCs w:val="36"/>
          <w:highlight w:val="none"/>
          <w:lang w:val="en-US" w:eastAsia="zh-CN"/>
        </w:rPr>
        <w:t>等使用效果显著的企业和</w:t>
      </w:r>
      <w:r>
        <w:rPr>
          <w:rFonts w:hint="eastAsia" w:ascii="楷体" w:hAnsi="楷体" w:eastAsia="楷体" w:cs="楷体"/>
          <w:sz w:val="28"/>
          <w:szCs w:val="36"/>
          <w:highlight w:val="none"/>
        </w:rPr>
        <w:t>机构</w:t>
      </w:r>
      <w:r>
        <w:rPr>
          <w:rFonts w:hint="eastAsia" w:ascii="楷体" w:hAnsi="楷体" w:eastAsia="楷体" w:cs="楷体"/>
          <w:sz w:val="28"/>
          <w:szCs w:val="36"/>
          <w:highlight w:val="none"/>
          <w:lang w:val="en-US" w:eastAsia="zh-CN"/>
        </w:rPr>
        <w:t>客户，通过大数据治理+</w:t>
      </w:r>
      <w:r>
        <w:rPr>
          <w:rFonts w:hint="eastAsia" w:ascii="楷体" w:hAnsi="楷体" w:eastAsia="楷体" w:cs="楷体"/>
          <w:b w:val="0"/>
          <w:bCs w:val="0"/>
          <w:sz w:val="28"/>
          <w:szCs w:val="36"/>
          <w:highlight w:val="none"/>
          <w:lang w:val="en-US" w:eastAsia="zh-CN"/>
        </w:rPr>
        <w:t>DeepSeek 接入核心业务流程的方式，</w:t>
      </w:r>
      <w:r>
        <w:rPr>
          <w:rFonts w:hint="eastAsia" w:ascii="楷体" w:hAnsi="楷体" w:eastAsia="楷体" w:cs="楷体"/>
          <w:sz w:val="28"/>
          <w:szCs w:val="36"/>
          <w:highlight w:val="none"/>
          <w:lang w:val="en-US" w:eastAsia="zh-CN"/>
        </w:rPr>
        <w:t>满足该类用户的</w:t>
      </w:r>
      <w:r>
        <w:rPr>
          <w:rFonts w:hint="eastAsia" w:ascii="楷体" w:hAnsi="楷体" w:eastAsia="楷体" w:cs="楷体"/>
          <w:b w:val="0"/>
          <w:bCs w:val="0"/>
          <w:sz w:val="28"/>
          <w:szCs w:val="36"/>
          <w:highlight w:val="none"/>
          <w:lang w:val="en-US" w:eastAsia="zh-CN"/>
        </w:rPr>
        <w:t>降本增效需求。一是加大对现有在网的所有的旧版智能中台、数据中台、混合云、私有云、云维保等类型客户在私有环境中部署DeepSeek模型需求的发掘。二是加快吸引出于应急使用需要通过第三方平台（如360纳米搜索等）快速部署DeepSeek模型用户，改为通过运营商提供的Ollama+Chatbox工具、Docker容器化等方式进行本地化部署。三是加快联合AI手机、AI眼镜等相关厂家，在移动客户端植入系统模拟器便于接入或提供集成后的API接口。</w:t>
      </w:r>
    </w:p>
    <w:tbl>
      <w:tblPr>
        <w:tblStyle w:val="4"/>
        <w:tblW w:w="772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21"/>
        <w:gridCol w:w="2641"/>
        <w:gridCol w:w="42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ascii="楷体" w:hAnsi="楷体" w:eastAsia="楷体" w:cs="楷体"/>
                <w:b/>
                <w:bCs/>
                <w:i w:val="0"/>
                <w:iCs w:val="0"/>
                <w:color w:val="000000"/>
                <w:sz w:val="22"/>
                <w:szCs w:val="22"/>
                <w:highlight w:val="none"/>
                <w:u w:val="none"/>
              </w:rPr>
            </w:pPr>
            <w:r>
              <w:rPr>
                <w:rFonts w:hint="eastAsia" w:ascii="楷体" w:hAnsi="楷体" w:eastAsia="楷体" w:cs="楷体"/>
                <w:b/>
                <w:bCs/>
                <w:i w:val="0"/>
                <w:iCs w:val="0"/>
                <w:color w:val="000000"/>
                <w:kern w:val="0"/>
                <w:sz w:val="22"/>
                <w:szCs w:val="22"/>
                <w:highlight w:val="none"/>
                <w:u w:val="none"/>
                <w:lang w:val="en-US" w:eastAsia="zh-CN" w:bidi="ar"/>
              </w:rPr>
              <w:t>目标行业</w:t>
            </w:r>
          </w:p>
        </w:tc>
        <w:tc>
          <w:tcPr>
            <w:tcW w:w="26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i w:val="0"/>
                <w:iCs w:val="0"/>
                <w:color w:val="000000"/>
                <w:kern w:val="0"/>
                <w:sz w:val="22"/>
                <w:szCs w:val="22"/>
                <w:highlight w:val="none"/>
                <w:u w:val="none"/>
                <w:lang w:val="en-US" w:eastAsia="zh-CN" w:bidi="ar"/>
              </w:rPr>
              <w:t>最感兴趣的AI应用场景</w:t>
            </w:r>
          </w:p>
        </w:tc>
        <w:tc>
          <w:tcPr>
            <w:tcW w:w="34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i w:val="0"/>
                <w:iCs w:val="0"/>
                <w:color w:val="000000"/>
                <w:kern w:val="0"/>
                <w:sz w:val="22"/>
                <w:szCs w:val="22"/>
                <w:highlight w:val="none"/>
                <w:u w:val="none"/>
                <w:lang w:val="en-US" w:eastAsia="zh-CN" w:bidi="ar"/>
              </w:rPr>
              <w:t>最想体验的服务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互联网开发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代码统管/脚本纠错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AI开发工具+Deepseek部署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楷体" w:hAnsi="楷体" w:eastAsia="楷体" w:cs="楷体"/>
                <w:i w:val="0"/>
                <w:iCs w:val="0"/>
                <w:color w:val="000000"/>
                <w:kern w:val="0"/>
                <w:sz w:val="22"/>
                <w:szCs w:val="22"/>
                <w:highlight w:val="none"/>
                <w:u w:val="none"/>
                <w:lang w:val="en-US" w:eastAsia="zh-CN" w:bidi="ar"/>
              </w:rPr>
            </w:pPr>
            <w:r>
              <w:rPr>
                <w:rFonts w:hint="eastAsia" w:ascii="楷体" w:hAnsi="楷体" w:eastAsia="楷体" w:cs="楷体"/>
                <w:i w:val="0"/>
                <w:iCs w:val="0"/>
                <w:color w:val="000000"/>
                <w:kern w:val="0"/>
                <w:sz w:val="22"/>
                <w:szCs w:val="22"/>
                <w:highlight w:val="none"/>
                <w:u w:val="none"/>
                <w:lang w:val="en-US" w:eastAsia="zh-CN" w:bidi="ar"/>
              </w:rPr>
              <w:t>律所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楷体" w:hAnsi="楷体" w:eastAsia="楷体" w:cs="楷体"/>
                <w:i w:val="0"/>
                <w:iCs w:val="0"/>
                <w:color w:val="000000"/>
                <w:kern w:val="0"/>
                <w:sz w:val="22"/>
                <w:szCs w:val="22"/>
                <w:highlight w:val="none"/>
                <w:u w:val="none"/>
                <w:lang w:val="en-US" w:eastAsia="zh-CN" w:bidi="ar"/>
              </w:rPr>
            </w:pPr>
            <w:r>
              <w:rPr>
                <w:rFonts w:hint="eastAsia" w:ascii="楷体" w:hAnsi="楷体" w:eastAsia="楷体" w:cs="楷体"/>
                <w:i w:val="0"/>
                <w:iCs w:val="0"/>
                <w:color w:val="000000"/>
                <w:kern w:val="0"/>
                <w:sz w:val="22"/>
                <w:szCs w:val="22"/>
                <w:highlight w:val="none"/>
                <w:u w:val="none"/>
                <w:lang w:val="en-US" w:eastAsia="zh-CN" w:bidi="ar"/>
              </w:rPr>
              <w:t>企业法务、合同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楷体" w:hAnsi="楷体" w:eastAsia="楷体" w:cs="楷体"/>
                <w:i w:val="0"/>
                <w:iCs w:val="0"/>
                <w:color w:val="000000"/>
                <w:kern w:val="0"/>
                <w:sz w:val="22"/>
                <w:szCs w:val="22"/>
                <w:highlight w:val="none"/>
                <w:u w:val="none"/>
                <w:lang w:val="en-US" w:eastAsia="zh-CN" w:bidi="ar"/>
              </w:rPr>
            </w:pPr>
            <w:r>
              <w:rPr>
                <w:rFonts w:hint="eastAsia" w:ascii="楷体" w:hAnsi="楷体" w:eastAsia="楷体" w:cs="楷体"/>
                <w:i w:val="0"/>
                <w:iCs w:val="0"/>
                <w:color w:val="000000"/>
                <w:kern w:val="0"/>
                <w:sz w:val="22"/>
                <w:szCs w:val="22"/>
                <w:highlight w:val="none"/>
                <w:u w:val="none"/>
                <w:lang w:val="en-US" w:eastAsia="zh-CN" w:bidi="ar"/>
              </w:rPr>
              <w:t>AI知识库管理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银行基金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量化基金策略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数据中台、大数据投喂+Deepseek本地部署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保险公司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24小时AI客服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数据中台、AI助手+Deepseek部署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电商企业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直播助手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供应链管理、数据中台+Deepseek部署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教育机构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智能批卷/智能出题</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数据中台+Deepseek本地部署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医疗机构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医学影像诊断/病例诊断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大数据投喂+Deepseek本地部署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工业制造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AI数据中台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楷体" w:hAnsi="楷体" w:eastAsia="楷体" w:cs="楷体"/>
                <w:i w:val="0"/>
                <w:iCs w:val="0"/>
                <w:color w:val="000000"/>
                <w:sz w:val="22"/>
                <w:szCs w:val="22"/>
                <w:highlight w:val="none"/>
                <w:u w:val="none"/>
              </w:rPr>
            </w:pPr>
            <w:r>
              <w:rPr>
                <w:rFonts w:hint="eastAsia" w:ascii="楷体" w:hAnsi="楷体" w:eastAsia="楷体" w:cs="楷体"/>
                <w:i w:val="0"/>
                <w:iCs w:val="0"/>
                <w:color w:val="000000"/>
                <w:kern w:val="0"/>
                <w:sz w:val="22"/>
                <w:szCs w:val="22"/>
                <w:highlight w:val="none"/>
                <w:u w:val="none"/>
                <w:lang w:val="en-US" w:eastAsia="zh-CN" w:bidi="ar"/>
              </w:rPr>
              <w:t>数据中台+DeepSeek部署</w:t>
            </w:r>
          </w:p>
        </w:tc>
      </w:tr>
    </w:tbl>
    <w:p>
      <w:pPr>
        <w:numPr>
          <w:ilvl w:val="0"/>
          <w:numId w:val="0"/>
        </w:numPr>
        <w:ind w:firstLine="562"/>
        <w:rPr>
          <w:rFonts w:hint="default" w:ascii="楷体" w:hAnsi="楷体" w:eastAsia="楷体" w:cs="楷体"/>
          <w:b w:val="0"/>
          <w:bCs w:val="0"/>
          <w:sz w:val="28"/>
          <w:szCs w:val="36"/>
          <w:highlight w:val="none"/>
          <w:lang w:val="en-US" w:eastAsia="zh-CN"/>
        </w:rPr>
      </w:pPr>
      <w:r>
        <w:rPr>
          <w:rFonts w:hint="eastAsia" w:ascii="楷体" w:hAnsi="楷体" w:eastAsia="楷体" w:cs="楷体"/>
          <w:b w:val="0"/>
          <w:bCs w:val="0"/>
          <w:sz w:val="24"/>
          <w:szCs w:val="32"/>
          <w:highlight w:val="none"/>
          <w:lang w:val="en-US" w:eastAsia="zh-CN"/>
        </w:rPr>
        <w:t>表2：当期重点关注的企业和机构AI应用需求方向</w:t>
      </w:r>
    </w:p>
    <w:p>
      <w:pPr>
        <w:ind w:firstLine="562"/>
        <w:rPr>
          <w:rFonts w:hint="eastAsia" w:ascii="楷体" w:hAnsi="楷体" w:eastAsia="楷体" w:cs="楷体"/>
          <w:b/>
          <w:bCs/>
          <w:sz w:val="28"/>
          <w:szCs w:val="28"/>
          <w:lang w:val="en-US" w:eastAsia="zh-CN"/>
        </w:rPr>
      </w:pPr>
      <w:r>
        <w:rPr>
          <w:rFonts w:hint="eastAsia" w:ascii="楷体" w:hAnsi="楷体" w:eastAsia="楷体" w:cs="楷体"/>
          <w:b/>
          <w:bCs/>
          <w:sz w:val="28"/>
          <w:szCs w:val="36"/>
          <w:highlight w:val="none"/>
          <w:lang w:val="en-US" w:eastAsia="zh-CN"/>
        </w:rPr>
        <w:t>三是</w:t>
      </w:r>
      <w:r>
        <w:rPr>
          <w:rFonts w:hint="eastAsia" w:ascii="楷体" w:hAnsi="楷体" w:eastAsia="楷体" w:cs="楷体"/>
          <w:b/>
          <w:bCs/>
          <w:sz w:val="28"/>
          <w:szCs w:val="28"/>
          <w:lang w:val="en-US" w:eastAsia="zh-CN"/>
        </w:rPr>
        <w:t>在网络侧，</w:t>
      </w:r>
      <w:r>
        <w:rPr>
          <w:rFonts w:hint="eastAsia" w:ascii="楷体" w:hAnsi="楷体" w:eastAsia="楷体" w:cs="楷体"/>
          <w:b/>
          <w:bCs/>
          <w:sz w:val="28"/>
          <w:szCs w:val="28"/>
          <w:highlight w:val="none"/>
          <w:lang w:val="en-US" w:eastAsia="zh-CN"/>
        </w:rPr>
        <w:t>强化5G与算力网络协同并</w:t>
      </w:r>
      <w:r>
        <w:rPr>
          <w:rFonts w:hint="eastAsia" w:ascii="楷体" w:hAnsi="楷体" w:eastAsia="楷体" w:cs="楷体"/>
          <w:b/>
          <w:bCs/>
          <w:sz w:val="28"/>
          <w:szCs w:val="28"/>
          <w:lang w:val="en-US" w:eastAsia="zh-CN"/>
        </w:rPr>
        <w:t>做好</w:t>
      </w:r>
      <w:r>
        <w:rPr>
          <w:rFonts w:hint="eastAsia" w:ascii="楷体" w:hAnsi="楷体" w:eastAsia="楷体" w:cs="楷体"/>
          <w:b/>
          <w:bCs/>
          <w:sz w:val="28"/>
          <w:szCs w:val="28"/>
          <w:highlight w:val="none"/>
          <w:lang w:val="en-US" w:eastAsia="zh-CN"/>
        </w:rPr>
        <w:t>流量激增下的网络韧性风险管控</w:t>
      </w:r>
      <w:r>
        <w:rPr>
          <w:rFonts w:hint="eastAsia" w:ascii="楷体" w:hAnsi="楷体" w:eastAsia="楷体" w:cs="楷体"/>
          <w:b w:val="0"/>
          <w:bCs w:val="0"/>
          <w:sz w:val="28"/>
          <w:szCs w:val="28"/>
          <w:highlight w:val="none"/>
          <w:lang w:val="en-US" w:eastAsia="zh-CN"/>
        </w:rPr>
        <w:t>。一方面加速部署5G-A的uRLLC超可靠低时延通信能力，支撑DeepSeek在AI医疗诊断等场景的端到端时延&lt;10ms的实时推理需求，利用云智算一体机构建边缘算力节点，减少核心网流量压力，将DeepSeek模型推理下沉至本地数据中心，节省大量回传带宽。</w:t>
      </w:r>
      <w:r>
        <w:rPr>
          <w:rFonts w:hint="eastAsia" w:ascii="楷体" w:hAnsi="楷体" w:eastAsia="楷体" w:cs="楷体"/>
          <w:b w:val="0"/>
          <w:bCs w:val="0"/>
          <w:sz w:val="28"/>
          <w:szCs w:val="28"/>
          <w:lang w:val="en-US" w:eastAsia="zh-CN"/>
        </w:rPr>
        <w:t>还可以考虑与云服务商共建AI算力池，通过资源置换（如电信提供带宽、其他云服务商提供GPU）降低算力成本。</w:t>
      </w:r>
      <w:r>
        <w:rPr>
          <w:rFonts w:hint="eastAsia" w:ascii="楷体" w:hAnsi="楷体" w:eastAsia="楷体" w:cs="楷体"/>
          <w:b w:val="0"/>
          <w:bCs w:val="0"/>
          <w:sz w:val="28"/>
          <w:szCs w:val="28"/>
          <w:highlight w:val="none"/>
          <w:lang w:val="en-US" w:eastAsia="zh-CN"/>
        </w:rPr>
        <w:t>另一方面，建立5G网络动态扩容机制，基于网络大模型模型，实现基站负载自动均衡，如在节假日高峰前预分配冗余带宽，另外针对AI应用的数据传输需求，加强端到端加密与DDoS防护加固能力。</w:t>
      </w:r>
    </w:p>
    <w:p>
      <w:pPr>
        <w:ind w:firstLine="562"/>
        <w:rPr>
          <w:rFonts w:hint="eastAsia" w:ascii="楷体" w:hAnsi="楷体" w:eastAsia="楷体" w:cs="楷体"/>
          <w:b w:val="0"/>
          <w:bCs w:val="0"/>
          <w:sz w:val="28"/>
          <w:szCs w:val="28"/>
          <w:highlight w:val="none"/>
          <w:lang w:val="en-US" w:eastAsia="zh-CN"/>
        </w:rPr>
      </w:pPr>
      <w:r>
        <w:rPr>
          <w:rFonts w:hint="eastAsia" w:ascii="楷体" w:hAnsi="楷体" w:eastAsia="楷体" w:cs="楷体"/>
          <w:b/>
          <w:bCs/>
          <w:sz w:val="28"/>
          <w:szCs w:val="28"/>
          <w:lang w:val="en-US" w:eastAsia="zh-CN"/>
        </w:rPr>
        <w:t>四是在业务侧，加快研究出台</w:t>
      </w:r>
      <w:r>
        <w:rPr>
          <w:rFonts w:hint="eastAsia" w:ascii="楷体" w:hAnsi="楷体" w:eastAsia="楷体" w:cs="楷体"/>
          <w:b/>
          <w:bCs/>
          <w:sz w:val="28"/>
          <w:szCs w:val="28"/>
          <w:highlight w:val="none"/>
          <w:lang w:val="en-US" w:eastAsia="zh-CN"/>
        </w:rPr>
        <w:t>差异化流量经营策略，在自有APP嵌入</w:t>
      </w:r>
      <w:r>
        <w:rPr>
          <w:rFonts w:hint="eastAsia" w:ascii="楷体" w:hAnsi="楷体" w:eastAsia="楷体" w:cs="楷体"/>
          <w:b w:val="0"/>
          <w:bCs w:val="0"/>
          <w:sz w:val="28"/>
          <w:szCs w:val="28"/>
          <w:highlight w:val="none"/>
          <w:lang w:val="en-US" w:eastAsia="zh-CN"/>
        </w:rPr>
        <w:t>DeepSeek</w:t>
      </w:r>
      <w:r>
        <w:rPr>
          <w:rFonts w:hint="eastAsia" w:ascii="楷体" w:hAnsi="楷体" w:eastAsia="楷体" w:cs="楷体"/>
          <w:b/>
          <w:bCs/>
          <w:sz w:val="28"/>
          <w:szCs w:val="28"/>
          <w:highlight w:val="none"/>
          <w:lang w:val="en-US" w:eastAsia="zh-CN"/>
        </w:rPr>
        <w:t>。</w:t>
      </w:r>
      <w:r>
        <w:rPr>
          <w:rFonts w:hint="eastAsia" w:ascii="楷体" w:hAnsi="楷体" w:eastAsia="楷体" w:cs="楷体"/>
          <w:b w:val="0"/>
          <w:bCs w:val="0"/>
          <w:sz w:val="28"/>
          <w:szCs w:val="28"/>
          <w:highlight w:val="none"/>
          <w:lang w:val="en-US" w:eastAsia="zh-CN"/>
        </w:rPr>
        <w:t>一方面针对不同用户类型设计高灵活度流量套餐，针对企业和机构用户推出“AI流量包”，按模型调用次数或数据量计费（参考“网-云-端”三维受益模型），针对个人和家庭消费者设计多模态内容优先通道和视频搜索高价值包。另一方面，将DeepSeek嵌入运营商自有APP应用， 推出“AI+安全”套餐，保障数据传输隐私，提供智能客服、个性化推荐等服务，提升用户粘性。</w:t>
      </w:r>
    </w:p>
    <w:p>
      <w:pPr>
        <w:numPr>
          <w:ilvl w:val="0"/>
          <w:numId w:val="0"/>
        </w:numPr>
        <w:ind w:firstLine="562"/>
        <w:rPr>
          <w:rFonts w:hint="eastAsia" w:ascii="楷体" w:hAnsi="楷体" w:eastAsia="楷体" w:cs="楷体"/>
          <w:sz w:val="28"/>
          <w:szCs w:val="40"/>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88CF77"/>
    <w:multiLevelType w:val="singleLevel"/>
    <w:tmpl w:val="7788CF7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825A44"/>
    <w:rsid w:val="00D73D1E"/>
    <w:rsid w:val="02EB0563"/>
    <w:rsid w:val="032948A1"/>
    <w:rsid w:val="0617661D"/>
    <w:rsid w:val="07E74A05"/>
    <w:rsid w:val="09924466"/>
    <w:rsid w:val="0A6571E2"/>
    <w:rsid w:val="0AA01DEA"/>
    <w:rsid w:val="0D8D60F1"/>
    <w:rsid w:val="0ED363A6"/>
    <w:rsid w:val="0FC31066"/>
    <w:rsid w:val="152143B8"/>
    <w:rsid w:val="15AE67C7"/>
    <w:rsid w:val="15D700FE"/>
    <w:rsid w:val="176667F0"/>
    <w:rsid w:val="176B6FC1"/>
    <w:rsid w:val="1BB750B7"/>
    <w:rsid w:val="1BB9504B"/>
    <w:rsid w:val="1D545DB1"/>
    <w:rsid w:val="1E99763F"/>
    <w:rsid w:val="1FC905C9"/>
    <w:rsid w:val="21567870"/>
    <w:rsid w:val="21C37552"/>
    <w:rsid w:val="22892775"/>
    <w:rsid w:val="24070EB3"/>
    <w:rsid w:val="262B7F97"/>
    <w:rsid w:val="29625890"/>
    <w:rsid w:val="29927E4B"/>
    <w:rsid w:val="2BAF281C"/>
    <w:rsid w:val="2E3D33CC"/>
    <w:rsid w:val="301E166E"/>
    <w:rsid w:val="35946903"/>
    <w:rsid w:val="37A67F1A"/>
    <w:rsid w:val="3BAD1C81"/>
    <w:rsid w:val="3C53640F"/>
    <w:rsid w:val="3FD87226"/>
    <w:rsid w:val="41605F2C"/>
    <w:rsid w:val="479970A8"/>
    <w:rsid w:val="4A2B4A13"/>
    <w:rsid w:val="4C400443"/>
    <w:rsid w:val="4D9C3F67"/>
    <w:rsid w:val="50CC0414"/>
    <w:rsid w:val="51825A44"/>
    <w:rsid w:val="51E22386"/>
    <w:rsid w:val="56133A67"/>
    <w:rsid w:val="5A3A2A5E"/>
    <w:rsid w:val="5C01696C"/>
    <w:rsid w:val="6107182D"/>
    <w:rsid w:val="62AE66F6"/>
    <w:rsid w:val="62E333FD"/>
    <w:rsid w:val="6591642E"/>
    <w:rsid w:val="68E741AA"/>
    <w:rsid w:val="68F73207"/>
    <w:rsid w:val="694C76BA"/>
    <w:rsid w:val="6B2D4B05"/>
    <w:rsid w:val="6BE77BAA"/>
    <w:rsid w:val="6FBF5663"/>
    <w:rsid w:val="70C45F9C"/>
    <w:rsid w:val="75A73491"/>
    <w:rsid w:val="768028DB"/>
    <w:rsid w:val="77ED087F"/>
    <w:rsid w:val="78350173"/>
    <w:rsid w:val="7A040387"/>
    <w:rsid w:val="7C5F4417"/>
    <w:rsid w:val="7F6746AE"/>
    <w:rsid w:val="7F7A0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6</Pages>
  <Words>2713</Words>
  <Characters>3368</Characters>
  <Lines>0</Lines>
  <Paragraphs>0</Paragraphs>
  <TotalTime>4183</TotalTime>
  <ScaleCrop>false</ScaleCrop>
  <LinksUpToDate>false</LinksUpToDate>
  <CharactersWithSpaces>3405</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2025-02-10T03:15:00Z</dcterms:created>
  <dc:creator>张小东</dc:creator>
  <cp:lastModifiedBy>张小东</cp:lastModifiedBy>
  <dcterms:modified xsi:type="dcterms:W3CDTF">2025-02-24T05:59:04Z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0ECFFF22C942461B9778CDC65A9C0BB7_13</vt:lpwstr>
  </property>
  <property fmtid="{D5CDD505-2E9C-101B-9397-08002B2CF9AE}" pid="4" name="KSOTemplateDocerSaveRecord">
    <vt:lpwstr>eyJoZGlkIjoiZmQ2ZTI3M2U5ZjczNWQ3MGMyYmI0YTRhNTNjMDI5MWUiLCJ1c2VySWQiOiI1MzE5MjcxNjAifQ==</vt:lpwstr>
  </property>
</Properties>
</file>