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3" w:firstLineChars="200"/>
        <w:jc w:val="both"/>
        <w:rPr>
          <w:rFonts w:hint="eastAsia" w:ascii="楷体" w:hAnsi="楷体" w:eastAsia="楷体" w:cs="楷体"/>
          <w:b/>
          <w:bCs/>
          <w:sz w:val="32"/>
          <w:szCs w:val="40"/>
          <w:highlight w:val="none"/>
          <w:lang w:val="en-US" w:eastAsia="zh-CN"/>
        </w:rPr>
      </w:pPr>
      <w:r>
        <w:rPr>
          <w:rFonts w:hint="eastAsia" w:ascii="楷体" w:hAnsi="楷体" w:eastAsia="楷体" w:cs="楷体"/>
          <w:b/>
          <w:bCs/>
          <w:sz w:val="32"/>
          <w:szCs w:val="40"/>
          <w:highlight w:val="none"/>
        </w:rPr>
        <w:t>DeepSeek规模化接入，给中国电信带来</w:t>
      </w:r>
      <w:r>
        <w:rPr>
          <w:rFonts w:hint="eastAsia" w:ascii="楷体" w:hAnsi="楷体" w:eastAsia="楷体" w:cs="楷体"/>
          <w:b/>
          <w:bCs/>
          <w:sz w:val="32"/>
          <w:szCs w:val="40"/>
          <w:highlight w:val="none"/>
          <w:lang w:val="en-US" w:eastAsia="zh-CN"/>
        </w:rPr>
        <w:t>三大</w:t>
      </w:r>
      <w:r>
        <w:rPr>
          <w:rFonts w:hint="eastAsia" w:ascii="楷体" w:hAnsi="楷体" w:eastAsia="楷体" w:cs="楷体"/>
          <w:b/>
          <w:bCs/>
          <w:sz w:val="32"/>
          <w:szCs w:val="40"/>
          <w:highlight w:val="none"/>
        </w:rPr>
        <w:t>机遇</w:t>
      </w:r>
    </w:p>
    <w:p>
      <w:pPr>
        <w:ind w:firstLine="560" w:firstLineChars="200"/>
        <w:jc w:val="left"/>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 xml:space="preserve"> </w:t>
      </w:r>
    </w:p>
    <w:p>
      <w:pPr>
        <w:ind w:firstLine="560" w:firstLineChars="200"/>
        <w:jc w:val="left"/>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近期，由于DeepSeek在推理能力和低成本等方面表现非常突出，各行各业都纷纷接入DeepSeek，截至 2 月 9 日，DeepSeek App 累计下载量超 1.1 亿次，周活跃用户规模最高近 9700 万。按照接入方式不同，DeepSeek用户主要有我国本地化部署、公有云接入、WEB接入和APP等四类。建议中国电信：一是抓住私有环境本地化部署机遇，推出多类型一体机；二是加强DeepSeek的配套工具和算力服务，带动天翼云发展；三是结合DeepSeek应用场景推出多种形态的灵活计费包，满足个人开发者模型微调市场需求，探索算力运营模式。</w:t>
      </w:r>
    </w:p>
    <w:p>
      <w:pPr>
        <w:rPr>
          <w:rFonts w:hint="eastAsia" w:ascii="楷体" w:hAnsi="楷体" w:eastAsia="楷体" w:cs="楷体"/>
          <w:sz w:val="24"/>
          <w:szCs w:val="32"/>
          <w:highlight w:val="none"/>
        </w:rPr>
      </w:pPr>
    </w:p>
    <w:p>
      <w:pPr>
        <w:numPr>
          <w:ilvl w:val="0"/>
          <w:numId w:val="1"/>
        </w:numPr>
        <w:rPr>
          <w:rFonts w:hint="eastAsia"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接入</w:t>
      </w:r>
      <w:r>
        <w:rPr>
          <w:rFonts w:hint="eastAsia" w:ascii="楷体" w:hAnsi="楷体" w:eastAsia="楷体" w:cs="楷体"/>
          <w:b/>
          <w:bCs/>
          <w:sz w:val="28"/>
          <w:szCs w:val="36"/>
          <w:highlight w:val="none"/>
        </w:rPr>
        <w:t>DeepSeek</w:t>
      </w:r>
      <w:r>
        <w:rPr>
          <w:rFonts w:hint="eastAsia" w:ascii="楷体" w:hAnsi="楷体" w:eastAsia="楷体" w:cs="楷体"/>
          <w:b/>
          <w:bCs/>
          <w:sz w:val="28"/>
          <w:szCs w:val="36"/>
          <w:highlight w:val="none"/>
          <w:lang w:val="en-US" w:eastAsia="zh-CN"/>
        </w:rPr>
        <w:t>的四类用户群体及特征</w:t>
      </w:r>
    </w:p>
    <w:p>
      <w:pPr>
        <w:numPr>
          <w:ilvl w:val="0"/>
          <w:numId w:val="2"/>
        </w:numPr>
        <w:ind w:firstLine="562"/>
        <w:rPr>
          <w:rFonts w:hint="eastAsia"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大中型机构和企业本地化部署</w:t>
      </w:r>
      <w:r>
        <w:rPr>
          <w:rFonts w:hint="eastAsia" w:ascii="楷体" w:hAnsi="楷体" w:eastAsia="楷体" w:cs="楷体"/>
          <w:b/>
          <w:bCs/>
          <w:sz w:val="28"/>
          <w:szCs w:val="36"/>
          <w:highlight w:val="none"/>
        </w:rPr>
        <w:t>DeepSeek</w:t>
      </w:r>
    </w:p>
    <w:p>
      <w:pPr>
        <w:numPr>
          <w:ilvl w:val="-1"/>
          <w:numId w:val="0"/>
        </w:numPr>
        <w:ind w:firstLine="560" w:firstLineChars="200"/>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根据外部调研，节后我国多地政务机构以及金融、电商、医疗、能源等数据安全敏感型行业客户，将DeepSeek R1部署在政务云等私有环境或本地算力中心，或者通过向公有云服务商购置、租赁裸金属服务器添加于私有环境等方式开展本地化部署。该类客户高度关注使用</w:t>
      </w:r>
      <w:r>
        <w:rPr>
          <w:rFonts w:hint="eastAsia" w:ascii="楷体" w:hAnsi="楷体" w:eastAsia="楷体" w:cs="楷体"/>
          <w:b w:val="0"/>
          <w:bCs w:val="0"/>
          <w:sz w:val="28"/>
          <w:szCs w:val="36"/>
          <w:highlight w:val="none"/>
        </w:rPr>
        <w:t>DeepSeek</w:t>
      </w:r>
      <w:r>
        <w:rPr>
          <w:rFonts w:hint="eastAsia" w:ascii="楷体" w:hAnsi="楷体" w:eastAsia="楷体" w:cs="楷体"/>
          <w:b w:val="0"/>
          <w:bCs w:val="0"/>
          <w:sz w:val="28"/>
          <w:szCs w:val="36"/>
          <w:highlight w:val="none"/>
          <w:lang w:val="en-US" w:eastAsia="zh-CN"/>
        </w:rPr>
        <w:t>过程中的知识库和数据安全可控，接受较高的部署成本，主要用于提升自有生产经营平台效率，如东方国信用于提升自己的幕僚智数平台，部分医疗机构使用DeepSeek用于训练客户数据集并开展AI诊疗服务等。从使用效果数据来看，反馈包括文案生成效率提升300%、软件开发代码纠错准确率达98.7%、金融风控报告撰写时间缩短80%、医疗健康诊断建议符合率超三甲医院专家，测试门诊误诊率仅0.3%等。</w:t>
      </w:r>
    </w:p>
    <w:p>
      <w:pPr>
        <w:numPr>
          <w:ilvl w:val="-1"/>
          <w:numId w:val="0"/>
        </w:numPr>
        <w:ind w:firstLine="480" w:firstLineChars="200"/>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4"/>
          <w:szCs w:val="32"/>
          <w:highlight w:val="none"/>
          <w:lang w:val="en-US" w:eastAsia="zh-CN"/>
        </w:rPr>
        <w:t>表1：截至目前开展本地化部署的机构和企业（不完全统计）</w:t>
      </w:r>
    </w:p>
    <w:tbl>
      <w:tblPr>
        <w:tblStyle w:val="5"/>
        <w:tblpPr w:leftFromText="180" w:rightFromText="180" w:vertAnchor="text" w:horzAnchor="page" w:tblpX="2077" w:tblpY="350"/>
        <w:tblOverlap w:val="never"/>
        <w:tblW w:w="8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2775"/>
        <w:gridCol w:w="1500"/>
        <w:gridCol w:w="2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345" w:type="dxa"/>
          </w:tcPr>
          <w:p>
            <w:pPr>
              <w:numPr>
                <w:ilvl w:val="-1"/>
                <w:numId w:val="0"/>
              </w:numPr>
              <w:rPr>
                <w:rFonts w:hint="default" w:ascii="楷体" w:hAnsi="楷体" w:eastAsia="楷体" w:cs="楷体"/>
                <w:b/>
                <w:bCs/>
                <w:sz w:val="24"/>
                <w:szCs w:val="32"/>
                <w:highlight w:val="none"/>
                <w:vertAlign w:val="baseline"/>
                <w:lang w:val="en-US" w:eastAsia="zh-CN"/>
              </w:rPr>
            </w:pPr>
            <w:r>
              <w:rPr>
                <w:rFonts w:hint="eastAsia" w:ascii="楷体" w:hAnsi="楷体" w:eastAsia="楷体" w:cs="楷体"/>
                <w:b/>
                <w:bCs/>
                <w:sz w:val="24"/>
                <w:szCs w:val="32"/>
                <w:highlight w:val="none"/>
                <w:vertAlign w:val="baseline"/>
                <w:lang w:val="en-US" w:eastAsia="zh-CN"/>
              </w:rPr>
              <w:t>部署领域</w:t>
            </w:r>
          </w:p>
        </w:tc>
        <w:tc>
          <w:tcPr>
            <w:tcW w:w="2775" w:type="dxa"/>
          </w:tcPr>
          <w:p>
            <w:pPr>
              <w:numPr>
                <w:ilvl w:val="-1"/>
                <w:numId w:val="0"/>
              </w:numPr>
              <w:rPr>
                <w:rFonts w:hint="default" w:ascii="楷体" w:hAnsi="楷体" w:eastAsia="楷体" w:cs="楷体"/>
                <w:b/>
                <w:bCs/>
                <w:sz w:val="24"/>
                <w:szCs w:val="32"/>
                <w:highlight w:val="none"/>
                <w:vertAlign w:val="baseline"/>
                <w:lang w:val="en-US" w:eastAsia="zh-CN"/>
              </w:rPr>
            </w:pPr>
            <w:r>
              <w:rPr>
                <w:rFonts w:hint="eastAsia" w:ascii="楷体" w:hAnsi="楷体" w:eastAsia="楷体" w:cs="楷体"/>
                <w:b/>
                <w:bCs/>
                <w:sz w:val="24"/>
                <w:szCs w:val="32"/>
                <w:highlight w:val="none"/>
                <w:vertAlign w:val="baseline"/>
                <w:lang w:val="en-US" w:eastAsia="zh-CN"/>
              </w:rPr>
              <w:t>已经部署机构/企业</w:t>
            </w:r>
          </w:p>
        </w:tc>
        <w:tc>
          <w:tcPr>
            <w:tcW w:w="1500" w:type="dxa"/>
          </w:tcPr>
          <w:p>
            <w:pPr>
              <w:numPr>
                <w:ilvl w:val="-1"/>
                <w:numId w:val="0"/>
              </w:numPr>
              <w:rPr>
                <w:rFonts w:hint="default" w:ascii="楷体" w:hAnsi="楷体" w:eastAsia="楷体" w:cs="楷体"/>
                <w:b/>
                <w:bCs/>
                <w:sz w:val="24"/>
                <w:szCs w:val="32"/>
                <w:highlight w:val="none"/>
                <w:vertAlign w:val="baseline"/>
                <w:lang w:val="en-US" w:eastAsia="zh-CN"/>
              </w:rPr>
            </w:pPr>
            <w:r>
              <w:rPr>
                <w:rFonts w:hint="eastAsia" w:ascii="楷体" w:hAnsi="楷体" w:eastAsia="楷体" w:cs="楷体"/>
                <w:b/>
                <w:bCs/>
                <w:sz w:val="24"/>
                <w:szCs w:val="32"/>
                <w:highlight w:val="none"/>
                <w:vertAlign w:val="baseline"/>
                <w:lang w:val="en-US" w:eastAsia="zh-CN"/>
              </w:rPr>
              <w:t>部署环境</w:t>
            </w:r>
          </w:p>
        </w:tc>
        <w:tc>
          <w:tcPr>
            <w:tcW w:w="2550" w:type="dxa"/>
          </w:tcPr>
          <w:p>
            <w:pPr>
              <w:numPr>
                <w:ilvl w:val="-1"/>
                <w:numId w:val="0"/>
              </w:numPr>
              <w:rPr>
                <w:rFonts w:hint="default" w:ascii="楷体" w:hAnsi="楷体" w:eastAsia="楷体" w:cs="楷体"/>
                <w:b/>
                <w:bCs/>
                <w:sz w:val="24"/>
                <w:szCs w:val="32"/>
                <w:highlight w:val="none"/>
                <w:vertAlign w:val="baseline"/>
                <w:lang w:val="en-US" w:eastAsia="zh-CN"/>
              </w:rPr>
            </w:pPr>
            <w:r>
              <w:rPr>
                <w:rFonts w:hint="eastAsia" w:ascii="楷体" w:hAnsi="楷体" w:eastAsia="楷体" w:cs="楷体"/>
                <w:b/>
                <w:bCs/>
                <w:sz w:val="24"/>
                <w:szCs w:val="32"/>
                <w:highlight w:val="none"/>
                <w:vertAlign w:val="baseline"/>
                <w:lang w:val="en-US" w:eastAsia="zh-CN"/>
              </w:rPr>
              <w:t>部署用途和效果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trPr>
        <w:tc>
          <w:tcPr>
            <w:tcW w:w="134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政务</w:t>
            </w:r>
          </w:p>
        </w:tc>
        <w:tc>
          <w:tcPr>
            <w:tcW w:w="277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sz w:val="22"/>
                <w:szCs w:val="22"/>
                <w:lang w:val="en-US" w:eastAsia="zh-CN"/>
              </w:rPr>
              <w:t>省会及一线城市：北京、广州、深圳、</w:t>
            </w:r>
            <w:r>
              <w:rPr>
                <w:rFonts w:hint="eastAsia" w:ascii="楷体" w:hAnsi="楷体" w:eastAsia="楷体" w:cs="楷体"/>
                <w:sz w:val="22"/>
                <w:szCs w:val="22"/>
              </w:rPr>
              <w:t>郑州</w:t>
            </w:r>
            <w:r>
              <w:rPr>
                <w:rFonts w:hint="eastAsia" w:ascii="楷体" w:hAnsi="楷体" w:eastAsia="楷体" w:cs="楷体"/>
                <w:sz w:val="22"/>
                <w:szCs w:val="22"/>
                <w:lang w:eastAsia="zh-CN"/>
              </w:rPr>
              <w:t>、</w:t>
            </w:r>
            <w:r>
              <w:rPr>
                <w:rFonts w:hint="eastAsia" w:ascii="楷体" w:hAnsi="楷体" w:eastAsia="楷体" w:cs="楷体"/>
                <w:sz w:val="22"/>
                <w:szCs w:val="22"/>
              </w:rPr>
              <w:t>呼和浩特</w:t>
            </w:r>
            <w:r>
              <w:rPr>
                <w:rFonts w:hint="eastAsia" w:ascii="楷体" w:hAnsi="楷体" w:eastAsia="楷体" w:cs="楷体"/>
                <w:sz w:val="22"/>
                <w:szCs w:val="22"/>
                <w:lang w:eastAsia="zh-CN"/>
              </w:rPr>
              <w:t>；</w:t>
            </w:r>
            <w:r>
              <w:rPr>
                <w:rFonts w:hint="eastAsia" w:ascii="楷体" w:hAnsi="楷体" w:eastAsia="楷体" w:cs="楷体"/>
                <w:sz w:val="22"/>
                <w:szCs w:val="22"/>
                <w:lang w:val="en-US" w:eastAsia="zh-CN"/>
              </w:rPr>
              <w:t>三线城市：</w:t>
            </w:r>
            <w:r>
              <w:rPr>
                <w:rFonts w:hint="eastAsia" w:ascii="楷体" w:hAnsi="楷体" w:eastAsia="楷体" w:cs="楷体"/>
                <w:sz w:val="22"/>
                <w:szCs w:val="22"/>
              </w:rPr>
              <w:t>苏州、大连、赣州、无锡</w:t>
            </w:r>
            <w:r>
              <w:rPr>
                <w:rFonts w:hint="eastAsia" w:ascii="楷体" w:hAnsi="楷体" w:eastAsia="楷体" w:cs="楷体"/>
                <w:sz w:val="22"/>
                <w:szCs w:val="22"/>
                <w:lang w:eastAsia="zh-CN"/>
              </w:rPr>
              <w:t>、</w:t>
            </w:r>
            <w:r>
              <w:rPr>
                <w:rFonts w:hint="eastAsia" w:ascii="楷体" w:hAnsi="楷体" w:eastAsia="楷体" w:cs="楷体"/>
                <w:sz w:val="22"/>
                <w:szCs w:val="22"/>
                <w:lang w:val="en-US" w:eastAsia="zh-CN"/>
              </w:rPr>
              <w:t>昆山、珠海等</w:t>
            </w:r>
          </w:p>
        </w:tc>
        <w:tc>
          <w:tcPr>
            <w:tcW w:w="1500" w:type="dxa"/>
          </w:tcPr>
          <w:p>
            <w:pPr>
              <w:numPr>
                <w:ilvl w:val="-1"/>
                <w:numId w:val="0"/>
              </w:numPr>
              <w:rPr>
                <w:rFonts w:hint="eastAsia" w:ascii="楷体" w:hAnsi="楷体" w:eastAsia="楷体" w:cs="楷体"/>
                <w:sz w:val="22"/>
                <w:szCs w:val="22"/>
                <w:lang w:val="en-US" w:eastAsia="zh-CN"/>
              </w:rPr>
            </w:pPr>
            <w:r>
              <w:rPr>
                <w:rFonts w:hint="eastAsia" w:ascii="楷体" w:hAnsi="楷体" w:eastAsia="楷体" w:cs="楷体"/>
                <w:sz w:val="22"/>
                <w:szCs w:val="22"/>
                <w:lang w:val="en-US" w:eastAsia="zh-CN"/>
              </w:rPr>
              <w:t>政务云，如国录政务云；</w:t>
            </w:r>
          </w:p>
          <w:p>
            <w:pPr>
              <w:numPr>
                <w:ilvl w:val="-1"/>
                <w:numId w:val="0"/>
              </w:numPr>
              <w:rPr>
                <w:rFonts w:hint="eastAsia" w:ascii="楷体" w:hAnsi="楷体" w:eastAsia="楷体" w:cs="楷体"/>
                <w:sz w:val="22"/>
                <w:szCs w:val="22"/>
                <w:lang w:val="en-US" w:eastAsia="zh-CN"/>
              </w:rPr>
            </w:pPr>
            <w:r>
              <w:rPr>
                <w:rFonts w:hint="eastAsia" w:ascii="楷体" w:hAnsi="楷体" w:eastAsia="楷体" w:cs="楷体"/>
                <w:sz w:val="22"/>
                <w:szCs w:val="22"/>
                <w:lang w:val="en-US" w:eastAsia="zh-CN"/>
              </w:rPr>
              <w:t>本地算力中心，如广州</w:t>
            </w:r>
          </w:p>
        </w:tc>
        <w:tc>
          <w:tcPr>
            <w:tcW w:w="2550"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sz w:val="22"/>
                <w:szCs w:val="22"/>
              </w:rPr>
              <w:t>政务办公、便民惠企、民意速办等领域，</w:t>
            </w:r>
            <w:r>
              <w:rPr>
                <w:rFonts w:hint="eastAsia" w:ascii="楷体" w:hAnsi="楷体" w:eastAsia="楷体" w:cs="楷体"/>
                <w:sz w:val="22"/>
                <w:szCs w:val="22"/>
                <w:lang w:val="en-US" w:eastAsia="zh-CN"/>
              </w:rPr>
              <w:t>公文效率提升三倍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134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能源</w:t>
            </w:r>
          </w:p>
        </w:tc>
        <w:tc>
          <w:tcPr>
            <w:tcW w:w="277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国家能源集团、中核电、中广核、华能、国家电投、华电、国家电网、南方电网、蒙西电网等9家</w:t>
            </w:r>
          </w:p>
        </w:tc>
        <w:tc>
          <w:tcPr>
            <w:tcW w:w="1500"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私有云平台，如国能云平台</w:t>
            </w:r>
          </w:p>
        </w:tc>
        <w:tc>
          <w:tcPr>
            <w:tcW w:w="2550"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自有电力大模型引入、适配DeepSeek，用于能源生产、运营与管理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34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券商/基金</w:t>
            </w:r>
          </w:p>
        </w:tc>
        <w:tc>
          <w:tcPr>
            <w:tcW w:w="277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基金：国联安、财通、华安、汇添富等基金</w:t>
            </w:r>
          </w:p>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证券：国海、山西</w:t>
            </w:r>
          </w:p>
        </w:tc>
        <w:tc>
          <w:tcPr>
            <w:tcW w:w="1500" w:type="dxa"/>
          </w:tcPr>
          <w:p>
            <w:pPr>
              <w:numPr>
                <w:ilvl w:val="-1"/>
                <w:numId w:val="0"/>
              </w:numPr>
              <w:rPr>
                <w:rFonts w:hint="eastAsia" w:ascii="楷体" w:hAnsi="楷体" w:eastAsia="楷体" w:cs="楷体"/>
                <w:b w:val="0"/>
                <w:bCs w:val="0"/>
                <w:sz w:val="24"/>
                <w:szCs w:val="32"/>
                <w:highlight w:val="none"/>
                <w:lang w:val="en-US" w:eastAsia="zh-CN"/>
              </w:rPr>
            </w:pPr>
            <w:r>
              <w:rPr>
                <w:rFonts w:hint="eastAsia" w:ascii="楷体" w:hAnsi="楷体" w:eastAsia="楷体" w:cs="楷体"/>
                <w:b w:val="0"/>
                <w:bCs w:val="0"/>
                <w:sz w:val="24"/>
                <w:szCs w:val="32"/>
                <w:highlight w:val="none"/>
                <w:lang w:val="en-US" w:eastAsia="zh-CN"/>
              </w:rPr>
              <w:t>原有私有环境</w:t>
            </w:r>
          </w:p>
        </w:tc>
        <w:tc>
          <w:tcPr>
            <w:tcW w:w="2550"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lang w:val="en-US" w:eastAsia="zh-CN"/>
              </w:rPr>
              <w:t>金融风控报告撰写时间缩短80%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34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银行/保险</w:t>
            </w:r>
          </w:p>
        </w:tc>
        <w:tc>
          <w:tcPr>
            <w:tcW w:w="277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保险：太平、新华、人保北大方正、太平再保险等</w:t>
            </w:r>
          </w:p>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银行：数量众多</w:t>
            </w:r>
          </w:p>
        </w:tc>
        <w:tc>
          <w:tcPr>
            <w:tcW w:w="1500"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基于国产算力设备私有化部署为主</w:t>
            </w:r>
          </w:p>
        </w:tc>
        <w:tc>
          <w:tcPr>
            <w:tcW w:w="2550"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接入自有APP提供AI助理等功能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34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医疗/健康</w:t>
            </w:r>
          </w:p>
        </w:tc>
        <w:tc>
          <w:tcPr>
            <w:tcW w:w="2775" w:type="dxa"/>
          </w:tcPr>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上海四院、湖南胸科、</w:t>
            </w:r>
          </w:p>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深大附属、昆山一院等</w:t>
            </w:r>
          </w:p>
        </w:tc>
        <w:tc>
          <w:tcPr>
            <w:tcW w:w="1500" w:type="dxa"/>
          </w:tcPr>
          <w:p>
            <w:pPr>
              <w:numPr>
                <w:ilvl w:val="-1"/>
                <w:numId w:val="0"/>
              </w:numPr>
              <w:rPr>
                <w:rFonts w:hint="eastAsia" w:ascii="楷体" w:hAnsi="楷体" w:eastAsia="楷体" w:cs="楷体"/>
                <w:b w:val="0"/>
                <w:bCs w:val="0"/>
                <w:sz w:val="24"/>
                <w:szCs w:val="32"/>
                <w:highlight w:val="none"/>
                <w:lang w:val="en-US" w:eastAsia="zh-CN"/>
              </w:rPr>
            </w:pPr>
            <w:r>
              <w:rPr>
                <w:rFonts w:hint="eastAsia" w:ascii="楷体" w:hAnsi="楷体" w:eastAsia="楷体" w:cs="楷体"/>
                <w:b w:val="0"/>
                <w:bCs w:val="0"/>
                <w:sz w:val="24"/>
                <w:szCs w:val="32"/>
                <w:highlight w:val="none"/>
                <w:lang w:val="en-US" w:eastAsia="zh-CN"/>
              </w:rPr>
              <w:t>医院内部服务器</w:t>
            </w:r>
          </w:p>
        </w:tc>
        <w:tc>
          <w:tcPr>
            <w:tcW w:w="2550" w:type="dxa"/>
          </w:tcPr>
          <w:p>
            <w:pPr>
              <w:numPr>
                <w:ilvl w:val="-1"/>
                <w:numId w:val="0"/>
              </w:numPr>
              <w:rPr>
                <w:rFonts w:hint="eastAsia" w:ascii="楷体" w:hAnsi="楷体" w:eastAsia="楷体" w:cs="楷体"/>
                <w:b w:val="0"/>
                <w:bCs w:val="0"/>
                <w:sz w:val="24"/>
                <w:szCs w:val="32"/>
                <w:highlight w:val="none"/>
                <w:lang w:val="en-US" w:eastAsia="zh-CN"/>
              </w:rPr>
            </w:pPr>
            <w:r>
              <w:rPr>
                <w:rFonts w:hint="eastAsia" w:ascii="楷体" w:hAnsi="楷体" w:eastAsia="楷体" w:cs="楷体"/>
                <w:b w:val="0"/>
                <w:bCs w:val="0"/>
                <w:sz w:val="24"/>
                <w:szCs w:val="32"/>
                <w:highlight w:val="none"/>
                <w:lang w:val="en-US" w:eastAsia="zh-CN"/>
              </w:rPr>
              <w:t>医疗健康诊断建议符合率超三甲专家；</w:t>
            </w:r>
          </w:p>
          <w:p>
            <w:pPr>
              <w:numPr>
                <w:ilvl w:val="-1"/>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lang w:val="en-US" w:eastAsia="zh-CN"/>
              </w:rPr>
              <w:t>门诊误诊率仅0.3%</w:t>
            </w:r>
          </w:p>
        </w:tc>
      </w:tr>
    </w:tbl>
    <w:p>
      <w:pPr>
        <w:numPr>
          <w:ilvl w:val="0"/>
          <w:numId w:val="2"/>
        </w:numPr>
        <w:ind w:firstLine="562" w:firstLineChars="0"/>
        <w:rPr>
          <w:rFonts w:hint="eastAsia"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中小企业和开发者通过公有云等第三方平台接入</w:t>
      </w:r>
      <w:r>
        <w:rPr>
          <w:rFonts w:hint="eastAsia" w:ascii="楷体" w:hAnsi="楷体" w:eastAsia="楷体" w:cs="楷体"/>
          <w:b w:val="0"/>
          <w:bCs w:val="0"/>
          <w:sz w:val="28"/>
          <w:szCs w:val="36"/>
          <w:highlight w:val="none"/>
          <w:lang w:val="en-US" w:eastAsia="zh-CN"/>
        </w:rPr>
        <w:t>DeepSeek</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由于本地化部署存在较高的初始布置成本、持续维护和技术门槛等隐性成本，大量企业和机构用户通过公有云服务商、大模型开发平台、大模型技术商、数商平台等第三方，通过API、在线部署、定制大模型、无缝嵌入</w:t>
      </w:r>
      <w:r>
        <w:rPr>
          <w:rFonts w:hint="eastAsia" w:ascii="楷体" w:hAnsi="楷体" w:eastAsia="楷体" w:cs="楷体"/>
          <w:b w:val="0"/>
          <w:bCs w:val="0"/>
          <w:sz w:val="28"/>
          <w:szCs w:val="28"/>
          <w:highlight w:val="none"/>
          <w:lang w:val="en-US" w:eastAsia="zh-CN"/>
        </w:rPr>
        <w:t>APP</w:t>
      </w:r>
      <w:r>
        <w:rPr>
          <w:rFonts w:hint="eastAsia" w:ascii="楷体" w:hAnsi="楷体" w:eastAsia="楷体" w:cs="楷体"/>
          <w:b w:val="0"/>
          <w:bCs w:val="0"/>
          <w:sz w:val="28"/>
          <w:szCs w:val="28"/>
          <w:highlight w:val="none"/>
          <w:vertAlign w:val="baseline"/>
          <w:lang w:val="en-US" w:eastAsia="zh-CN"/>
        </w:rPr>
        <w:t>等多种方式</w:t>
      </w:r>
      <w:r>
        <w:rPr>
          <w:rFonts w:hint="eastAsia" w:ascii="楷体" w:hAnsi="楷体" w:eastAsia="楷体" w:cs="楷体"/>
          <w:b w:val="0"/>
          <w:bCs w:val="0"/>
          <w:sz w:val="28"/>
          <w:szCs w:val="36"/>
          <w:highlight w:val="none"/>
          <w:lang w:val="en-US" w:eastAsia="zh-CN"/>
        </w:rPr>
        <w:t>调用DeepSeek。根据调研，具有行业通用性特点的通用性企业，如互联网开发、数码广告制作、律所、教育机构、电商企业等是主要使用群体。根据官方数据显示，DeepSeek API服务设计为每天1万亿tokens容量，由于访问量过大在1月26日到2月5日之间DeepSeek API调用服务器持续处于爆满阶段。</w:t>
      </w:r>
    </w:p>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4"/>
          <w:szCs w:val="32"/>
          <w:highlight w:val="none"/>
          <w:lang w:val="en-US" w:eastAsia="zh-CN"/>
        </w:rPr>
        <w:t>表2：通过第三方平台访问DeepSeek的总体情况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6"/>
        <w:gridCol w:w="2895"/>
        <w:gridCol w:w="3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平台类型</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提供服务类型</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典型平台/企业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公有云服务商和电信运营商</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API调用、在线部署等</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default" w:ascii="楷体" w:hAnsi="楷体" w:eastAsia="楷体" w:cs="楷体"/>
                <w:b w:val="0"/>
                <w:bCs w:val="0"/>
                <w:sz w:val="24"/>
                <w:szCs w:val="32"/>
                <w:highlight w:val="none"/>
                <w:vertAlign w:val="baseline"/>
                <w:lang w:val="en-US" w:eastAsia="zh-CN"/>
              </w:rPr>
              <w:t>百度智能云、华为云、腾讯云、阿里云、火山引擎、天翼云、微软Azure、亚马逊AWS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AI搜索引擎</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植入DeepSeek 推理能力</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default" w:ascii="楷体" w:hAnsi="楷体" w:eastAsia="楷体" w:cs="楷体"/>
                <w:b w:val="0"/>
                <w:bCs w:val="0"/>
                <w:sz w:val="24"/>
                <w:szCs w:val="32"/>
                <w:highlight w:val="none"/>
                <w:vertAlign w:val="baseline"/>
                <w:lang w:val="en-US" w:eastAsia="zh-CN"/>
              </w:rPr>
              <w:t>360纳米AI搜索、秘塔AI搜索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大模型开发平台</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企业大模型定制等</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支付宝百宝箱、</w:t>
            </w:r>
            <w:r>
              <w:rPr>
                <w:rFonts w:hint="default" w:ascii="楷体" w:hAnsi="楷体" w:eastAsia="楷体" w:cs="楷体"/>
                <w:b w:val="0"/>
                <w:bCs w:val="0"/>
                <w:sz w:val="24"/>
                <w:szCs w:val="32"/>
                <w:highlight w:val="none"/>
                <w:vertAlign w:val="baseline"/>
                <w:lang w:val="en-US" w:eastAsia="zh-CN"/>
              </w:rPr>
              <w:t>火山引擎、Groq、阿里云百炼</w:t>
            </w:r>
            <w:r>
              <w:rPr>
                <w:rFonts w:hint="eastAsia" w:ascii="楷体" w:hAnsi="楷体" w:eastAsia="楷体" w:cs="楷体"/>
                <w:b w:val="0"/>
                <w:bCs w:val="0"/>
                <w:sz w:val="24"/>
                <w:szCs w:val="32"/>
                <w:highlight w:val="none"/>
                <w:vertAlign w:val="baseline"/>
                <w:lang w:val="en-US" w:eastAsia="zh-CN"/>
              </w:rPr>
              <w:t>、广电运通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大模型技术商</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提供一站式大模型云部署服务</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硅基流动等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算力平台</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提供</w:t>
            </w:r>
            <w:r>
              <w:rPr>
                <w:rFonts w:hint="default" w:ascii="楷体" w:hAnsi="楷体" w:eastAsia="楷体" w:cs="楷体"/>
                <w:b w:val="0"/>
                <w:bCs w:val="0"/>
                <w:sz w:val="24"/>
                <w:szCs w:val="32"/>
                <w:highlight w:val="none"/>
                <w:vertAlign w:val="baseline"/>
                <w:lang w:val="en-US" w:eastAsia="zh-CN"/>
              </w:rPr>
              <w:t>网页链接</w:t>
            </w:r>
            <w:r>
              <w:rPr>
                <w:rFonts w:hint="eastAsia" w:ascii="楷体" w:hAnsi="楷体" w:eastAsia="楷体" w:cs="楷体"/>
                <w:b w:val="0"/>
                <w:bCs w:val="0"/>
                <w:sz w:val="24"/>
                <w:szCs w:val="32"/>
                <w:highlight w:val="none"/>
                <w:vertAlign w:val="baseline"/>
                <w:lang w:val="en-US" w:eastAsia="zh-CN"/>
              </w:rPr>
              <w:t>、</w:t>
            </w:r>
            <w:r>
              <w:rPr>
                <w:rFonts w:hint="default" w:ascii="楷体" w:hAnsi="楷体" w:eastAsia="楷体" w:cs="楷体"/>
                <w:b w:val="0"/>
                <w:bCs w:val="0"/>
                <w:sz w:val="24"/>
                <w:szCs w:val="32"/>
                <w:highlight w:val="none"/>
                <w:vertAlign w:val="baseline"/>
                <w:lang w:val="en-US" w:eastAsia="zh-CN"/>
              </w:rPr>
              <w:t>第三方平台部署</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国家超算互联网平台、多地算力平台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APP</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default" w:ascii="楷体" w:hAnsi="楷体" w:eastAsia="楷体" w:cs="楷体"/>
                <w:b w:val="0"/>
                <w:bCs w:val="0"/>
                <w:sz w:val="24"/>
                <w:szCs w:val="32"/>
                <w:highlight w:val="none"/>
                <w:vertAlign w:val="baseline"/>
                <w:lang w:val="en-US" w:eastAsia="zh-CN"/>
              </w:rPr>
              <w:t>与</w:t>
            </w:r>
            <w:r>
              <w:rPr>
                <w:rFonts w:hint="eastAsia" w:ascii="楷体" w:hAnsi="楷体" w:eastAsia="楷体" w:cs="楷体"/>
                <w:b w:val="0"/>
                <w:bCs w:val="0"/>
                <w:sz w:val="24"/>
                <w:szCs w:val="32"/>
                <w:highlight w:val="none"/>
                <w:vertAlign w:val="baseline"/>
                <w:lang w:val="en-US" w:eastAsia="zh-CN"/>
              </w:rPr>
              <w:t>APP</w:t>
            </w:r>
            <w:r>
              <w:rPr>
                <w:rFonts w:hint="default" w:ascii="楷体" w:hAnsi="楷体" w:eastAsia="楷体" w:cs="楷体"/>
                <w:b w:val="0"/>
                <w:bCs w:val="0"/>
                <w:sz w:val="24"/>
                <w:szCs w:val="32"/>
                <w:highlight w:val="none"/>
                <w:vertAlign w:val="baseline"/>
                <w:lang w:val="en-US" w:eastAsia="zh-CN"/>
              </w:rPr>
              <w:t>工具无缝整合</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default" w:ascii="楷体" w:hAnsi="楷体" w:eastAsia="楷体" w:cs="楷体"/>
                <w:b w:val="0"/>
                <w:bCs w:val="0"/>
                <w:sz w:val="24"/>
                <w:szCs w:val="32"/>
                <w:highlight w:val="none"/>
                <w:vertAlign w:val="baseline"/>
                <w:lang w:val="en-US" w:eastAsia="zh-CN"/>
              </w:rPr>
              <w:t>Fireworks、</w:t>
            </w:r>
            <w:r>
              <w:rPr>
                <w:rFonts w:hint="eastAsia" w:ascii="楷体" w:hAnsi="楷体" w:eastAsia="楷体" w:cs="楷体"/>
                <w:b w:val="0"/>
                <w:bCs w:val="0"/>
                <w:sz w:val="24"/>
                <w:szCs w:val="32"/>
                <w:highlight w:val="none"/>
                <w:vertAlign w:val="baseline"/>
                <w:lang w:val="en-US" w:eastAsia="zh-CN"/>
              </w:rPr>
              <w:t>招行APP等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AI硬件</w:t>
            </w:r>
          </w:p>
        </w:tc>
        <w:tc>
          <w:tcPr>
            <w:tcW w:w="2895"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AI手机</w:t>
            </w:r>
            <w:r>
              <w:rPr>
                <w:rFonts w:hint="default" w:ascii="楷体" w:hAnsi="楷体" w:eastAsia="楷体" w:cs="楷体"/>
                <w:b w:val="0"/>
                <w:bCs w:val="0"/>
                <w:sz w:val="24"/>
                <w:szCs w:val="32"/>
                <w:highlight w:val="none"/>
                <w:vertAlign w:val="baseline"/>
                <w:lang w:val="en-US" w:eastAsia="zh-CN"/>
              </w:rPr>
              <w:t>助理</w:t>
            </w:r>
          </w:p>
        </w:tc>
        <w:tc>
          <w:tcPr>
            <w:tcW w:w="3600"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荣耀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Pr>
          <w:p>
            <w:pPr>
              <w:numPr>
                <w:ilvl w:val="0"/>
                <w:numId w:val="0"/>
              </w:numPr>
              <w:rPr>
                <w:rFonts w:hint="default"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数商平台</w:t>
            </w:r>
          </w:p>
        </w:tc>
        <w:tc>
          <w:tcPr>
            <w:tcW w:w="2895" w:type="dxa"/>
          </w:tcPr>
          <w:p>
            <w:pPr>
              <w:numPr>
                <w:ilvl w:val="0"/>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数据治理和MaaS服务</w:t>
            </w:r>
          </w:p>
        </w:tc>
        <w:tc>
          <w:tcPr>
            <w:tcW w:w="3600" w:type="dxa"/>
          </w:tcPr>
          <w:p>
            <w:pPr>
              <w:numPr>
                <w:ilvl w:val="0"/>
                <w:numId w:val="0"/>
              </w:numPr>
              <w:rPr>
                <w:rFonts w:hint="eastAsia" w:ascii="楷体" w:hAnsi="楷体" w:eastAsia="楷体" w:cs="楷体"/>
                <w:b w:val="0"/>
                <w:bCs w:val="0"/>
                <w:sz w:val="24"/>
                <w:szCs w:val="32"/>
                <w:highlight w:val="none"/>
                <w:vertAlign w:val="baseline"/>
                <w:lang w:val="en-US" w:eastAsia="zh-CN"/>
              </w:rPr>
            </w:pPr>
            <w:r>
              <w:rPr>
                <w:rFonts w:hint="eastAsia" w:ascii="楷体" w:hAnsi="楷体" w:eastAsia="楷体" w:cs="楷体"/>
                <w:b w:val="0"/>
                <w:bCs w:val="0"/>
                <w:sz w:val="24"/>
                <w:szCs w:val="32"/>
                <w:highlight w:val="none"/>
                <w:vertAlign w:val="baseline"/>
                <w:lang w:val="en-US" w:eastAsia="zh-CN"/>
              </w:rPr>
              <w:t>成都数据集团</w:t>
            </w:r>
          </w:p>
        </w:tc>
      </w:tr>
    </w:tbl>
    <w:p>
      <w:pPr>
        <w:numPr>
          <w:ilvl w:val="0"/>
          <w:numId w:val="2"/>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个人用户通过web接入</w:t>
      </w:r>
      <w:r>
        <w:rPr>
          <w:rFonts w:hint="eastAsia" w:ascii="楷体" w:hAnsi="楷体" w:eastAsia="楷体" w:cs="楷体"/>
          <w:b/>
          <w:bCs/>
          <w:sz w:val="28"/>
          <w:szCs w:val="36"/>
          <w:highlight w:val="none"/>
        </w:rPr>
        <w:t>DeepSeek</w:t>
      </w:r>
      <w:r>
        <w:rPr>
          <w:rFonts w:hint="eastAsia" w:ascii="楷体" w:hAnsi="楷体" w:eastAsia="楷体" w:cs="楷体"/>
          <w:b/>
          <w:bCs/>
          <w:sz w:val="28"/>
          <w:szCs w:val="36"/>
          <w:highlight w:val="none"/>
          <w:lang w:val="en-US" w:eastAsia="zh-CN"/>
        </w:rPr>
        <w:t xml:space="preserve"> </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2025年1月份的DeepSeek Web用户新增访问量环比提高22.3倍，新增访问量达到2.46亿次，通过对2025年1月份全球Web AI产品用户访问量榜单数据进行分析（表3），DeepSeek新增访问量中仅有28.2%可能来自于纳米AI搜索、百度和Kimi的用户，另外的71.8%来自于新增用户。</w:t>
      </w:r>
    </w:p>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4"/>
          <w:szCs w:val="52"/>
          <w:highlight w:val="none"/>
          <w:lang w:val="en-US" w:eastAsia="zh-CN"/>
        </w:rPr>
        <w:t>表3：</w:t>
      </w:r>
      <w:r>
        <w:rPr>
          <w:rFonts w:hint="eastAsia" w:ascii="楷体" w:hAnsi="楷体" w:eastAsia="楷体" w:cs="楷体"/>
          <w:i w:val="0"/>
          <w:iCs w:val="0"/>
          <w:color w:val="000000"/>
          <w:kern w:val="0"/>
          <w:sz w:val="24"/>
          <w:szCs w:val="36"/>
          <w:highlight w:val="none"/>
          <w:u w:val="none"/>
          <w:lang w:val="en-US" w:eastAsia="zh-CN" w:bidi="ar"/>
        </w:rPr>
        <w:t>国内上榜AI应用月度WEB访问量环比情况</w:t>
      </w:r>
    </w:p>
    <w:tbl>
      <w:tblPr>
        <w:tblStyle w:val="5"/>
        <w:tblW w:w="76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95"/>
        <w:gridCol w:w="1873"/>
        <w:gridCol w:w="1735"/>
        <w:gridCol w:w="1110"/>
        <w:gridCol w:w="11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620" w:type="dxa"/>
            <w:gridSpan w:val="5"/>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国内上榜AI应用月度WEB访问量（百万次）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AI应用</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2024年12月</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2025年1月</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变化量</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变化率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纳米AI搜素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359.33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307.87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-51.46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DeepSeek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11.01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256.54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245.53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2231%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豆包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31.77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35.08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百度文库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45.89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-12.99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Kimi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38.37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-4.87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486.37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665.89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179.52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37%</w:t>
            </w:r>
          </w:p>
        </w:tc>
      </w:tr>
    </w:tbl>
    <w:p>
      <w:pPr>
        <w:numPr>
          <w:ilvl w:val="0"/>
          <w:numId w:val="2"/>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海外用户通过</w:t>
      </w:r>
      <w:r>
        <w:rPr>
          <w:rFonts w:hint="eastAsia" w:ascii="楷体" w:hAnsi="楷体" w:eastAsia="楷体" w:cs="楷体"/>
          <w:b/>
          <w:bCs/>
          <w:sz w:val="28"/>
          <w:szCs w:val="36"/>
          <w:highlight w:val="none"/>
        </w:rPr>
        <w:t>DeepSeek</w:t>
      </w:r>
      <w:r>
        <w:rPr>
          <w:rFonts w:hint="eastAsia" w:ascii="楷体" w:hAnsi="楷体" w:eastAsia="楷体" w:cs="楷体"/>
          <w:b/>
          <w:bCs/>
          <w:sz w:val="28"/>
          <w:szCs w:val="36"/>
          <w:highlight w:val="none"/>
          <w:lang w:val="en-US" w:eastAsia="zh-CN"/>
        </w:rPr>
        <w:t xml:space="preserve"> APP 访问</w:t>
      </w:r>
    </w:p>
    <w:p>
      <w:pPr>
        <w:numPr>
          <w:ilvl w:val="0"/>
          <w:numId w:val="0"/>
        </w:numPr>
        <w:ind w:firstLine="562"/>
        <w:rPr>
          <w:rFonts w:hint="eastAsia" w:ascii="楷体" w:hAnsi="楷体" w:eastAsia="楷体" w:cs="楷体"/>
          <w:b w:val="0"/>
          <w:bCs w:val="0"/>
          <w:sz w:val="24"/>
          <w:szCs w:val="52"/>
          <w:highlight w:val="none"/>
          <w:lang w:val="en-US" w:eastAsia="zh-CN"/>
        </w:rPr>
      </w:pPr>
      <w:r>
        <w:rPr>
          <w:rFonts w:hint="eastAsia" w:ascii="楷体" w:hAnsi="楷体" w:eastAsia="楷体" w:cs="楷体"/>
          <w:b w:val="0"/>
          <w:bCs w:val="0"/>
          <w:sz w:val="28"/>
          <w:szCs w:val="36"/>
          <w:highlight w:val="none"/>
          <w:lang w:val="en-US" w:eastAsia="zh-CN"/>
        </w:rPr>
        <w:t>2月份，DeepSeek海外APP端日均活跃用户数规模已经超过国内。根据Appstore等统计，截止2月8日，DeepSeek海外APP端日均活跃用户数达到3685万，已经超过国内APP端的3494万，海外用户中印度、巴基斯坦、巴西和埃及、印尼等国用户占比较高，而这些国家除印度以外，其他国家截至2024年底的5G用户渗透率均低于10%。这意味着，DeepSeek以轻量化优势在这些国家的4G网络环境下获得了大批用户。</w:t>
      </w:r>
    </w:p>
    <w:p>
      <w:pPr>
        <w:numPr>
          <w:ilvl w:val="0"/>
          <w:numId w:val="0"/>
        </w:numPr>
        <w:ind w:firstLine="562"/>
        <w:rPr>
          <w:rFonts w:hint="default" w:ascii="楷体" w:hAnsi="楷体" w:eastAsia="楷体" w:cs="楷体"/>
          <w:b w:val="0"/>
          <w:bCs w:val="0"/>
          <w:sz w:val="28"/>
          <w:szCs w:val="36"/>
          <w:highlight w:val="none"/>
          <w:lang w:val="en-US" w:eastAsia="zh-CN"/>
        </w:rPr>
      </w:pPr>
    </w:p>
    <w:p>
      <w:pPr>
        <w:numPr>
          <w:ilvl w:val="0"/>
          <w:numId w:val="1"/>
        </w:numPr>
        <w:rPr>
          <w:rFonts w:hint="eastAsia"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中国电信如何抓住DeepSeek带来的发展机遇</w:t>
      </w:r>
    </w:p>
    <w:p>
      <w:pPr>
        <w:numPr>
          <w:ilvl w:val="0"/>
          <w:numId w:val="0"/>
        </w:numPr>
        <w:ind w:firstLine="562"/>
        <w:rPr>
          <w:rFonts w:hint="default"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1.抓住私有环境本地化部署机遇，推出</w:t>
      </w:r>
      <w:bookmarkStart w:id="0" w:name="_GoBack"/>
      <w:bookmarkEnd w:id="0"/>
      <w:r>
        <w:rPr>
          <w:rFonts w:hint="eastAsia" w:ascii="楷体" w:hAnsi="楷体" w:eastAsia="楷体" w:cs="楷体"/>
          <w:b/>
          <w:bCs/>
          <w:sz w:val="28"/>
          <w:szCs w:val="36"/>
          <w:highlight w:val="none"/>
          <w:lang w:val="en-US" w:eastAsia="zh-CN"/>
        </w:rPr>
        <w:t>多类型一体机</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一是面</w:t>
      </w:r>
      <w:r>
        <w:rPr>
          <w:rFonts w:hint="eastAsia" w:ascii="楷体" w:hAnsi="楷体" w:eastAsia="楷体" w:cs="楷体"/>
          <w:b w:val="0"/>
          <w:bCs w:val="0"/>
          <w:sz w:val="28"/>
          <w:szCs w:val="36"/>
          <w:highlight w:val="none"/>
          <w:lang w:val="en-US" w:eastAsia="zh-CN"/>
        </w:rPr>
        <w:t>向已经部署有行业大模型的企业，通过推出私有化部署成本远低于传统方案的训推一体机或推理一体机</w:t>
      </w:r>
      <w:r>
        <w:rPr>
          <w:rStyle w:val="10"/>
          <w:rFonts w:hint="eastAsia" w:ascii="仿宋_GB2312" w:hAnsi="仿宋_GB2312" w:eastAsia="仿宋_GB2312" w:cs="仿宋_GB2312"/>
          <w:sz w:val="32"/>
          <w:szCs w:val="32"/>
        </w:rPr>
        <w:footnoteReference w:id="0"/>
      </w:r>
      <w:r>
        <w:rPr>
          <w:rFonts w:hint="eastAsia" w:ascii="楷体" w:hAnsi="楷体" w:eastAsia="楷体" w:cs="楷体"/>
          <w:b w:val="0"/>
          <w:bCs w:val="0"/>
          <w:sz w:val="28"/>
          <w:szCs w:val="36"/>
          <w:highlight w:val="none"/>
          <w:lang w:val="en-US" w:eastAsia="zh-CN"/>
        </w:rPr>
        <w:t>，加快提供在私有环境中部署定制化的DeepSeek R1满血版大模型等服务，对现有在用的内部应用大模型进行更替，如部分医疗机构开始使用DeepSeek替代原有的医疗大模型。</w:t>
      </w:r>
      <w:r>
        <w:rPr>
          <w:rFonts w:hint="eastAsia" w:ascii="楷体" w:hAnsi="楷体" w:eastAsia="楷体" w:cs="楷体"/>
          <w:b/>
          <w:bCs/>
          <w:sz w:val="28"/>
          <w:szCs w:val="36"/>
          <w:highlight w:val="none"/>
          <w:lang w:val="en-US" w:eastAsia="zh-CN"/>
        </w:rPr>
        <w:t>二是开展行业场景化深度推理价值挖掘机遇。</w:t>
      </w:r>
      <w:r>
        <w:rPr>
          <w:rFonts w:hint="eastAsia" w:ascii="楷体" w:hAnsi="楷体" w:eastAsia="楷体" w:cs="楷体"/>
          <w:b w:val="0"/>
          <w:bCs w:val="0"/>
          <w:sz w:val="28"/>
          <w:szCs w:val="36"/>
          <w:highlight w:val="none"/>
          <w:lang w:val="en-US" w:eastAsia="zh-CN"/>
        </w:rPr>
        <w:t>全面在已经验证本地化部署效果良好、幻觉率低的行业企业，开展行业场景化深度推理价值挖掘，特别是目前已经在使用电信运营商混合云、私有云、云维保等业务的政务、金融保险、能源、教育医疗、电商等数据安全敏感型行业客户，推出多模态一体机或多模态大模型本地化部署方案。</w:t>
      </w:r>
      <w:r>
        <w:rPr>
          <w:rFonts w:hint="eastAsia" w:ascii="楷体" w:hAnsi="楷体" w:eastAsia="楷体" w:cs="楷体"/>
          <w:b/>
          <w:bCs/>
          <w:sz w:val="28"/>
          <w:szCs w:val="36"/>
          <w:highlight w:val="none"/>
          <w:lang w:val="en-US" w:eastAsia="zh-CN"/>
        </w:rPr>
        <w:t>三是面对部署有传统</w:t>
      </w:r>
      <w:r>
        <w:rPr>
          <w:rFonts w:hint="eastAsia" w:ascii="楷体" w:hAnsi="楷体" w:eastAsia="楷体" w:cs="楷体"/>
          <w:b w:val="0"/>
          <w:bCs w:val="0"/>
          <w:sz w:val="28"/>
          <w:szCs w:val="36"/>
          <w:highlight w:val="none"/>
          <w:lang w:val="en-US" w:eastAsia="zh-CN"/>
        </w:rPr>
        <w:t>数据中台、行业大数据等应用的客户，按照2024版大数据治理标准（《GB/T 44109-2024 大数据治理实施指南》）发掘利用DeepSeek 接入核心业务流程的潜在需求，推出“预集成超融合一体机”，内置自动化数据治理和大模型部署工具，缩短部署周期，降低企业TCO（总拥有成本）。</w:t>
      </w:r>
    </w:p>
    <w:p>
      <w:pPr>
        <w:numPr>
          <w:ilvl w:val="0"/>
          <w:numId w:val="0"/>
        </w:numPr>
        <w:ind w:firstLine="562"/>
        <w:rPr>
          <w:rFonts w:hint="default"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2.加强DeepSeek的配套工具和算力服务，带动天翼云发展</w:t>
      </w:r>
    </w:p>
    <w:p>
      <w:pPr>
        <w:keepNext w:val="0"/>
        <w:keepLines w:val="0"/>
        <w:widowControl/>
        <w:numPr>
          <w:ilvl w:val="0"/>
          <w:numId w:val="0"/>
        </w:numPr>
        <w:suppressLineNumbers w:val="0"/>
        <w:spacing w:before="0" w:beforeAutospacing="1" w:after="0" w:afterAutospacing="1"/>
        <w:ind w:firstLine="562" w:firstLineChars="200"/>
        <w:rPr>
          <w:rFonts w:hint="eastAsia"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一是联合DeepSeek推出“算力+工具链”一体化服务，如</w:t>
      </w:r>
      <w:r>
        <w:rPr>
          <w:rFonts w:hint="eastAsia" w:ascii="楷体" w:hAnsi="楷体" w:eastAsia="楷体" w:cs="楷体"/>
          <w:b w:val="0"/>
          <w:bCs w:val="0"/>
          <w:sz w:val="28"/>
          <w:szCs w:val="36"/>
          <w:highlight w:val="none"/>
          <w:lang w:val="en-US" w:eastAsia="zh-CN"/>
        </w:rPr>
        <w:t>预置主流AI框架、数据集及自动化训练工具的公有云服务，降低企业大模型定制开发门槛，吸引企业客户使用天翼云的一键部署服务。</w:t>
      </w:r>
      <w:r>
        <w:rPr>
          <w:rFonts w:hint="eastAsia" w:ascii="楷体" w:hAnsi="楷体" w:eastAsia="楷体" w:cs="楷体"/>
          <w:b/>
          <w:bCs/>
          <w:sz w:val="28"/>
          <w:szCs w:val="36"/>
          <w:highlight w:val="none"/>
          <w:lang w:val="en-US" w:eastAsia="zh-CN"/>
        </w:rPr>
        <w:t>二是</w:t>
      </w:r>
      <w:r>
        <w:rPr>
          <w:rFonts w:hint="eastAsia" w:ascii="楷体" w:hAnsi="楷体" w:eastAsia="楷体" w:cs="楷体"/>
          <w:b w:val="0"/>
          <w:bCs w:val="0"/>
          <w:sz w:val="28"/>
          <w:szCs w:val="36"/>
          <w:highlight w:val="none"/>
          <w:lang w:val="en-US" w:eastAsia="zh-CN"/>
        </w:rPr>
        <w:t>优化边缘计算与分布式云部署，拓展低时延、实时渲染等场景客户，开辟增量市场。三</w:t>
      </w:r>
      <w:r>
        <w:rPr>
          <w:rFonts w:hint="eastAsia" w:ascii="楷体" w:hAnsi="楷体" w:eastAsia="楷体" w:cs="楷体"/>
          <w:b/>
          <w:bCs/>
          <w:sz w:val="28"/>
          <w:szCs w:val="36"/>
          <w:highlight w:val="none"/>
          <w:lang w:val="en-US" w:eastAsia="zh-CN"/>
        </w:rPr>
        <w:t>是联合DeepSeek部署类第三方企业，加快垂类领域的场景化服务开发和部署应用，如</w:t>
      </w:r>
      <w:r>
        <w:rPr>
          <w:rFonts w:hint="eastAsia" w:ascii="楷体" w:hAnsi="楷体" w:eastAsia="楷体" w:cs="楷体"/>
          <w:b w:val="0"/>
          <w:bCs w:val="0"/>
          <w:sz w:val="28"/>
          <w:szCs w:val="36"/>
          <w:highlight w:val="none"/>
          <w:lang w:val="en-US" w:eastAsia="zh-CN"/>
        </w:rPr>
        <w:t>与在DeepSeek部署领域具有独特技术优势的硅基流动等企业开展合作，针对医疗等垂直行业提供合规性封装（如HIPAA兼容的医疗影像分析云），解决医疗机构上云顾虑，加快在垂类领域的公有云服务拓展。</w:t>
      </w:r>
      <w:r>
        <w:rPr>
          <w:rFonts w:hint="eastAsia" w:ascii="楷体" w:hAnsi="楷体" w:eastAsia="楷体" w:cs="楷体"/>
          <w:b/>
          <w:bCs/>
          <w:sz w:val="28"/>
          <w:szCs w:val="36"/>
          <w:highlight w:val="none"/>
          <w:lang w:val="en-US" w:eastAsia="zh-CN"/>
        </w:rPr>
        <w:t>四是</w:t>
      </w:r>
      <w:r>
        <w:rPr>
          <w:rFonts w:hint="eastAsia" w:ascii="楷体" w:hAnsi="楷体" w:eastAsia="楷体" w:cs="楷体"/>
          <w:b w:val="0"/>
          <w:bCs w:val="0"/>
          <w:sz w:val="28"/>
          <w:szCs w:val="36"/>
          <w:highlight w:val="none"/>
          <w:lang w:val="en-US" w:eastAsia="zh-CN"/>
        </w:rPr>
        <w:t>尽快丰富DeepSeek模型部署策略，满足不同客户使用场景、算力环境和开发基础等需求。如AWS提供预训练模型集成、高度定制化、复杂算力环境适配以及自研芯片部署等策略，阿里云支持自研的BladeLLM和SGLang、vLLM等加速部署策略，分别适用于高吞吐量、视觉语言和极低时延的终端和场景。</w:t>
      </w:r>
    </w:p>
    <w:p>
      <w:pPr>
        <w:numPr>
          <w:ilvl w:val="0"/>
          <w:numId w:val="0"/>
        </w:numPr>
        <w:ind w:firstLine="562"/>
        <w:rPr>
          <w:rFonts w:hint="eastAsia" w:ascii="楷体" w:hAnsi="楷体" w:eastAsia="楷体" w:cs="楷体"/>
          <w:sz w:val="28"/>
          <w:szCs w:val="40"/>
          <w:highlight w:val="none"/>
        </w:rPr>
      </w:pPr>
      <w:r>
        <w:rPr>
          <w:rFonts w:hint="eastAsia" w:ascii="楷体" w:hAnsi="楷体" w:eastAsia="楷体" w:cs="楷体"/>
          <w:b/>
          <w:bCs/>
          <w:sz w:val="28"/>
          <w:szCs w:val="36"/>
          <w:highlight w:val="none"/>
          <w:lang w:val="en-US" w:eastAsia="zh-CN"/>
        </w:rPr>
        <w:t>3.结合DeepSeek应用场景推出多种形态的灵活计费包，满足个人开发者模型微调市场需求，探索算力运营模式。</w:t>
      </w:r>
      <w:r>
        <w:rPr>
          <w:rFonts w:hint="eastAsia" w:ascii="楷体" w:hAnsi="楷体" w:eastAsia="楷体" w:cs="楷体"/>
          <w:b w:val="0"/>
          <w:bCs w:val="0"/>
          <w:sz w:val="28"/>
          <w:szCs w:val="36"/>
          <w:highlight w:val="none"/>
          <w:lang w:val="en-US" w:eastAsia="zh-CN"/>
        </w:rPr>
        <w:t>建议在现有的资源整租模式基础上，推出按Token数量计费推理服务、共享GPU池、按实际训练时长、按模型精度的多种形态新计费模式，降低门槛吸引小型机构和海量的个人开发者（多个开发社区上有百万以上规模）灵活使用GPU算力进行模型微调，也为企业增加新的收入来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4"/>
        <w:ind w:firstLine="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：神州问学DeepSeek版、沐曦国产 GPU 与联想联合推出的智能体一体机，可将私有化部署成本降低至传统方案的 1/3。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85B82D"/>
    <w:multiLevelType w:val="singleLevel"/>
    <w:tmpl w:val="E285B82D"/>
    <w:lvl w:ilvl="0" w:tentative="0">
      <w:start w:val="1"/>
      <w:numFmt w:val="decimal"/>
      <w:lvlText w:val="%1."/>
      <w:lvlJc w:val="left"/>
      <w:pPr>
        <w:tabs>
          <w:tab w:val="left" w:pos="312"/>
        </w:tabs>
      </w:pPr>
    </w:lvl>
  </w:abstractNum>
  <w:abstractNum w:abstractNumId="1">
    <w:nsid w:val="7788CF77"/>
    <w:multiLevelType w:val="singleLevel"/>
    <w:tmpl w:val="7788CF77"/>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25A44"/>
    <w:rsid w:val="00D73D1E"/>
    <w:rsid w:val="011C65E1"/>
    <w:rsid w:val="032948A1"/>
    <w:rsid w:val="05685099"/>
    <w:rsid w:val="05D36CEC"/>
    <w:rsid w:val="0617661D"/>
    <w:rsid w:val="06786A24"/>
    <w:rsid w:val="07E65189"/>
    <w:rsid w:val="09544CCD"/>
    <w:rsid w:val="09924466"/>
    <w:rsid w:val="0A6571E2"/>
    <w:rsid w:val="0AA01DEA"/>
    <w:rsid w:val="0D8D60F1"/>
    <w:rsid w:val="0ED363A6"/>
    <w:rsid w:val="0FB26EF2"/>
    <w:rsid w:val="0FC31066"/>
    <w:rsid w:val="152143B8"/>
    <w:rsid w:val="15AE67C7"/>
    <w:rsid w:val="15D700FE"/>
    <w:rsid w:val="176667F0"/>
    <w:rsid w:val="176B6FC1"/>
    <w:rsid w:val="17A50796"/>
    <w:rsid w:val="1BB750B7"/>
    <w:rsid w:val="1CF4104A"/>
    <w:rsid w:val="1E99763F"/>
    <w:rsid w:val="1FC905C9"/>
    <w:rsid w:val="21567870"/>
    <w:rsid w:val="219065DC"/>
    <w:rsid w:val="21C37552"/>
    <w:rsid w:val="22697E20"/>
    <w:rsid w:val="22892775"/>
    <w:rsid w:val="24070EB3"/>
    <w:rsid w:val="24322DB3"/>
    <w:rsid w:val="262B7F97"/>
    <w:rsid w:val="29625890"/>
    <w:rsid w:val="29927E4B"/>
    <w:rsid w:val="2BAF281C"/>
    <w:rsid w:val="2BC25AD6"/>
    <w:rsid w:val="2EEE2ED9"/>
    <w:rsid w:val="301E166E"/>
    <w:rsid w:val="314B6F36"/>
    <w:rsid w:val="34B82403"/>
    <w:rsid w:val="35946903"/>
    <w:rsid w:val="36154BBE"/>
    <w:rsid w:val="37A67F1A"/>
    <w:rsid w:val="39D24582"/>
    <w:rsid w:val="3BAD1C81"/>
    <w:rsid w:val="3C53640F"/>
    <w:rsid w:val="3CF86CD4"/>
    <w:rsid w:val="3FD87226"/>
    <w:rsid w:val="41605F2C"/>
    <w:rsid w:val="41E46581"/>
    <w:rsid w:val="43564760"/>
    <w:rsid w:val="45BF33F9"/>
    <w:rsid w:val="4A2B4A13"/>
    <w:rsid w:val="4CE75558"/>
    <w:rsid w:val="4D9C3F67"/>
    <w:rsid w:val="4F8F3B86"/>
    <w:rsid w:val="50CC0414"/>
    <w:rsid w:val="51825A44"/>
    <w:rsid w:val="51E22386"/>
    <w:rsid w:val="53BA12DC"/>
    <w:rsid w:val="56133A67"/>
    <w:rsid w:val="56926100"/>
    <w:rsid w:val="5A3A2A5E"/>
    <w:rsid w:val="5B735337"/>
    <w:rsid w:val="5C01696C"/>
    <w:rsid w:val="5C1C2F80"/>
    <w:rsid w:val="5FD823E4"/>
    <w:rsid w:val="6107182D"/>
    <w:rsid w:val="62235220"/>
    <w:rsid w:val="629339BA"/>
    <w:rsid w:val="62AE66F6"/>
    <w:rsid w:val="62E333FD"/>
    <w:rsid w:val="64BC6A4B"/>
    <w:rsid w:val="6591642E"/>
    <w:rsid w:val="65F730EA"/>
    <w:rsid w:val="668A663D"/>
    <w:rsid w:val="68E741AA"/>
    <w:rsid w:val="68F73207"/>
    <w:rsid w:val="694C76BA"/>
    <w:rsid w:val="6B2D4B05"/>
    <w:rsid w:val="6ECD15F5"/>
    <w:rsid w:val="70C45F9C"/>
    <w:rsid w:val="72F6184B"/>
    <w:rsid w:val="74082B85"/>
    <w:rsid w:val="75A73491"/>
    <w:rsid w:val="768028DB"/>
    <w:rsid w:val="77226D00"/>
    <w:rsid w:val="77ED087F"/>
    <w:rsid w:val="7A040387"/>
    <w:rsid w:val="7A1B4F79"/>
    <w:rsid w:val="7C5F4417"/>
    <w:rsid w:val="7F6746AE"/>
    <w:rsid w:val="7F7A0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note text"/>
    <w:basedOn w:val="1"/>
    <w:semiHidden/>
    <w:unhideWhenUsed/>
    <w:qFormat/>
    <w:uiPriority w:val="99"/>
    <w:pPr>
      <w:snapToGrid w:val="0"/>
      <w:jc w:val="left"/>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footnote reference"/>
    <w:basedOn w:val="7"/>
    <w:semiHidden/>
    <w:unhideWhenUsed/>
    <w:qFormat/>
    <w:uiPriority w:val="99"/>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6</Pages>
  <Words>2713</Words>
  <Characters>3368</Characters>
  <Lines>0</Lines>
  <Paragraphs>0</Paragraphs>
  <TotalTime>5</TotalTime>
  <ScaleCrop>false</ScaleCrop>
  <LinksUpToDate>false</LinksUpToDate>
  <CharactersWithSpaces>3405</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2025-02-10T03:15:00Z</dcterms:created>
  <dc:creator>张小东</dc:creator>
  <cp:lastModifiedBy>张小东</cp:lastModifiedBy>
  <dcterms:modified xsi:type="dcterms:W3CDTF">2025-03-04T06:18:19Z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4288209F4C344FC4B7399AA6866CC6BC_13</vt:lpwstr>
  </property>
  <property fmtid="{D5CDD505-2E9C-101B-9397-08002B2CF9AE}" pid="4" name="KSOTemplateDocerSaveRecord">
    <vt:lpwstr>eyJoZGlkIjoiZmQ2ZTI3M2U5ZjczNWQ3MGMyYmI0YTRhNTNjMDI5MWUiLCJ1c2VySWQiOiI1MzE5MjcxNjAifQ==</vt:lpwstr>
  </property>
</Properties>
</file>