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楷体" w:hAnsi="楷体" w:eastAsia="楷体" w:cs="楷体"/>
          <w:b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Deepseek商业化突破有望带动移动 DOU显著提升，运营商需做好应对</w:t>
      </w:r>
    </w:p>
    <w:p>
      <w:pPr>
        <w:ind w:firstLine="3547" w:firstLineChars="1267"/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>作者：张小东、李晨清、饶楚悦</w:t>
      </w:r>
    </w:p>
    <w:p>
      <w:pPr>
        <w:ind w:firstLine="562"/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>2024年，我国移动数据流量和DOU的总</w:t>
      </w:r>
      <w:bookmarkStart w:id="0" w:name="_GoBack"/>
      <w:bookmarkEnd w:id="0"/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>体增速均有所放缓，与此同时，AI等因素推动移动APP应用流量加速向头部平台企业聚集。2024年至今，AI对移动流量的贡献作用逐步显性化，AI加持下的视频、接入以DeepSeek为代表的AI应用工具对移动流量增量效应显著，AI应用活跃用户数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8"/>
          <w:szCs w:val="28"/>
          <w:shd w:val="clear" w:fill="auto"/>
        </w:rPr>
        <w:t>在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8"/>
          <w:szCs w:val="28"/>
          <w:shd w:val="clear" w:fill="auto"/>
          <w:lang w:val="en-US" w:eastAsia="zh-CN"/>
        </w:rPr>
        <w:t>全部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8"/>
          <w:szCs w:val="28"/>
          <w:shd w:val="clear" w:fill="auto"/>
        </w:rPr>
        <w:t>移动应用活跃用户数中的占比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8"/>
          <w:szCs w:val="28"/>
          <w:shd w:val="clear" w:fill="auto"/>
          <w:lang w:val="en-US" w:eastAsia="zh-CN"/>
        </w:rPr>
        <w:t>已经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8"/>
          <w:szCs w:val="28"/>
          <w:shd w:val="clear" w:fill="auto"/>
        </w:rPr>
        <w:t>接近十分之一 。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>2025年，随着DeepSeek等AI大模型驱动AI行业应用、AI APP和多种新型AI终端迅猛增长，有望带动我国移动流量DOU突破20Gbps，增长到22Gbps左右。建议加快出台新型移动AI终端产品生态合作管理办法及移动流量资源配置优化策略，加快研究出台针对AI头部平台企业的后向流量经营策略。</w:t>
      </w:r>
    </w:p>
    <w:p>
      <w:pPr>
        <w:ind w:firstLine="562"/>
        <w:jc w:val="left"/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</w:pPr>
    </w:p>
    <w:p>
      <w:pPr>
        <w:ind w:firstLine="562"/>
        <w:jc w:val="left"/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一、2024年我国移动数据流量增速放缓，与此同时AI增量贡献却趋于显著</w:t>
      </w:r>
    </w:p>
    <w:p>
      <w:pPr>
        <w:numPr>
          <w:ilvl w:val="0"/>
          <w:numId w:val="1"/>
        </w:numPr>
        <w:ind w:firstLine="562"/>
        <w:jc w:val="left"/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移动互联网应用流量增长放缓，并加速向头部聚集</w:t>
      </w:r>
    </w:p>
    <w:p>
      <w:pPr>
        <w:numPr>
          <w:ilvl w:val="0"/>
          <w:numId w:val="0"/>
        </w:numPr>
        <w:ind w:firstLine="560" w:firstLineChars="200"/>
        <w:jc w:val="left"/>
        <w:rPr>
          <w:rFonts w:hint="default" w:ascii="楷体" w:hAnsi="楷体" w:eastAsia="楷体" w:cs="楷体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>根据工信部统计数据显示，2024年，我国移动互联网累计流量同比增长11.6%，全年DOU同比增长7.9%，两者均较2023年同期的15.2%和10.9%增速有明显下降。2024年移动流量增速放缓的主要原因包括：一是移动互联网APP应用整体的活跃用户数增长陷入低迷，2024年增速维持在1.7%左右，较2023年的2.2%下降0.5pp；</w:t>
      </w: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  <w:t>二是移动APP用户平均上网时长也在放缓，2024年移动互联网全网用户月人均使用时长为1645小时，同比增加了4.3%，较2019年-2023年期间的复合增速4.6%下降了0.3pp；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>三是移动APP使用集中度提高，用户平均使用APP个数不再增长。2024年全网月人均使用APP个数28.5个，与同期的28.4个基本持平，用户更倾向于高频使用部分综合类APP或头部平台的小程序，用户流量加速向社交平台、资讯视频、AIGC和金融消费等类别APP聚集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highlight w:val="none"/>
          <w:lang w:val="en-US" w:eastAsia="zh-CN"/>
        </w:rPr>
        <w:t>。</w:t>
      </w:r>
    </w:p>
    <w:p>
      <w:pPr>
        <w:numPr>
          <w:ilvl w:val="0"/>
          <w:numId w:val="1"/>
        </w:numPr>
        <w:ind w:left="0" w:leftChars="0" w:firstLine="562" w:firstLineChars="0"/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AI加持下的资讯和电商等视频流量增量效应显著</w:t>
      </w:r>
    </w:p>
    <w:p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2024年AI对影视娱乐和电商金融等领域的视频增长加持效应显著。一方面AI技术通过提供背景创意、智能剪辑、生成特效等显著提升了视频内容创作效果、降低制作门</w:t>
      </w:r>
      <w:r>
        <w:rPr>
          <w:rFonts w:hint="eastAsia" w:ascii="楷体" w:hAnsi="楷体" w:eastAsia="楷体" w:cs="楷体"/>
          <w:b w:val="0"/>
          <w:bCs w:val="0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槛。</w:t>
      </w:r>
      <w:r>
        <w:rPr>
          <w:rFonts w:hint="eastAsia" w:ascii="楷体" w:hAnsi="楷体" w:eastAsia="楷体" w:cs="楷体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CNNIC数据显示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  <w:t>2024年短视频用户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已经占到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  <w:t>网民的9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  <w:t>%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抖音平台报告披露全年视频播放量同比增长24%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另一方面，</w:t>
      </w:r>
      <w:r>
        <w:rPr>
          <w:rFonts w:hint="eastAsia" w:ascii="楷体" w:hAnsi="楷体" w:eastAsia="楷体" w:cs="楷体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通过AI+大数据助力商家向用户精准投放短视频内容推高销量，如2024年抖音电商平台直播渠道GMV（商品销售额）同比增长46%，商家数量同比增长165%，移动广告投入同比增长11.8%。</w:t>
      </w:r>
    </w:p>
    <w:p>
      <w:pPr>
        <w:numPr>
          <w:ilvl w:val="0"/>
          <w:numId w:val="0"/>
        </w:numPr>
        <w:ind w:firstLine="562" w:firstLineChars="200"/>
        <w:rPr>
          <w:rFonts w:hint="eastAsia" w:ascii="楷体" w:hAnsi="楷体" w:eastAsia="楷体" w:cs="楷体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3.AI工具和植入AI插件的APP等对移动流量贡献逐步显现</w:t>
      </w:r>
    </w:p>
    <w:p>
      <w:pPr>
        <w:numPr>
          <w:ilvl w:val="0"/>
          <w:numId w:val="0"/>
        </w:numPr>
        <w:ind w:firstLine="562" w:firstLineChars="200"/>
        <w:rPr>
          <w:rFonts w:hint="default" w:ascii="楷体" w:hAnsi="楷体" w:eastAsia="楷体" w:cs="楷体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一是生产力工具、生活助理等AI工具类产品流量贡献作用开始显现。</w:t>
      </w:r>
      <w:r>
        <w:rPr>
          <w:rFonts w:hint="eastAsia" w:ascii="楷体" w:hAnsi="楷体" w:eastAsia="楷体" w:cs="楷体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随着AI应用产品接入不断迭代的领先大模型之后，用户访问量不断增长，全球头部AI应用产品如AI翻译、AI写作、AI搜索、AI陪伴和AI编程等工具类产品已开始展现较高的用户粘性，截至2024年10月，AI用户平均留存率已从年初的41%提升至63%，我国AI头部产品月活跃用户规模接近9000万户，同比增长373%，活跃用户规模相当于月活最高平台（微信）的8.6%，排名前三的头部AI企业发布的AI智能体数量也超过3.6万个。</w:t>
      </w:r>
    </w:p>
    <w:p>
      <w:pPr>
        <w:numPr>
          <w:ilvl w:val="0"/>
          <w:numId w:val="0"/>
        </w:numPr>
        <w:ind w:firstLine="562" w:firstLineChars="200"/>
        <w:rPr>
          <w:rFonts w:hint="default" w:ascii="楷体" w:hAnsi="楷体" w:cs="楷体" w:eastAsiaTheme="minorEastAsia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二是植入AI插件、API、小程序的移动平台类APP流量快速增长。</w:t>
      </w:r>
      <w:r>
        <w:rPr>
          <w:rFonts w:hint="eastAsia" w:ascii="楷体" w:hAnsi="楷体" w:eastAsia="楷体" w:cs="楷体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我国头部互联网平台企业普遍以植入AI插件或小程序方式增强原有APP功能，满足用户在多种移动场景的无需安装、用完即走需求，如微信平台的医疗诊断、教育辅导等AI程序、淘宝平台的AI导购等。QuestMobile数据显示,2024年各类综合社交APP平台的小程序成为流量源头，截至2024年10月，</w:t>
      </w:r>
      <w:r>
        <w:rPr>
          <w:rFonts w:hint="eastAsia" w:ascii="楷体" w:hAnsi="楷体" w:eastAsia="楷体" w:cs="楷体"/>
          <w:b w:val="0"/>
          <w:bCs w:val="0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微信小程序用户规模同比增长3%、</w:t>
      </w:r>
      <w:r>
        <w:rPr>
          <w:rFonts w:hint="eastAsia" w:ascii="楷体" w:hAnsi="楷体" w:eastAsia="楷体" w:cs="楷体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人均使用次数同比增长5.2%</w:t>
      </w:r>
      <w:r>
        <w:rPr>
          <w:rFonts w:hint="eastAsia" w:ascii="楷体" w:hAnsi="楷体" w:eastAsia="楷体" w:cs="楷体"/>
          <w:b w:val="0"/>
          <w:bCs w:val="0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楷体" w:hAnsi="楷体" w:eastAsia="楷体" w:cs="楷体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楷体" w:hAnsi="楷体" w:eastAsia="楷体" w:cs="楷体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人</w:t>
      </w:r>
      <w:r>
        <w:rPr>
          <w:rFonts w:hint="eastAsia" w:ascii="楷体" w:hAnsi="楷体" w:eastAsia="楷体" w:cs="楷体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均使用时长</w:t>
      </w:r>
      <w:r>
        <w:rPr>
          <w:rFonts w:hint="eastAsia" w:ascii="楷体" w:hAnsi="楷体" w:eastAsia="楷体" w:cs="楷体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同比增长15.1%，带动移动上网流量增长18.5%，其中各类AI类小程序成为带动移动流量增长的重要因素。</w:t>
      </w:r>
    </w:p>
    <w:p>
      <w:pPr>
        <w:numPr>
          <w:ilvl w:val="0"/>
          <w:numId w:val="0"/>
        </w:numPr>
        <w:ind w:firstLine="562" w:firstLineChars="200"/>
        <w:rPr>
          <w:rFonts w:hint="eastAsia" w:ascii="楷体" w:hAnsi="楷体" w:eastAsia="楷体" w:cs="楷体"/>
          <w:b w:val="0"/>
          <w:bCs w:val="0"/>
          <w:color w:val="000000" w:themeColor="text1"/>
          <w:sz w:val="28"/>
          <w:szCs w:val="28"/>
          <w:highlight w:val="yellow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三是AI硬件终端规模出厂也在带动移动流量增长。</w:t>
      </w:r>
      <w:r>
        <w:rPr>
          <w:rFonts w:hint="eastAsia" w:ascii="楷体" w:hAnsi="楷体" w:eastAsia="楷体" w:cs="楷体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根据Cloudflare数据显示，2024年全年我国桌面互联网流量占比从2023全年的55.7%下降到55.3%，下降了0.7%。智驾汽车、AI手机、、AI PAD、AI眼镜等移动终端等出厂量迅速增长也推动了桌面流量转向移动流量，</w:t>
      </w:r>
      <w:r>
        <w:rPr>
          <w:rFonts w:hint="eastAsia" w:ascii="楷体" w:hAnsi="楷体" w:eastAsia="楷体" w:cs="楷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如2024年我国新能源汽车搭载L3及以上自动驾驶功能的渗透率已达17%，数量接近1000万台，多款</w:t>
      </w:r>
      <w:r>
        <w:rPr>
          <w:rFonts w:hint="eastAsia" w:ascii="楷体" w:hAnsi="楷体" w:eastAsia="楷体" w:cs="楷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</w:t>
      </w:r>
      <w:r>
        <w:rPr>
          <w:rFonts w:hint="eastAsia" w:ascii="楷体" w:hAnsi="楷体" w:eastAsia="楷体" w:cs="楷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PAD</w:t>
      </w:r>
      <w:r>
        <w:rPr>
          <w:rFonts w:hint="eastAsia" w:ascii="楷体" w:hAnsi="楷体" w:eastAsia="楷体" w:cs="楷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终端通过“一圈OK”交互技术实现了即时翻译、智能解释等功能。</w:t>
      </w:r>
      <w:r>
        <w:rPr>
          <w:rFonts w:hint="eastAsia" w:ascii="楷体" w:hAnsi="楷体" w:eastAsia="楷体" w:cs="楷体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根据《第55次中国互联网络发展状况统计报告》，我国单位用户将生成式人工智能产品作为办公助手的用户</w:t>
      </w:r>
      <w:r>
        <w:rPr>
          <w:rFonts w:hint="eastAsia" w:ascii="楷体" w:hAnsi="楷体" w:eastAsia="楷体" w:cs="楷体"/>
          <w:b w:val="0"/>
          <w:bCs w:val="0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占比已经达到45.5%，Slack Workforce Lab 的调查也显示，2024年全球万名企业高管使用AI办公软件的比例半年内从23%增至60%以上。</w:t>
      </w:r>
    </w:p>
    <w:p>
      <w:pPr>
        <w:numPr>
          <w:ilvl w:val="0"/>
          <w:numId w:val="0"/>
        </w:numPr>
        <w:ind w:firstLine="560"/>
        <w:rPr>
          <w:rFonts w:hint="default" w:ascii="楷体" w:hAnsi="楷体" w:eastAsia="楷体" w:cs="楷体"/>
          <w:b/>
          <w:bCs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二、展望2025年，新型AI终端规模增长将带来移动流量增长机遇</w:t>
      </w:r>
    </w:p>
    <w:p>
      <w:pPr>
        <w:numPr>
          <w:ilvl w:val="0"/>
          <w:numId w:val="0"/>
        </w:numPr>
        <w:ind w:firstLine="560" w:firstLineChars="200"/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>2025年，在众多互联网平台企业、第三方AI应用产品接入DeekSeeK R1等领先大模型之后，AI技术应用将增强用户参与平台交互，AI生成的内容也能够满足用户的多样化需求，进一步增强用户粘性，带动移动用户访问量进一步显著激增。AI应用的快速发展也会带动多种新型AI硬件终端的规模增长。2025年新型AI硬件终端作为移动流量消费载体，将有望带动全年移动DOU有望突破20G，增长到22Gbps左右。</w:t>
      </w:r>
    </w:p>
    <w:p>
      <w:pPr>
        <w:numPr>
          <w:ilvl w:val="0"/>
          <w:numId w:val="0"/>
        </w:numPr>
        <w:ind w:firstLine="562" w:firstLineChars="200"/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1.高等级智驾等将新增5G流量超20亿GB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>。</w:t>
      </w:r>
    </w:p>
    <w:p>
      <w:pPr>
        <w:numPr>
          <w:ilvl w:val="0"/>
          <w:numId w:val="0"/>
        </w:numPr>
        <w:ind w:firstLine="562" w:firstLineChars="200"/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2025年，以新能源汽车为主要载体的智驾系统和智能大屏将带来20亿GB以上的新增移动流量。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>一方面，根据国盛证券等预测，2025年我国新能源汽车搭载L3及以上自动驾驶功能的渗透率将从17%继续大幅提升，根据Gartner、华为公司推算，该类汽车月均消耗10-12GB移动流量，用以支持感知与驾驶信息交互及OTA更新。另一方面，随着车载多模态应用、车联网应用等能力不断升级，2025年智能大屏日均开机时长和智能汽车APP的月活跃用户规模等指标也将继续提升，其对移动流量的需求将大幅增加</w:t>
      </w:r>
      <w:r>
        <w:rPr>
          <w:rStyle w:val="13"/>
          <w:rFonts w:hint="eastAsia" w:ascii="仿宋_GB2312" w:hAnsi="仿宋_GB2312" w:eastAsia="仿宋_GB2312" w:cs="仿宋_GB2312"/>
          <w:sz w:val="32"/>
          <w:szCs w:val="32"/>
        </w:rPr>
        <w:footnoteReference w:id="0"/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>。</w:t>
      </w:r>
    </w:p>
    <w:p>
      <w:pPr>
        <w:numPr>
          <w:ilvl w:val="0"/>
          <w:numId w:val="0"/>
        </w:numPr>
        <w:ind w:firstLine="562" w:firstLineChars="200"/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2.5G AI手机将带动5G新增流量超30亿GB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>。</w:t>
      </w:r>
    </w:p>
    <w:p>
      <w:pPr>
        <w:numPr>
          <w:ilvl w:val="0"/>
          <w:numId w:val="0"/>
        </w:numPr>
        <w:ind w:firstLine="562" w:firstLineChars="200"/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2025年以AIGC手机为主要载体的5G应用将带来30亿GB以上的新增移动流量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>。AI手机需支持高清视频处理、实时数据分析、大模型推理等场景，其流量需求远超普通手机。根据Canalys报告，截至2024年第三季度，我国5G手机渗透率提升到85.6%，其中AI手机出货量同比增长591%，渗透率从3%提升到22%。2025年，随着生成式AI手机芯片、端侧模型和应用的协同推进，有望进一步构建端侧生成式AI应用生态，高效生成多种风格个人</w:t>
      </w:r>
      <w: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  <w:t>图片、短视频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>、自创音乐</w:t>
      </w:r>
      <w: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  <w:t>等内容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>，推动个性化、无缝交互的沉浸式体验，带动移动流量增长。</w:t>
      </w:r>
      <w: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  <w:t>如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>豆包移动AI用户最近三个月月均使用时长186分钟，典型用户月均新增移动流量2.13GB。预计我国2025年全年端侧AI手机将带动5G新增流量在30亿GB以上</w:t>
      </w:r>
      <w:r>
        <w:rPr>
          <w:rStyle w:val="13"/>
          <w:rFonts w:hint="eastAsia" w:ascii="仿宋_GB2312" w:hAnsi="仿宋_GB2312" w:eastAsia="仿宋_GB2312" w:cs="仿宋_GB2312"/>
          <w:sz w:val="32"/>
          <w:szCs w:val="32"/>
        </w:rPr>
        <w:footnoteReference w:id="1"/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>。</w:t>
      </w:r>
    </w:p>
    <w:p>
      <w:pPr>
        <w:numPr>
          <w:ilvl w:val="0"/>
          <w:numId w:val="0"/>
        </w:numPr>
        <w:ind w:firstLine="562" w:firstLineChars="200"/>
        <w:rPr>
          <w:rFonts w:hint="default" w:ascii="楷体" w:hAnsi="楷体" w:eastAsia="楷体" w:cs="楷体"/>
          <w:b/>
          <w:bCs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3.AI眼镜等视听增强类终端也将成为5G新增流量重要来源</w:t>
      </w:r>
    </w:p>
    <w:p>
      <w:pPr>
        <w:numPr>
          <w:ilvl w:val="0"/>
          <w:numId w:val="0"/>
        </w:numPr>
        <w:ind w:firstLine="562" w:firstLineChars="200"/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2025年AI眼镜等视听增强类终端将规模出厂，带来上亿GB级别移动流量。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>2024年Rokid、百度、星纪魅族等发布的 Rokid Glasses、小度、StarV Air2 AR 等AI终端产品，</w:t>
      </w:r>
      <w: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  <w:t>在低功耗环境下提供实时翻译、路线导航等多模态应用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  <w:t>AI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>驱动的视听增强类</w:t>
      </w:r>
      <w: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  <w:t>设备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>应用前景得到市场认可。AI</w:t>
      </w:r>
      <w: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  <w:t>眼镜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>具备轻巧便携性、视听全面增强技术可行性，成为个人事务高效AI助手和便捷社交工具，是</w:t>
      </w:r>
      <w: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  <w:t>端侧AI最佳落地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>终端。预计2025年，AI眼镜通过</w:t>
      </w:r>
      <w: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  <w:t>集成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>更多的物联</w:t>
      </w:r>
      <w: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  <w:t>传感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>设备、端测模型及算法</w:t>
      </w:r>
      <w: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>可</w:t>
      </w:r>
      <w: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  <w:t>满足视、听、说、感等多维需求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>，如</w:t>
      </w:r>
      <w: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  <w:t xml:space="preserve">通过深度整合多模态大模型，基于真实世界进行 AI 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>物体识别和其他互动应用</w:t>
      </w:r>
      <w: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>国内</w:t>
      </w:r>
      <w: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  <w:t>出货量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>将</w:t>
      </w:r>
      <w: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  <w:t>超越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>百</w:t>
      </w:r>
      <w: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  <w:t>万级别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>，预计带来上亿GB级别的移动流量</w:t>
      </w:r>
      <w:r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  <w:t>。</w:t>
      </w:r>
    </w:p>
    <w:p>
      <w:pPr>
        <w:numPr>
          <w:ilvl w:val="0"/>
          <w:numId w:val="0"/>
        </w:numPr>
        <w:ind w:firstLine="560" w:firstLineChars="200"/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</w:pPr>
    </w:p>
    <w:p>
      <w:pPr>
        <w:numPr>
          <w:ilvl w:val="0"/>
          <w:numId w:val="2"/>
        </w:numPr>
        <w:ind w:firstLine="562" w:firstLineChars="200"/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</w:rPr>
        <w:t>对运营商的策略建议</w:t>
      </w:r>
    </w:p>
    <w:p>
      <w:pPr>
        <w:numPr>
          <w:ilvl w:val="0"/>
          <w:numId w:val="0"/>
        </w:numPr>
        <w:ind w:firstLine="562"/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一是加快出台新型移动AI终端产品生态合作管理办法。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>建议加快出台新型AI终端厂家生态合作管理办法，涵盖AI终端形态、应用特征、底层大模型架构、网络能力配合方案等内容，如借鉴微软通过“AI for Good”计划在应用侧和市场侧与全球多家医疗机构、制造业巨头、教育和科研单位、各类AI终端企业开展产品和应用生态合作，包括在医疗领域开发了基于AI具备精准医疗能力的影像诊断终端，在制造业与西门子等合作开放多种智能工厂辅助终端。</w:t>
      </w:r>
    </w:p>
    <w:p>
      <w:pPr>
        <w:ind w:firstLine="562"/>
        <w:rPr>
          <w:rFonts w:hint="eastAsia" w:ascii="楷体" w:hAnsi="楷体" w:eastAsia="楷体" w:cs="楷体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二是加快研究出台针对接入Deepseek等大模型的AI头部企业的后向经营策略。通过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>深入分析我国AI应用头部企业的产品特征，根据其主流AI大模型技术架构和模型参数规模、用户数据量、AI产品性能等特征，测算其对云端AI推理峰值算力水平，不仅向其提供智算算力服务，还向其主要客户群提供有针对性的移动流量资费包，同时向其密集客户区域提供移动流量智能预测和调度服务，避免出现AI应用等待时间过长使用体验。以目前国内AI用户群体最大的豆包应用为例，根据快科技测算，目前仅考虑文字和文生图推理的峰值算力需求就已经高达96.68Eflops，相当于当前天翼云息壤智算平台算力规模的4倍，用户平均单次推理生成平均耗时、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highlight w:val="none"/>
          <w:lang w:val="en-US" w:eastAsia="zh-CN"/>
        </w:rPr>
        <w:t>单次推理消耗的移动流量等指标有较大的提升空间。</w:t>
      </w:r>
    </w:p>
    <w:p>
      <w:pPr>
        <w:ind w:firstLine="562"/>
        <w:rPr>
          <w:rFonts w:hint="eastAsia" w:ascii="楷体" w:hAnsi="楷体" w:eastAsia="楷体" w:cs="楷体"/>
          <w:b w:val="0"/>
          <w:bCs w:val="0"/>
          <w:sz w:val="28"/>
          <w:szCs w:val="28"/>
          <w:highlight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4">
    <w:p>
      <w:r>
        <w:separator/>
      </w:r>
    </w:p>
  </w:footnote>
  <w:footnote w:type="continuationSeparator" w:id="5">
    <w:p>
      <w:r>
        <w:continuationSeparator/>
      </w:r>
    </w:p>
  </w:footnote>
  <w:footnote w:id="0">
    <w:p>
      <w:pPr>
        <w:pStyle w:val="6"/>
        <w:ind w:firstLine="0"/>
        <w:rPr>
          <w:rFonts w:hint="default" w:ascii="楷体" w:hAnsi="楷体" w:eastAsia="楷体" w:cs="楷体"/>
          <w:sz w:val="18"/>
          <w:szCs w:val="18"/>
          <w:lang w:val="en-US" w:eastAsia="zh-CN"/>
        </w:rPr>
      </w:pPr>
      <w:r>
        <w:rPr>
          <w:rFonts w:hint="eastAsia" w:ascii="楷体" w:hAnsi="楷体" w:eastAsia="楷体" w:cs="楷体"/>
          <w:sz w:val="18"/>
          <w:szCs w:val="18"/>
        </w:rPr>
        <w:footnoteRef/>
      </w:r>
      <w:r>
        <w:rPr>
          <w:rFonts w:hint="eastAsia" w:ascii="楷体" w:hAnsi="楷体" w:eastAsia="楷体" w:cs="楷体"/>
          <w:sz w:val="18"/>
          <w:szCs w:val="18"/>
          <w:lang w:val="en-US" w:eastAsia="zh-CN"/>
        </w:rPr>
        <w:t>：新增移动流量=智驾汽车保有量1500万台*预计每台月均平均消耗流量12GB*12个月，超过20亿GB。</w:t>
      </w:r>
    </w:p>
  </w:footnote>
  <w:footnote w:id="1">
    <w:p>
      <w:pPr>
        <w:pStyle w:val="6"/>
        <w:ind w:firstLine="0"/>
        <w:rPr>
          <w:rFonts w:hint="default" w:ascii="楷体" w:hAnsi="楷体" w:eastAsia="楷体" w:cs="楷体"/>
          <w:sz w:val="18"/>
          <w:szCs w:val="18"/>
          <w:lang w:val="en-US" w:eastAsia="zh-CN"/>
        </w:rPr>
      </w:pPr>
      <w:r>
        <w:rPr>
          <w:rFonts w:hint="eastAsia" w:ascii="楷体" w:hAnsi="楷体" w:eastAsia="楷体" w:cs="楷体"/>
          <w:sz w:val="18"/>
          <w:szCs w:val="18"/>
        </w:rPr>
        <w:footnoteRef/>
      </w:r>
      <w:r>
        <w:rPr>
          <w:rFonts w:hint="eastAsia" w:ascii="楷体" w:hAnsi="楷体" w:eastAsia="楷体" w:cs="楷体"/>
          <w:sz w:val="18"/>
          <w:szCs w:val="18"/>
          <w:lang w:val="en-US" w:eastAsia="zh-CN"/>
        </w:rPr>
        <w:t>：新增移动流量=2025年AI手机等终端使用量3亿台（</w:t>
      </w:r>
      <w:r>
        <w:rPr>
          <w:rFonts w:ascii="Helvetica" w:hAnsi="Helvetica" w:eastAsia="Helvetica" w:cs="Helvetica"/>
          <w:i w:val="0"/>
          <w:iCs w:val="0"/>
          <w:caps w:val="0"/>
          <w:color w:val="667085"/>
          <w:spacing w:val="0"/>
          <w:sz w:val="15"/>
          <w:szCs w:val="15"/>
          <w:shd w:val="clear" w:fill="EDEEF0"/>
        </w:rPr>
        <w:t>九方智投</w:t>
      </w:r>
      <w:r>
        <w:rPr>
          <w:rFonts w:hint="eastAsia" w:ascii="Helvetica" w:hAnsi="Helvetica" w:eastAsia="宋体" w:cs="Helvetica"/>
          <w:i w:val="0"/>
          <w:iCs w:val="0"/>
          <w:caps w:val="0"/>
          <w:color w:val="667085"/>
          <w:spacing w:val="0"/>
          <w:sz w:val="15"/>
          <w:szCs w:val="15"/>
          <w:shd w:val="clear" w:fill="EDEEF0"/>
          <w:lang w:val="en-US" w:eastAsia="zh-CN"/>
        </w:rPr>
        <w:t>预测</w:t>
      </w:r>
      <w:r>
        <w:rPr>
          <w:rFonts w:hint="eastAsia" w:ascii="楷体" w:hAnsi="楷体" w:eastAsia="楷体" w:cs="楷体"/>
          <w:sz w:val="18"/>
          <w:szCs w:val="18"/>
          <w:lang w:val="en-US" w:eastAsia="zh-CN"/>
        </w:rPr>
        <w:t>）*预计每台月均新增消耗流量1GB*12个月，超过30亿GB。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4B3E31"/>
    <w:multiLevelType w:val="singleLevel"/>
    <w:tmpl w:val="BE4B3E31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05A9AA6"/>
    <w:multiLevelType w:val="singleLevel"/>
    <w:tmpl w:val="705A9AA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4"/>
    <w:footnote w:id="5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9F0A54"/>
    <w:rsid w:val="02DD6AF1"/>
    <w:rsid w:val="03073573"/>
    <w:rsid w:val="03DC56D4"/>
    <w:rsid w:val="062D695C"/>
    <w:rsid w:val="0AE05158"/>
    <w:rsid w:val="0B5F79FB"/>
    <w:rsid w:val="0C562559"/>
    <w:rsid w:val="0CAD41C9"/>
    <w:rsid w:val="0DCF1206"/>
    <w:rsid w:val="0DDE4284"/>
    <w:rsid w:val="0E317E90"/>
    <w:rsid w:val="0EE213B1"/>
    <w:rsid w:val="0EF831BE"/>
    <w:rsid w:val="0FA94D8E"/>
    <w:rsid w:val="12184A50"/>
    <w:rsid w:val="13797156"/>
    <w:rsid w:val="1383267F"/>
    <w:rsid w:val="13B90A89"/>
    <w:rsid w:val="14BF042B"/>
    <w:rsid w:val="15FD5EC8"/>
    <w:rsid w:val="17292CA4"/>
    <w:rsid w:val="17A4417E"/>
    <w:rsid w:val="18C572C8"/>
    <w:rsid w:val="1A091C59"/>
    <w:rsid w:val="1AAD605B"/>
    <w:rsid w:val="1BA601A6"/>
    <w:rsid w:val="1BBC604E"/>
    <w:rsid w:val="1FCE3007"/>
    <w:rsid w:val="211215B7"/>
    <w:rsid w:val="218B62BD"/>
    <w:rsid w:val="22774997"/>
    <w:rsid w:val="22DC5716"/>
    <w:rsid w:val="23620D1A"/>
    <w:rsid w:val="23F60BD9"/>
    <w:rsid w:val="254251EC"/>
    <w:rsid w:val="25EA7B95"/>
    <w:rsid w:val="26403808"/>
    <w:rsid w:val="28677E91"/>
    <w:rsid w:val="28A06F44"/>
    <w:rsid w:val="2AD214DD"/>
    <w:rsid w:val="2C12565D"/>
    <w:rsid w:val="2D251C99"/>
    <w:rsid w:val="2E0803B4"/>
    <w:rsid w:val="2F800A3E"/>
    <w:rsid w:val="2FE60E90"/>
    <w:rsid w:val="3093589A"/>
    <w:rsid w:val="31AB492C"/>
    <w:rsid w:val="31DB6432"/>
    <w:rsid w:val="33744DF3"/>
    <w:rsid w:val="33CA2E03"/>
    <w:rsid w:val="34146DDD"/>
    <w:rsid w:val="34400898"/>
    <w:rsid w:val="375469D6"/>
    <w:rsid w:val="38272B59"/>
    <w:rsid w:val="3886001A"/>
    <w:rsid w:val="39685344"/>
    <w:rsid w:val="3A435A89"/>
    <w:rsid w:val="3AB410CA"/>
    <w:rsid w:val="40870DAD"/>
    <w:rsid w:val="40D2424F"/>
    <w:rsid w:val="427F6BDF"/>
    <w:rsid w:val="44BC1EA7"/>
    <w:rsid w:val="451C6D81"/>
    <w:rsid w:val="465C5B20"/>
    <w:rsid w:val="488D186D"/>
    <w:rsid w:val="4B452C53"/>
    <w:rsid w:val="4B9351CE"/>
    <w:rsid w:val="4BCE1BC3"/>
    <w:rsid w:val="4BCF4184"/>
    <w:rsid w:val="4C570F20"/>
    <w:rsid w:val="4C60425D"/>
    <w:rsid w:val="4CA6037B"/>
    <w:rsid w:val="51095A5E"/>
    <w:rsid w:val="513F452F"/>
    <w:rsid w:val="52180E89"/>
    <w:rsid w:val="527A2344"/>
    <w:rsid w:val="52C82517"/>
    <w:rsid w:val="541A28B9"/>
    <w:rsid w:val="548B1BDF"/>
    <w:rsid w:val="5515224D"/>
    <w:rsid w:val="56BC017A"/>
    <w:rsid w:val="570C668C"/>
    <w:rsid w:val="57214480"/>
    <w:rsid w:val="57416F33"/>
    <w:rsid w:val="57AC5687"/>
    <w:rsid w:val="57BB70D0"/>
    <w:rsid w:val="58A16C5D"/>
    <w:rsid w:val="5AE56432"/>
    <w:rsid w:val="5B2F74EA"/>
    <w:rsid w:val="5BE630DC"/>
    <w:rsid w:val="5C3173CC"/>
    <w:rsid w:val="5C8C45DB"/>
    <w:rsid w:val="5CE921CA"/>
    <w:rsid w:val="5E2750A8"/>
    <w:rsid w:val="60C36B9E"/>
    <w:rsid w:val="61204548"/>
    <w:rsid w:val="62BF7BF4"/>
    <w:rsid w:val="67061813"/>
    <w:rsid w:val="68F67CBE"/>
    <w:rsid w:val="69402275"/>
    <w:rsid w:val="6B0A2F94"/>
    <w:rsid w:val="6D936F1C"/>
    <w:rsid w:val="6E9F0A54"/>
    <w:rsid w:val="712958DC"/>
    <w:rsid w:val="72823DCC"/>
    <w:rsid w:val="72D97864"/>
    <w:rsid w:val="73113D7E"/>
    <w:rsid w:val="74FE41D6"/>
    <w:rsid w:val="75A85435"/>
    <w:rsid w:val="75DB5DD4"/>
    <w:rsid w:val="77143F1A"/>
    <w:rsid w:val="799E78F7"/>
    <w:rsid w:val="7A3A67F3"/>
    <w:rsid w:val="7C233CC9"/>
    <w:rsid w:val="7DD9393F"/>
    <w:rsid w:val="7E045365"/>
    <w:rsid w:val="7E9324A3"/>
    <w:rsid w:val="7EEE5DF0"/>
    <w:rsid w:val="7F166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yperlink"/>
    <w:basedOn w:val="9"/>
    <w:qFormat/>
    <w:uiPriority w:val="0"/>
    <w:rPr>
      <w:color w:val="0000FF"/>
      <w:u w:val="single"/>
    </w:rPr>
  </w:style>
  <w:style w:type="character" w:styleId="13">
    <w:name w:val="footnote reference"/>
    <w:basedOn w:val="9"/>
    <w:semiHidden/>
    <w:unhideWhenUsed/>
    <w:qFormat/>
    <w:uiPriority w:val="99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中国电信股份有限公司研究院</Company>
  <Pages>6</Pages>
  <Words>2981</Words>
  <Characters>3436</Characters>
  <Lines>0</Lines>
  <Paragraphs>0</Paragraphs>
  <TotalTime>0</TotalTime>
  <ScaleCrop>false</ScaleCrop>
  <LinksUpToDate>false</LinksUpToDate>
  <CharactersWithSpaces>3451</CharactersWithSpaces>
  <Application>WPS Office_12.8.2.15091_F1E327BC-269C-435d-A152-05C5408002CA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2025-01-02T08:24:00Z</dcterms:created>
  <dc:creator>张小东</dc:creator>
  <cp:lastModifiedBy>张小东</cp:lastModifiedBy>
  <dcterms:modified xsi:type="dcterms:W3CDTF">2025-02-17T10:17:01Z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4AC82FF7453C47038E0146F038C05510_13</vt:lpwstr>
  </property>
  <property fmtid="{D5CDD505-2E9C-101B-9397-08002B2CF9AE}" pid="4" name="KSOTemplateDocerSaveRecord">
    <vt:lpwstr>eyJoZGlkIjoiZmQ2ZTI3M2U5ZjczNWQ3MGMyYmI0YTRhNTNjMDI5MWUiLCJ1c2VySWQiOiI1MzE5MjcxNjAifQ==</vt:lpwstr>
  </property>
</Properties>
</file>