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9866" w14:textId="6A78E8DC" w:rsidR="000306D6" w:rsidRPr="00096A86" w:rsidRDefault="000306D6" w:rsidP="00AC3C2D">
      <w:pPr>
        <w:jc w:val="center"/>
        <w:rPr>
          <w:rFonts w:hint="eastAsia"/>
        </w:rPr>
      </w:pPr>
      <w:r w:rsidRPr="00096A86">
        <w:t>GTC 2025 技术风向洞察</w:t>
      </w:r>
      <w:r w:rsidR="00FA0762">
        <w:rPr>
          <w:rFonts w:hint="eastAsia"/>
        </w:rPr>
        <w:t>与</w:t>
      </w:r>
      <w:r w:rsidRPr="00096A86">
        <w:t>运营商的战略新锚点</w:t>
      </w:r>
    </w:p>
    <w:p w14:paraId="25027E43" w14:textId="047CBF7E" w:rsidR="000306D6" w:rsidRPr="00096A86" w:rsidRDefault="000306D6" w:rsidP="00096A86">
      <w:pPr>
        <w:rPr>
          <w:rFonts w:hint="eastAsia"/>
        </w:rPr>
      </w:pPr>
      <w:r w:rsidRPr="00096A86">
        <w:t>2025年3月，全球人工智能领域的风向标——GTC大会再次于硅谷召开。英伟达创始人黄仁勋以“Agentic AI”为核心的演讲，以及大会发布的新一代Blackwell Ultra系列芯片、量子计算合作计划等创新成果，预示着AI正加速迈向自主决策与复杂推理的新阶段。对于中国电信运营商而言，GTC 2025不仅是洞察全球技术趋势的前沿窗口，更是审视自身发展战略、把握行业重塑机遇的关键时刻。我们将深度解读GTC 2025的技术风向，并结合国内运营商的实际发展，探讨其对运营商的战略意义与实践路径。</w:t>
      </w:r>
    </w:p>
    <w:p w14:paraId="6BB297E5" w14:textId="15F005A3" w:rsidR="000306D6" w:rsidRPr="00FD00C9" w:rsidRDefault="000306D6" w:rsidP="00FD00C9">
      <w:pPr>
        <w:pStyle w:val="1"/>
        <w:numPr>
          <w:ilvl w:val="0"/>
          <w:numId w:val="13"/>
        </w:numPr>
        <w:rPr>
          <w:rFonts w:ascii="宋体" w:eastAsia="宋体" w:hAnsi="宋体" w:hint="eastAsia"/>
          <w:b/>
          <w:bCs/>
          <w:color w:val="auto"/>
          <w:sz w:val="28"/>
          <w:szCs w:val="28"/>
        </w:rPr>
      </w:pPr>
      <w:r w:rsidRPr="00FD00C9">
        <w:rPr>
          <w:rFonts w:ascii="宋体" w:eastAsia="宋体" w:hAnsi="宋体"/>
          <w:b/>
          <w:bCs/>
          <w:color w:val="auto"/>
          <w:sz w:val="28"/>
          <w:szCs w:val="28"/>
        </w:rPr>
        <w:t>AI芯片：算力跃升赋能运营商智能化升级</w:t>
      </w:r>
    </w:p>
    <w:p w14:paraId="3D7A17F0" w14:textId="10F4774E" w:rsidR="000306D6" w:rsidRPr="00096A86" w:rsidRDefault="000306D6" w:rsidP="00096A86">
      <w:pPr>
        <w:rPr>
          <w:rFonts w:hint="eastAsia"/>
        </w:rPr>
      </w:pPr>
      <w:r w:rsidRPr="00096A86">
        <w:t>英伟达B300系列芯片的发布，标志着AI算力进入新的纪元。其单芯片运算效能较上一代提升50%，通过HBM3e显存技术将容量提升至288GB，并采用四倍独立液冷板设计解决高密度计算场景下的散热难题。这一算力飞跃为国内运营商的</w:t>
      </w:r>
      <w:r w:rsidR="00284C33">
        <w:rPr>
          <w:rFonts w:hint="eastAsia"/>
        </w:rPr>
        <w:t>算力基础设施</w:t>
      </w:r>
      <w:r w:rsidRPr="00096A86">
        <w:t>升级提供了</w:t>
      </w:r>
      <w:r w:rsidR="00284C33">
        <w:rPr>
          <w:rFonts w:hint="eastAsia"/>
        </w:rPr>
        <w:t>更大的想象空间</w:t>
      </w:r>
      <w:r w:rsidRPr="00096A86">
        <w:t>。</w:t>
      </w:r>
    </w:p>
    <w:p w14:paraId="27A94E00" w14:textId="6678411D" w:rsidR="000306D6" w:rsidRPr="00096A86" w:rsidRDefault="000306D6" w:rsidP="00096A86">
      <w:pPr>
        <w:rPr>
          <w:rFonts w:hint="eastAsia"/>
        </w:rPr>
      </w:pPr>
      <w:r w:rsidRPr="00096A86">
        <w:t>近年来，国内三大运营商均在算力基础设施建设方面投入巨资。中国移动在“十四五”期间规划投入数千亿元用于新型基础设施建设，其中算力网络是核心组成部分。</w:t>
      </w:r>
      <w:r w:rsidR="00AC3C2D" w:rsidRPr="00AC3C2D">
        <w:t>计划今年在算力领域投资373亿元 对推理资源的投资不设上限</w:t>
      </w:r>
      <w:r w:rsidR="00AC3C2D" w:rsidRPr="00AC3C2D">
        <w:rPr>
          <w:rFonts w:hint="eastAsia"/>
        </w:rPr>
        <w:t>。</w:t>
      </w:r>
      <w:r w:rsidRPr="00096A86">
        <w:t>中国电信亦将“云网融合”作为核心战略，其天翼云持续加大在AI算力方面的投入。例如，为满足行业客户对高性能算力的需求，天翼云推出了GPU云服务器，并与</w:t>
      </w:r>
      <w:r w:rsidR="00AC3C2D">
        <w:rPr>
          <w:rFonts w:hint="eastAsia"/>
        </w:rPr>
        <w:t>华为、</w:t>
      </w:r>
      <w:r w:rsidRPr="00096A86">
        <w:t>英伟达等厂商合作，优化AI计算平台。在智慧城市领域，中国电信利用其AI算力平台，为城市管理、交通优化等场景提供强大的数据分析和决策支持能力。中国联通则聚焦“5G+边缘计算”，在全国部署了大量的边缘计算节点，旨在为工业互联网、智能制造等场景提供低时延、高可靠的AI服务。</w:t>
      </w:r>
    </w:p>
    <w:p w14:paraId="252224D4" w14:textId="77777777" w:rsidR="000306D6" w:rsidRPr="00096A86" w:rsidRDefault="000306D6" w:rsidP="00096A86">
      <w:pPr>
        <w:rPr>
          <w:rFonts w:hint="eastAsia"/>
        </w:rPr>
      </w:pPr>
      <w:r w:rsidRPr="00096A86">
        <w:rPr>
          <w:b/>
          <w:bCs/>
        </w:rPr>
        <w:t>前瞻与思考：</w:t>
      </w:r>
      <w:r w:rsidRPr="00096A86">
        <w:t xml:space="preserve"> B300等新一代AI芯片的出现，将进一步加速运营商在AI模型训练、智能网络优化、边缘AI部署等领域的应用落地。然而，高算力也意味着更高的能耗和散热需求，运营商需积极采用液冷等绿色节能技术，降低运营成本。正如GTC 2025所展示的液冷技术规模化应用趋势，国内运营商也应加快</w:t>
      </w:r>
      <w:r w:rsidRPr="00096A86">
        <w:lastRenderedPageBreak/>
        <w:t>数据中心液冷改造的步伐。</w:t>
      </w:r>
    </w:p>
    <w:p w14:paraId="29EB8FCA" w14:textId="2DCAB614" w:rsidR="000306D6" w:rsidRPr="00FD00C9" w:rsidRDefault="000306D6" w:rsidP="00FD00C9">
      <w:pPr>
        <w:pStyle w:val="1"/>
        <w:numPr>
          <w:ilvl w:val="0"/>
          <w:numId w:val="13"/>
        </w:numPr>
        <w:rPr>
          <w:rFonts w:ascii="宋体" w:eastAsia="宋体" w:hAnsi="宋体" w:hint="eastAsia"/>
          <w:b/>
          <w:bCs/>
          <w:color w:val="auto"/>
          <w:sz w:val="28"/>
          <w:szCs w:val="28"/>
        </w:rPr>
      </w:pPr>
      <w:r w:rsidRPr="00FD00C9">
        <w:rPr>
          <w:rFonts w:ascii="宋体" w:eastAsia="宋体" w:hAnsi="宋体"/>
          <w:b/>
          <w:bCs/>
          <w:color w:val="auto"/>
          <w:sz w:val="28"/>
          <w:szCs w:val="28"/>
        </w:rPr>
        <w:t>Physical AI：虚实融合驱动行业应用创新</w:t>
      </w:r>
    </w:p>
    <w:p w14:paraId="4CF809C1" w14:textId="77777777" w:rsidR="000306D6" w:rsidRPr="00096A86" w:rsidRDefault="000306D6" w:rsidP="00096A86">
      <w:pPr>
        <w:rPr>
          <w:rFonts w:hint="eastAsia"/>
        </w:rPr>
      </w:pPr>
      <w:r w:rsidRPr="00096A86">
        <w:t>英伟达推出的Physical AI开源生态，旨在解决自主系统对物理世界的感知与交互难题。其核心成果包括Isaac GR00T N1双系统模型和开源物理引擎Newton，为运营商拓展行业应用提供了新的技术路径。</w:t>
      </w:r>
    </w:p>
    <w:p w14:paraId="618DB7CD" w14:textId="7A38AEAC" w:rsidR="000306D6" w:rsidRPr="00096A86" w:rsidRDefault="00E03FFE" w:rsidP="00096A86">
      <w:pPr>
        <w:rPr>
          <w:rFonts w:hint="eastAsia"/>
        </w:rPr>
      </w:pPr>
      <w:r>
        <w:rPr>
          <w:rFonts w:hint="eastAsia"/>
        </w:rPr>
        <w:t>国内三大运营商</w:t>
      </w:r>
      <w:r w:rsidR="000306D6" w:rsidRPr="00096A86">
        <w:t>都在积极利用5G和AI技术赋能各行各业的数字化转型。例如，</w:t>
      </w:r>
      <w:r w:rsidR="00BB45CC" w:rsidRPr="00096A86">
        <w:t>中国电信在智慧医疗领域，与多家医院合作开展远程医疗、AI辅助诊断等应用。通过AI影像分析技术，辅助医生进行CT、MRI等医学影像的诊断，提高了诊断效率和准确率。Physical AI技术在手术模拟和机器人辅助手术等方面的潜力，将为中国电信在高端医疗领域带来新的发展机遇。</w:t>
      </w:r>
      <w:r w:rsidR="000306D6" w:rsidRPr="00096A86">
        <w:t>中国移动在智慧矿山领域，通过部署5G专网和AI算法，实现了对矿山设备的远程监控和智能诊断，有效提升了生产效率和安全性。Physical AI技术的应用，将有助于进一步提升矿山机器人的智能化水平，实现更复杂的自主作业。中国联通在智能交通领域，与多家车企和交通管理部门合作，开展车路协同、自动驾驶等应用。在某些示范区，利用5G网络和边缘计算能力，实现了车辆与道路基础设施之间的实时信息交互，提升了交通安全和通行效率。Physical AI技术的进步，将加速L4级自动驾驶的商业化进程，为运营商带来新的连接和数据服务需求。</w:t>
      </w:r>
    </w:p>
    <w:p w14:paraId="14D10D9D" w14:textId="171CE0A1" w:rsidR="000306D6" w:rsidRPr="00096A86" w:rsidRDefault="000306D6" w:rsidP="00096A86">
      <w:pPr>
        <w:rPr>
          <w:rFonts w:hint="eastAsia"/>
        </w:rPr>
      </w:pPr>
      <w:r w:rsidRPr="00096A86">
        <w:rPr>
          <w:b/>
          <w:bCs/>
        </w:rPr>
        <w:t>前瞻与思考：</w:t>
      </w:r>
      <w:r w:rsidRPr="00096A86">
        <w:t xml:space="preserve"> 运营商应积极拥抱Physical AI生态，加强与各行业伙伴的合作，共同开发面向不同场景的解决方案。例如，可以借鉴亚马逊仓储机器人基于Isaac GR00T N1模型提升效率的案例，探索</w:t>
      </w:r>
      <w:r w:rsidR="00261BC6" w:rsidRPr="00096A86">
        <w:t>Physical AI</w:t>
      </w:r>
      <w:r w:rsidRPr="00096A86">
        <w:t>在智能物流领域的应用。同时，也需要关注数据安全和隐私保护等问题，确保行业应用的健康发展。</w:t>
      </w:r>
    </w:p>
    <w:p w14:paraId="33040738" w14:textId="57BD3174" w:rsidR="000306D6" w:rsidRPr="00FD00C9" w:rsidRDefault="000306D6" w:rsidP="00FD00C9">
      <w:pPr>
        <w:pStyle w:val="1"/>
        <w:numPr>
          <w:ilvl w:val="0"/>
          <w:numId w:val="13"/>
        </w:numPr>
        <w:rPr>
          <w:rFonts w:ascii="宋体" w:eastAsia="宋体" w:hAnsi="宋体" w:hint="eastAsia"/>
          <w:b/>
          <w:bCs/>
          <w:color w:val="auto"/>
          <w:sz w:val="28"/>
          <w:szCs w:val="28"/>
        </w:rPr>
      </w:pPr>
      <w:r w:rsidRPr="00FD00C9">
        <w:rPr>
          <w:rFonts w:ascii="宋体" w:eastAsia="宋体" w:hAnsi="宋体"/>
          <w:b/>
          <w:bCs/>
          <w:color w:val="auto"/>
          <w:sz w:val="28"/>
          <w:szCs w:val="28"/>
        </w:rPr>
        <w:t>量子计算：探索未来网络安全与算力新范式</w:t>
      </w:r>
    </w:p>
    <w:p w14:paraId="3C95B840" w14:textId="77777777" w:rsidR="000306D6" w:rsidRPr="00096A86" w:rsidRDefault="000306D6" w:rsidP="00096A86">
      <w:pPr>
        <w:rPr>
          <w:rFonts w:hint="eastAsia"/>
        </w:rPr>
      </w:pPr>
      <w:r w:rsidRPr="00096A86">
        <w:t>GTC 2025首次设立“量子日”，并联合</w:t>
      </w:r>
      <w:proofErr w:type="spellStart"/>
      <w:r w:rsidRPr="00096A86">
        <w:t>IonQ</w:t>
      </w:r>
      <w:proofErr w:type="spellEnd"/>
      <w:r w:rsidRPr="00096A86">
        <w:t>、D-Wave等企业共同探索量子计算与AI融合的可行性。这标志着量子计算正加速从实验室走向应用，尽管仍面临技术挑战。</w:t>
      </w:r>
    </w:p>
    <w:p w14:paraId="27DEBA7D" w14:textId="54206394" w:rsidR="000306D6" w:rsidRPr="00096A86" w:rsidRDefault="000306D6" w:rsidP="00096A86">
      <w:pPr>
        <w:rPr>
          <w:rFonts w:hint="eastAsia"/>
        </w:rPr>
      </w:pPr>
      <w:r w:rsidRPr="00096A86">
        <w:t>中国电信在量子保密通信领域已取得显著进展，建成了覆盖多个城市的量子保密通信网络，并积极探索其在金融、政务等高安全领域的应用。例如，中国电信与银行合作，利用量子密钥分发技术提升金融数据的安全性。中国移动</w:t>
      </w:r>
      <w:r w:rsidR="00261BC6">
        <w:rPr>
          <w:rFonts w:hint="eastAsia"/>
        </w:rPr>
        <w:t>也在</w:t>
      </w:r>
      <w:r w:rsidRPr="00096A86">
        <w:t>积极开展量子计算领域的研究，关注量子算法在优化网络路由、提升AI模型训练效率等方面的潜力。</w:t>
      </w:r>
    </w:p>
    <w:p w14:paraId="26A513B2" w14:textId="715649AD" w:rsidR="000306D6" w:rsidRPr="00096A86" w:rsidRDefault="000306D6" w:rsidP="00096A86">
      <w:pPr>
        <w:rPr>
          <w:rFonts w:hint="eastAsia"/>
        </w:rPr>
      </w:pPr>
      <w:r w:rsidRPr="00096A86">
        <w:rPr>
          <w:b/>
          <w:bCs/>
        </w:rPr>
        <w:t>前瞻与思考：</w:t>
      </w:r>
      <w:r w:rsidRPr="00096A86">
        <w:t xml:space="preserve"> 尽管量子计算的实用化仍需时日，但其在特定领域的潜力已开始显现。</w:t>
      </w:r>
      <w:r w:rsidR="00E03FFE" w:rsidRPr="00096A86">
        <w:t>例如，</w:t>
      </w:r>
      <w:r w:rsidR="00E03FFE" w:rsidRPr="00E03FFE">
        <w:rPr>
          <w:rFonts w:hint="eastAsia"/>
        </w:rPr>
        <w:t>D-Wave退火量子计算机短时间完成磁性材料模拟首次证明量子计算在实用问题上的优越性</w:t>
      </w:r>
      <w:r w:rsidRPr="00096A86">
        <w:t>。对于运营商而言，量子加密技术将是未来保障网络安全的关键</w:t>
      </w:r>
      <w:r w:rsidR="00261BC6">
        <w:rPr>
          <w:rFonts w:hint="eastAsia"/>
        </w:rPr>
        <w:t>，</w:t>
      </w:r>
      <w:r w:rsidRPr="00096A86">
        <w:t>运营商应持续关注量子计算领域的技术突破，并积极探索其在通信领域的应用。</w:t>
      </w:r>
    </w:p>
    <w:p w14:paraId="7E1FA71A" w14:textId="626DB456" w:rsidR="000306D6" w:rsidRPr="00FD00C9" w:rsidRDefault="000306D6" w:rsidP="00FD00C9">
      <w:pPr>
        <w:pStyle w:val="1"/>
        <w:numPr>
          <w:ilvl w:val="0"/>
          <w:numId w:val="13"/>
        </w:numPr>
        <w:rPr>
          <w:rFonts w:ascii="宋体" w:eastAsia="宋体" w:hAnsi="宋体" w:hint="eastAsia"/>
          <w:b/>
          <w:bCs/>
          <w:color w:val="auto"/>
          <w:sz w:val="28"/>
          <w:szCs w:val="28"/>
        </w:rPr>
      </w:pPr>
      <w:r w:rsidRPr="00FD00C9">
        <w:rPr>
          <w:rFonts w:ascii="宋体" w:eastAsia="宋体" w:hAnsi="宋体"/>
          <w:b/>
          <w:bCs/>
          <w:color w:val="auto"/>
          <w:sz w:val="28"/>
          <w:szCs w:val="28"/>
        </w:rPr>
        <w:t>战略建议：以技术为锚点，场景为驱动，深化融合创新</w:t>
      </w:r>
    </w:p>
    <w:p w14:paraId="1F5A80EA" w14:textId="34942BBD" w:rsidR="000306D6" w:rsidRPr="00096A86" w:rsidRDefault="00FE4A15" w:rsidP="00096A86">
      <w:pPr>
        <w:rPr>
          <w:rFonts w:hint="eastAsia"/>
        </w:rPr>
      </w:pPr>
      <w:r w:rsidRPr="00096A86">
        <w:t>GTC 2025的技术风向为中国电信运营商的未来发展描绘了清晰的蓝图。面对AI驱动的数字经济时代，运营商唯有以技术创新为核心驱动力，以行业应用为重要抓手，深化融合创新，才能在激烈的市场竞争中占据领先地位，实现可持续发展，为数字中国的建设贡献更大的力量。</w:t>
      </w:r>
    </w:p>
    <w:p w14:paraId="6E105D35" w14:textId="2B5E4D9D" w:rsidR="000306D6" w:rsidRPr="00096A86" w:rsidRDefault="000306D6" w:rsidP="00096A86">
      <w:pPr>
        <w:pStyle w:val="a9"/>
        <w:numPr>
          <w:ilvl w:val="0"/>
          <w:numId w:val="12"/>
        </w:numPr>
        <w:rPr>
          <w:rFonts w:hint="eastAsia"/>
        </w:rPr>
      </w:pPr>
      <w:r w:rsidRPr="00096A86">
        <w:rPr>
          <w:b/>
          <w:bCs/>
        </w:rPr>
        <w:t>优先布局液冷数据中心和边缘AI节点：</w:t>
      </w:r>
      <w:r w:rsidRPr="00096A86">
        <w:t xml:space="preserve"> 借鉴GTC 2025展示的液冷技术趋势，运营商应加快现有数据中心的液冷改造，并积极部署边缘AI节点，以满足未来高算力和低时延的应用需求。</w:t>
      </w:r>
    </w:p>
    <w:p w14:paraId="04D4B00C" w14:textId="5BD44DBC" w:rsidR="000306D6" w:rsidRPr="00096A86" w:rsidRDefault="000306D6" w:rsidP="00096A86">
      <w:pPr>
        <w:pStyle w:val="a9"/>
        <w:numPr>
          <w:ilvl w:val="0"/>
          <w:numId w:val="12"/>
        </w:numPr>
        <w:rPr>
          <w:rFonts w:hint="eastAsia"/>
        </w:rPr>
      </w:pPr>
      <w:r w:rsidRPr="00096A86">
        <w:rPr>
          <w:b/>
          <w:bCs/>
        </w:rPr>
        <w:t>深化与垂直行业的合作，打造标杆应用：</w:t>
      </w:r>
      <w:r w:rsidRPr="00096A86">
        <w:t xml:space="preserve"> 运营商应选择重点行业，例如工业、医疗、交通等，与行业龙头企业深度合作，打造可复制、可推广的标杆应用案例。</w:t>
      </w:r>
    </w:p>
    <w:p w14:paraId="6E725E26" w14:textId="4C63E0C7" w:rsidR="000306D6" w:rsidRPr="00096A86" w:rsidRDefault="000306D6" w:rsidP="00096A86">
      <w:pPr>
        <w:pStyle w:val="a9"/>
        <w:numPr>
          <w:ilvl w:val="0"/>
          <w:numId w:val="12"/>
        </w:numPr>
        <w:rPr>
          <w:rFonts w:hint="eastAsia"/>
        </w:rPr>
      </w:pPr>
      <w:r w:rsidRPr="00096A86">
        <w:rPr>
          <w:b/>
          <w:bCs/>
        </w:rPr>
        <w:t>积极探索量子加密与6G网络的协同：</w:t>
      </w:r>
      <w:r w:rsidRPr="00096A86">
        <w:t xml:space="preserve"> 随着6G时代的临近，网络安全的重要性将更加凸显。运营商应积极探索量子密钥分发等量子加密技术在6G网络中的应用，提升网络的安全性。</w:t>
      </w:r>
    </w:p>
    <w:p w14:paraId="30E5D2DA" w14:textId="62AE23AB" w:rsidR="000306D6" w:rsidRPr="00096A86" w:rsidRDefault="000306D6" w:rsidP="001566C2">
      <w:pPr>
        <w:pStyle w:val="a9"/>
        <w:numPr>
          <w:ilvl w:val="0"/>
          <w:numId w:val="12"/>
        </w:numPr>
        <w:rPr>
          <w:rFonts w:hint="eastAsia"/>
        </w:rPr>
      </w:pPr>
      <w:r w:rsidRPr="00E03FFE">
        <w:rPr>
          <w:b/>
          <w:bCs/>
        </w:rPr>
        <w:t>构建开放合作的产业生态：</w:t>
      </w:r>
      <w:r w:rsidRPr="00096A86">
        <w:t xml:space="preserve"> 运营商应积极参与开源社区建设，与设备商、芯片厂商、软件开发商等产业链各方加强合作，共同构建繁荣的数字生态，降低行业应用门槛。</w:t>
      </w:r>
    </w:p>
    <w:sectPr w:rsidR="000306D6" w:rsidRPr="00096A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2E26"/>
    <w:multiLevelType w:val="multilevel"/>
    <w:tmpl w:val="238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520C"/>
    <w:multiLevelType w:val="multilevel"/>
    <w:tmpl w:val="9A9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3019B"/>
    <w:multiLevelType w:val="multilevel"/>
    <w:tmpl w:val="ABC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15E8"/>
    <w:multiLevelType w:val="multilevel"/>
    <w:tmpl w:val="1CE0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104AD"/>
    <w:multiLevelType w:val="multilevel"/>
    <w:tmpl w:val="070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C6C76"/>
    <w:multiLevelType w:val="multilevel"/>
    <w:tmpl w:val="51F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E7BCE"/>
    <w:multiLevelType w:val="hybridMultilevel"/>
    <w:tmpl w:val="9E8E1C32"/>
    <w:lvl w:ilvl="0" w:tplc="04090013">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ADB3538"/>
    <w:multiLevelType w:val="multilevel"/>
    <w:tmpl w:val="A88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70FB3"/>
    <w:multiLevelType w:val="multilevel"/>
    <w:tmpl w:val="F41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F21F3"/>
    <w:multiLevelType w:val="multilevel"/>
    <w:tmpl w:val="521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C21CF"/>
    <w:multiLevelType w:val="multilevel"/>
    <w:tmpl w:val="518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C3974"/>
    <w:multiLevelType w:val="multilevel"/>
    <w:tmpl w:val="90F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7021B"/>
    <w:multiLevelType w:val="multilevel"/>
    <w:tmpl w:val="F28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798456">
    <w:abstractNumId w:val="7"/>
  </w:num>
  <w:num w:numId="2" w16cid:durableId="1556090023">
    <w:abstractNumId w:val="1"/>
  </w:num>
  <w:num w:numId="3" w16cid:durableId="2107456547">
    <w:abstractNumId w:val="2"/>
  </w:num>
  <w:num w:numId="4" w16cid:durableId="67658492">
    <w:abstractNumId w:val="8"/>
  </w:num>
  <w:num w:numId="5" w16cid:durableId="214239168">
    <w:abstractNumId w:val="4"/>
  </w:num>
  <w:num w:numId="6" w16cid:durableId="1359312452">
    <w:abstractNumId w:val="0"/>
  </w:num>
  <w:num w:numId="7" w16cid:durableId="1750735420">
    <w:abstractNumId w:val="11"/>
  </w:num>
  <w:num w:numId="8" w16cid:durableId="236282942">
    <w:abstractNumId w:val="5"/>
  </w:num>
  <w:num w:numId="9" w16cid:durableId="1668098155">
    <w:abstractNumId w:val="12"/>
  </w:num>
  <w:num w:numId="10" w16cid:durableId="1076824189">
    <w:abstractNumId w:val="9"/>
  </w:num>
  <w:num w:numId="11" w16cid:durableId="1413695643">
    <w:abstractNumId w:val="10"/>
  </w:num>
  <w:num w:numId="12" w16cid:durableId="1044259268">
    <w:abstractNumId w:val="3"/>
  </w:num>
  <w:num w:numId="13" w16cid:durableId="685205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7A"/>
    <w:rsid w:val="000306D6"/>
    <w:rsid w:val="00096A86"/>
    <w:rsid w:val="000C576D"/>
    <w:rsid w:val="00261BC6"/>
    <w:rsid w:val="00284C33"/>
    <w:rsid w:val="003A60AE"/>
    <w:rsid w:val="003E7FBE"/>
    <w:rsid w:val="0055050D"/>
    <w:rsid w:val="00590227"/>
    <w:rsid w:val="006221B5"/>
    <w:rsid w:val="00667D7A"/>
    <w:rsid w:val="00684A08"/>
    <w:rsid w:val="00AA137A"/>
    <w:rsid w:val="00AC3C2D"/>
    <w:rsid w:val="00AE7C0D"/>
    <w:rsid w:val="00B8712C"/>
    <w:rsid w:val="00BB45CC"/>
    <w:rsid w:val="00BC2346"/>
    <w:rsid w:val="00DB2F6C"/>
    <w:rsid w:val="00DC5686"/>
    <w:rsid w:val="00E03FFE"/>
    <w:rsid w:val="00E456EE"/>
    <w:rsid w:val="00EC6100"/>
    <w:rsid w:val="00F25EDB"/>
    <w:rsid w:val="00F86902"/>
    <w:rsid w:val="00FA0762"/>
    <w:rsid w:val="00FD00C9"/>
    <w:rsid w:val="00FE4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3E9A"/>
  <w15:chartTrackingRefBased/>
  <w15:docId w15:val="{931E805D-BC09-4F6B-8998-7DD8A14E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A86"/>
    <w:pPr>
      <w:widowControl w:val="0"/>
      <w:spacing w:line="360" w:lineRule="auto"/>
      <w:ind w:firstLine="420"/>
    </w:pPr>
    <w:rPr>
      <w:rFonts w:ascii="宋体" w:eastAsia="宋体" w:hAnsi="宋体"/>
      <w:sz w:val="24"/>
    </w:rPr>
  </w:style>
  <w:style w:type="paragraph" w:styleId="1">
    <w:name w:val="heading 1"/>
    <w:basedOn w:val="a"/>
    <w:next w:val="a"/>
    <w:link w:val="10"/>
    <w:uiPriority w:val="9"/>
    <w:qFormat/>
    <w:rsid w:val="00AA13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A13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A13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A13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A137A"/>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A13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A13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13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13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13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A13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A13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A137A"/>
    <w:rPr>
      <w:rFonts w:cstheme="majorBidi"/>
      <w:color w:val="2F5496" w:themeColor="accent1" w:themeShade="BF"/>
      <w:sz w:val="28"/>
      <w:szCs w:val="28"/>
    </w:rPr>
  </w:style>
  <w:style w:type="character" w:customStyle="1" w:styleId="50">
    <w:name w:val="标题 5 字符"/>
    <w:basedOn w:val="a0"/>
    <w:link w:val="5"/>
    <w:uiPriority w:val="9"/>
    <w:semiHidden/>
    <w:rsid w:val="00AA137A"/>
    <w:rPr>
      <w:rFonts w:cstheme="majorBidi"/>
      <w:color w:val="2F5496" w:themeColor="accent1" w:themeShade="BF"/>
      <w:sz w:val="24"/>
    </w:rPr>
  </w:style>
  <w:style w:type="character" w:customStyle="1" w:styleId="60">
    <w:name w:val="标题 6 字符"/>
    <w:basedOn w:val="a0"/>
    <w:link w:val="6"/>
    <w:uiPriority w:val="9"/>
    <w:semiHidden/>
    <w:rsid w:val="00AA137A"/>
    <w:rPr>
      <w:rFonts w:cstheme="majorBidi"/>
      <w:b/>
      <w:bCs/>
      <w:color w:val="2F5496" w:themeColor="accent1" w:themeShade="BF"/>
    </w:rPr>
  </w:style>
  <w:style w:type="character" w:customStyle="1" w:styleId="70">
    <w:name w:val="标题 7 字符"/>
    <w:basedOn w:val="a0"/>
    <w:link w:val="7"/>
    <w:uiPriority w:val="9"/>
    <w:semiHidden/>
    <w:rsid w:val="00AA137A"/>
    <w:rPr>
      <w:rFonts w:cstheme="majorBidi"/>
      <w:b/>
      <w:bCs/>
      <w:color w:val="595959" w:themeColor="text1" w:themeTint="A6"/>
    </w:rPr>
  </w:style>
  <w:style w:type="character" w:customStyle="1" w:styleId="80">
    <w:name w:val="标题 8 字符"/>
    <w:basedOn w:val="a0"/>
    <w:link w:val="8"/>
    <w:uiPriority w:val="9"/>
    <w:semiHidden/>
    <w:rsid w:val="00AA137A"/>
    <w:rPr>
      <w:rFonts w:cstheme="majorBidi"/>
      <w:color w:val="595959" w:themeColor="text1" w:themeTint="A6"/>
    </w:rPr>
  </w:style>
  <w:style w:type="character" w:customStyle="1" w:styleId="90">
    <w:name w:val="标题 9 字符"/>
    <w:basedOn w:val="a0"/>
    <w:link w:val="9"/>
    <w:uiPriority w:val="9"/>
    <w:semiHidden/>
    <w:rsid w:val="00AA137A"/>
    <w:rPr>
      <w:rFonts w:eastAsiaTheme="majorEastAsia" w:cstheme="majorBidi"/>
      <w:color w:val="595959" w:themeColor="text1" w:themeTint="A6"/>
    </w:rPr>
  </w:style>
  <w:style w:type="paragraph" w:styleId="a3">
    <w:name w:val="Title"/>
    <w:basedOn w:val="a"/>
    <w:next w:val="a"/>
    <w:link w:val="a4"/>
    <w:uiPriority w:val="10"/>
    <w:qFormat/>
    <w:rsid w:val="00AA13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13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137A"/>
    <w:pPr>
      <w:numPr>
        <w:ilvl w:val="1"/>
      </w:numPr>
      <w:ind w:firstLine="4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13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137A"/>
    <w:pPr>
      <w:spacing w:before="160"/>
      <w:jc w:val="center"/>
    </w:pPr>
    <w:rPr>
      <w:i/>
      <w:iCs/>
      <w:color w:val="404040" w:themeColor="text1" w:themeTint="BF"/>
    </w:rPr>
  </w:style>
  <w:style w:type="character" w:customStyle="1" w:styleId="a8">
    <w:name w:val="引用 字符"/>
    <w:basedOn w:val="a0"/>
    <w:link w:val="a7"/>
    <w:uiPriority w:val="29"/>
    <w:rsid w:val="00AA137A"/>
    <w:rPr>
      <w:i/>
      <w:iCs/>
      <w:color w:val="404040" w:themeColor="text1" w:themeTint="BF"/>
    </w:rPr>
  </w:style>
  <w:style w:type="paragraph" w:styleId="a9">
    <w:name w:val="List Paragraph"/>
    <w:basedOn w:val="a"/>
    <w:uiPriority w:val="34"/>
    <w:qFormat/>
    <w:rsid w:val="00AA137A"/>
    <w:pPr>
      <w:ind w:left="720"/>
      <w:contextualSpacing/>
    </w:pPr>
  </w:style>
  <w:style w:type="character" w:styleId="aa">
    <w:name w:val="Intense Emphasis"/>
    <w:basedOn w:val="a0"/>
    <w:uiPriority w:val="21"/>
    <w:qFormat/>
    <w:rsid w:val="00AA137A"/>
    <w:rPr>
      <w:i/>
      <w:iCs/>
      <w:color w:val="2F5496" w:themeColor="accent1" w:themeShade="BF"/>
    </w:rPr>
  </w:style>
  <w:style w:type="paragraph" w:styleId="ab">
    <w:name w:val="Intense Quote"/>
    <w:basedOn w:val="a"/>
    <w:next w:val="a"/>
    <w:link w:val="ac"/>
    <w:uiPriority w:val="30"/>
    <w:qFormat/>
    <w:rsid w:val="00AA1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A137A"/>
    <w:rPr>
      <w:i/>
      <w:iCs/>
      <w:color w:val="2F5496" w:themeColor="accent1" w:themeShade="BF"/>
    </w:rPr>
  </w:style>
  <w:style w:type="character" w:styleId="ad">
    <w:name w:val="Intense Reference"/>
    <w:basedOn w:val="a0"/>
    <w:uiPriority w:val="32"/>
    <w:qFormat/>
    <w:rsid w:val="00AA13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2087">
      <w:bodyDiv w:val="1"/>
      <w:marLeft w:val="0"/>
      <w:marRight w:val="0"/>
      <w:marTop w:val="0"/>
      <w:marBottom w:val="0"/>
      <w:divBdr>
        <w:top w:val="none" w:sz="0" w:space="0" w:color="auto"/>
        <w:left w:val="none" w:sz="0" w:space="0" w:color="auto"/>
        <w:bottom w:val="none" w:sz="0" w:space="0" w:color="auto"/>
        <w:right w:val="none" w:sz="0" w:space="0" w:color="auto"/>
      </w:divBdr>
    </w:div>
    <w:div w:id="68355778">
      <w:bodyDiv w:val="1"/>
      <w:marLeft w:val="0"/>
      <w:marRight w:val="0"/>
      <w:marTop w:val="0"/>
      <w:marBottom w:val="0"/>
      <w:divBdr>
        <w:top w:val="none" w:sz="0" w:space="0" w:color="auto"/>
        <w:left w:val="none" w:sz="0" w:space="0" w:color="auto"/>
        <w:bottom w:val="none" w:sz="0" w:space="0" w:color="auto"/>
        <w:right w:val="none" w:sz="0" w:space="0" w:color="auto"/>
      </w:divBdr>
    </w:div>
    <w:div w:id="819346612">
      <w:bodyDiv w:val="1"/>
      <w:marLeft w:val="0"/>
      <w:marRight w:val="0"/>
      <w:marTop w:val="0"/>
      <w:marBottom w:val="0"/>
      <w:divBdr>
        <w:top w:val="none" w:sz="0" w:space="0" w:color="auto"/>
        <w:left w:val="none" w:sz="0" w:space="0" w:color="auto"/>
        <w:bottom w:val="none" w:sz="0" w:space="0" w:color="auto"/>
        <w:right w:val="none" w:sz="0" w:space="0" w:color="auto"/>
      </w:divBdr>
    </w:div>
    <w:div w:id="820970402">
      <w:bodyDiv w:val="1"/>
      <w:marLeft w:val="0"/>
      <w:marRight w:val="0"/>
      <w:marTop w:val="0"/>
      <w:marBottom w:val="0"/>
      <w:divBdr>
        <w:top w:val="none" w:sz="0" w:space="0" w:color="auto"/>
        <w:left w:val="none" w:sz="0" w:space="0" w:color="auto"/>
        <w:bottom w:val="none" w:sz="0" w:space="0" w:color="auto"/>
        <w:right w:val="none" w:sz="0" w:space="0" w:color="auto"/>
      </w:divBdr>
    </w:div>
    <w:div w:id="897015151">
      <w:bodyDiv w:val="1"/>
      <w:marLeft w:val="0"/>
      <w:marRight w:val="0"/>
      <w:marTop w:val="0"/>
      <w:marBottom w:val="0"/>
      <w:divBdr>
        <w:top w:val="none" w:sz="0" w:space="0" w:color="auto"/>
        <w:left w:val="none" w:sz="0" w:space="0" w:color="auto"/>
        <w:bottom w:val="none" w:sz="0" w:space="0" w:color="auto"/>
        <w:right w:val="none" w:sz="0" w:space="0" w:color="auto"/>
      </w:divBdr>
    </w:div>
    <w:div w:id="1420171605">
      <w:bodyDiv w:val="1"/>
      <w:marLeft w:val="0"/>
      <w:marRight w:val="0"/>
      <w:marTop w:val="0"/>
      <w:marBottom w:val="0"/>
      <w:divBdr>
        <w:top w:val="none" w:sz="0" w:space="0" w:color="auto"/>
        <w:left w:val="none" w:sz="0" w:space="0" w:color="auto"/>
        <w:bottom w:val="none" w:sz="0" w:space="0" w:color="auto"/>
        <w:right w:val="none" w:sz="0" w:space="0" w:color="auto"/>
      </w:divBdr>
    </w:div>
    <w:div w:id="1431706053">
      <w:bodyDiv w:val="1"/>
      <w:marLeft w:val="0"/>
      <w:marRight w:val="0"/>
      <w:marTop w:val="0"/>
      <w:marBottom w:val="0"/>
      <w:divBdr>
        <w:top w:val="none" w:sz="0" w:space="0" w:color="auto"/>
        <w:left w:val="none" w:sz="0" w:space="0" w:color="auto"/>
        <w:bottom w:val="none" w:sz="0" w:space="0" w:color="auto"/>
        <w:right w:val="none" w:sz="0" w:space="0" w:color="auto"/>
      </w:divBdr>
    </w:div>
    <w:div w:id="1569653466">
      <w:bodyDiv w:val="1"/>
      <w:marLeft w:val="0"/>
      <w:marRight w:val="0"/>
      <w:marTop w:val="0"/>
      <w:marBottom w:val="0"/>
      <w:divBdr>
        <w:top w:val="none" w:sz="0" w:space="0" w:color="auto"/>
        <w:left w:val="none" w:sz="0" w:space="0" w:color="auto"/>
        <w:bottom w:val="none" w:sz="0" w:space="0" w:color="auto"/>
        <w:right w:val="none" w:sz="0" w:space="0" w:color="auto"/>
      </w:divBdr>
    </w:div>
    <w:div w:id="171279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jingdong liu</dc:creator>
  <cp:keywords/>
  <dc:description/>
  <cp:lastModifiedBy>jingdong liu</cp:lastModifiedBy>
  <cp:revision>14</cp:revision>
  <dcterms:created xsi:type="dcterms:W3CDTF">2025-03-21T00:56:00Z</dcterms:created>
  <dcterms:modified xsi:type="dcterms:W3CDTF">2025-03-21T07:37:00Z</dcterms:modified>
</cp:coreProperties>
</file>