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pPr w:leftFromText="180" w:rightFromText="180" w:horzAnchor="margin" w:tblpY="-492"/>
        <w:tblW w:w="9995" w:type="dxa"/>
        <w:tblInd w:w="0" w:type="dxa"/>
        <w:tblLayout w:type="fixed"/>
        <w:tblCellMar>
          <w:top w:w="0" w:type="dxa"/>
          <w:left w:w="107" w:type="dxa"/>
          <w:bottom w:w="0" w:type="dxa"/>
          <w:right w:w="107" w:type="dxa"/>
        </w:tblCellMar>
      </w:tblPr>
      <w:tblGrid>
        <w:gridCol w:w="2092"/>
        <w:gridCol w:w="8"/>
        <w:gridCol w:w="4486"/>
        <w:gridCol w:w="3302"/>
        <w:gridCol w:w="107"/>
      </w:tblGrid>
      <w:tr>
        <w:tblPrEx>
          <w:tblCellMar>
            <w:top w:w="0" w:type="dxa"/>
            <w:left w:w="107" w:type="dxa"/>
            <w:bottom w:w="0" w:type="dxa"/>
            <w:right w:w="107" w:type="dxa"/>
          </w:tblCellMar>
        </w:tblPrEx>
        <w:trPr>
          <w:gridAfter w:val="1"/>
          <w:wAfter w:w="107" w:type="dxa"/>
          <w:cantSplit/>
        </w:trPr>
        <w:tc>
          <w:tcPr>
            <w:tcW w:w="6586" w:type="dxa"/>
            <w:gridSpan w:val="3"/>
          </w:tcPr>
          <w:p>
            <w:pPr>
              <w:rPr>
                <w:rFonts w:hint="eastAsia" w:eastAsia="宋体"/>
                <w:sz w:val="32"/>
                <w:szCs w:val="32"/>
                <w:lang w:eastAsia="zh-CN"/>
              </w:rPr>
            </w:pPr>
            <w:r>
              <w:rPr>
                <w:rFonts w:hint="eastAsia" w:eastAsia="宋体"/>
                <w:b/>
                <w:bCs/>
                <w:sz w:val="32"/>
                <w:szCs w:val="32"/>
                <w:lang w:val="en-US" w:eastAsia="zh-CN"/>
              </w:rPr>
              <w:t>电信发展部门</w:t>
            </w:r>
          </w:p>
          <w:p>
            <w:pPr>
              <w:spacing w:before="40" w:after="40"/>
              <w:rPr>
                <w:b/>
                <w:bCs/>
                <w:sz w:val="28"/>
                <w:szCs w:val="28"/>
              </w:rPr>
            </w:pPr>
          </w:p>
          <w:p>
            <w:pPr>
              <w:spacing w:before="40" w:after="40"/>
              <w:rPr>
                <w:rFonts w:hint="eastAsia" w:eastAsia="宋体"/>
                <w:b/>
                <w:bCs/>
                <w:sz w:val="28"/>
                <w:szCs w:val="28"/>
                <w:lang w:eastAsia="zh-CN"/>
              </w:rPr>
            </w:pPr>
            <w:r>
              <w:rPr>
                <w:rFonts w:hint="eastAsia" w:eastAsia="宋体"/>
                <w:b/>
                <w:bCs/>
                <w:sz w:val="28"/>
                <w:szCs w:val="28"/>
                <w:lang w:val="en-US" w:eastAsia="zh-CN"/>
              </w:rPr>
              <w:t>研究组</w:t>
            </w:r>
          </w:p>
        </w:tc>
        <w:tc>
          <w:tcPr>
            <w:tcW w:w="3302" w:type="dxa"/>
          </w:tcPr>
          <w:p>
            <w:pPr>
              <w:spacing w:before="40" w:after="80"/>
              <w:jc w:val="right"/>
            </w:pPr>
            <w:bookmarkStart w:id="0" w:name="dlogo"/>
            <w:bookmarkEnd w:id="0"/>
            <w:r>
              <w:rPr>
                <w:lang w:val="en-US" w:eastAsia="zh-CN"/>
              </w:rPr>
              <w:drawing>
                <wp:inline distT="0" distB="0" distL="0" distR="0">
                  <wp:extent cx="713105" cy="790575"/>
                  <wp:effectExtent l="0" t="0" r="0" b="0"/>
                  <wp:docPr id="1" name="Picture 1" descr="P:\SUP\Logos\Post-150th Anniv\ITU-logo-UN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SUP\Logos\Post-150th Anniv\ITU-logo-UNblu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rot="10800000" flipH="1" flipV="1">
                            <a:off x="0" y="0"/>
                            <a:ext cx="754954" cy="836656"/>
                          </a:xfrm>
                          <a:prstGeom prst="rect">
                            <a:avLst/>
                          </a:prstGeom>
                          <a:noFill/>
                          <a:ln>
                            <a:noFill/>
                          </a:ln>
                        </pic:spPr>
                      </pic:pic>
                    </a:graphicData>
                  </a:graphic>
                </wp:inline>
              </w:drawing>
            </w:r>
          </w:p>
        </w:tc>
      </w:tr>
      <w:tr>
        <w:tblPrEx>
          <w:tblCellMar>
            <w:top w:w="0" w:type="dxa"/>
            <w:left w:w="107" w:type="dxa"/>
            <w:bottom w:w="0" w:type="dxa"/>
            <w:right w:w="107" w:type="dxa"/>
          </w:tblCellMar>
        </w:tblPrEx>
        <w:trPr>
          <w:gridAfter w:val="1"/>
          <w:wAfter w:w="107" w:type="dxa"/>
          <w:cantSplit/>
        </w:trPr>
        <w:tc>
          <w:tcPr>
            <w:tcW w:w="9888" w:type="dxa"/>
            <w:gridSpan w:val="4"/>
            <w:vAlign w:val="center"/>
          </w:tcPr>
          <w:p>
            <w:pPr>
              <w:rPr>
                <w:rFonts w:hint="default"/>
                <w:b/>
                <w:bCs/>
                <w:sz w:val="26"/>
                <w:szCs w:val="26"/>
                <w:lang w:val="en-US"/>
              </w:rPr>
            </w:pPr>
            <w:bookmarkStart w:id="1" w:name="dspace"/>
            <w:r>
              <w:rPr>
                <w:rFonts w:hint="eastAsia" w:eastAsia="宋体"/>
                <w:b/>
                <w:bCs/>
                <w:sz w:val="26"/>
                <w:szCs w:val="26"/>
                <w:lang w:val="en-US" w:eastAsia="zh-CN"/>
              </w:rPr>
              <w:t>ITU-D第1、2研究组2022-2025年研究期第二次会议</w:t>
            </w:r>
          </w:p>
        </w:tc>
      </w:tr>
      <w:tr>
        <w:tblPrEx>
          <w:tblCellMar>
            <w:top w:w="0" w:type="dxa"/>
            <w:left w:w="107" w:type="dxa"/>
            <w:bottom w:w="0" w:type="dxa"/>
            <w:right w:w="107" w:type="dxa"/>
          </w:tblCellMar>
        </w:tblPrEx>
        <w:trPr>
          <w:gridAfter w:val="1"/>
          <w:wAfter w:w="107" w:type="dxa"/>
          <w:cantSplit/>
        </w:trPr>
        <w:tc>
          <w:tcPr>
            <w:tcW w:w="9888" w:type="dxa"/>
            <w:gridSpan w:val="4"/>
            <w:tcBorders>
              <w:bottom w:val="single" w:color="auto" w:sz="12" w:space="0"/>
            </w:tcBorders>
            <w:vAlign w:val="center"/>
          </w:tcPr>
          <w:p>
            <w:pPr>
              <w:spacing w:before="0"/>
              <w:rPr>
                <w:rFonts w:hint="default"/>
                <w:b/>
                <w:bCs/>
                <w:szCs w:val="24"/>
                <w:lang w:val="en-US"/>
              </w:rPr>
            </w:pPr>
            <w:r>
              <w:rPr>
                <w:rFonts w:hint="eastAsia" w:eastAsia="宋体"/>
                <w:b/>
                <w:bCs/>
                <w:szCs w:val="24"/>
                <w:lang w:val="en-US" w:eastAsia="zh-CN"/>
              </w:rPr>
              <w:t>日内瓦，2023年10月23日-11月3日</w:t>
            </w:r>
          </w:p>
        </w:tc>
      </w:tr>
      <w:tr>
        <w:tblPrEx>
          <w:tblCellMar>
            <w:top w:w="0" w:type="dxa"/>
            <w:left w:w="107" w:type="dxa"/>
            <w:bottom w:w="0" w:type="dxa"/>
            <w:right w:w="107" w:type="dxa"/>
          </w:tblCellMar>
        </w:tblPrEx>
        <w:trPr>
          <w:gridAfter w:val="1"/>
          <w:wAfter w:w="107" w:type="dxa"/>
          <w:cantSplit/>
        </w:trPr>
        <w:tc>
          <w:tcPr>
            <w:tcW w:w="6586" w:type="dxa"/>
            <w:gridSpan w:val="3"/>
          </w:tcPr>
          <w:p>
            <w:pPr>
              <w:spacing w:before="0"/>
              <w:rPr>
                <w:rFonts w:cs="Arial"/>
                <w:b/>
                <w:bCs/>
                <w:sz w:val="20"/>
              </w:rPr>
            </w:pPr>
          </w:p>
        </w:tc>
        <w:tc>
          <w:tcPr>
            <w:tcW w:w="3302" w:type="dxa"/>
          </w:tcPr>
          <w:p>
            <w:pPr>
              <w:spacing w:before="0"/>
              <w:rPr>
                <w:b/>
                <w:bCs/>
                <w:sz w:val="20"/>
              </w:rPr>
            </w:pPr>
          </w:p>
        </w:tc>
      </w:tr>
      <w:bookmarkEnd w:id="1"/>
      <w:tr>
        <w:tblPrEx>
          <w:tblCellMar>
            <w:top w:w="0" w:type="dxa"/>
            <w:left w:w="107" w:type="dxa"/>
            <w:bottom w:w="0" w:type="dxa"/>
            <w:right w:w="107" w:type="dxa"/>
          </w:tblCellMar>
        </w:tblPrEx>
        <w:trPr>
          <w:gridAfter w:val="1"/>
          <w:wAfter w:w="107" w:type="dxa"/>
          <w:cantSplit/>
        </w:trPr>
        <w:tc>
          <w:tcPr>
            <w:tcW w:w="6586" w:type="dxa"/>
            <w:gridSpan w:val="3"/>
            <w:vMerge w:val="restart"/>
          </w:tcPr>
          <w:p>
            <w:pPr>
              <w:pStyle w:val="119"/>
              <w:rPr>
                <w:b w:val="0"/>
              </w:rPr>
            </w:pPr>
            <w:bookmarkStart w:id="2" w:name="dnum" w:colFirst="1" w:colLast="1"/>
            <w:bookmarkStart w:id="3" w:name="dmeeting" w:colFirst="0" w:colLast="0"/>
          </w:p>
        </w:tc>
        <w:tc>
          <w:tcPr>
            <w:tcW w:w="3302" w:type="dxa"/>
          </w:tcPr>
          <w:p>
            <w:pPr>
              <w:spacing w:before="0"/>
              <w:rPr>
                <w:rFonts w:hint="eastAsia" w:eastAsia="宋体"/>
                <w:bCs/>
                <w:lang w:val="en-US" w:eastAsia="zh-CN"/>
              </w:rPr>
            </w:pPr>
            <w:bookmarkStart w:id="4" w:name="DocRef1"/>
            <w:bookmarkEnd w:id="4"/>
            <w:r>
              <w:rPr>
                <w:rFonts w:hint="eastAsia" w:eastAsia="宋体"/>
                <w:bCs/>
                <w:lang w:val="en-US" w:eastAsia="zh-CN"/>
              </w:rPr>
              <w:t>文件</w:t>
            </w:r>
          </w:p>
        </w:tc>
      </w:tr>
      <w:bookmarkEnd w:id="2"/>
      <w:bookmarkEnd w:id="3"/>
      <w:tr>
        <w:tblPrEx>
          <w:tblCellMar>
            <w:top w:w="0" w:type="dxa"/>
            <w:left w:w="107" w:type="dxa"/>
            <w:bottom w:w="0" w:type="dxa"/>
            <w:right w:w="107" w:type="dxa"/>
          </w:tblCellMar>
        </w:tblPrEx>
        <w:trPr>
          <w:gridAfter w:val="1"/>
          <w:wAfter w:w="107" w:type="dxa"/>
          <w:cantSplit/>
        </w:trPr>
        <w:tc>
          <w:tcPr>
            <w:tcW w:w="6586" w:type="dxa"/>
            <w:gridSpan w:val="3"/>
            <w:vMerge w:val="continue"/>
          </w:tcPr>
          <w:p>
            <w:pPr>
              <w:spacing w:after="120"/>
              <w:rPr>
                <w:b/>
                <w:bCs/>
                <w:smallCaps/>
              </w:rPr>
            </w:pPr>
            <w:bookmarkStart w:id="5" w:name="ddate" w:colFirst="1" w:colLast="1"/>
          </w:p>
        </w:tc>
        <w:tc>
          <w:tcPr>
            <w:tcW w:w="3302" w:type="dxa"/>
          </w:tcPr>
          <w:p>
            <w:pPr>
              <w:spacing w:before="0"/>
              <w:rPr>
                <w:rFonts w:hint="default" w:eastAsia="宋体"/>
                <w:bCs/>
                <w:lang w:val="en-US" w:eastAsia="zh-CN"/>
              </w:rPr>
            </w:pPr>
            <w:r>
              <w:rPr>
                <w:rFonts w:hint="eastAsia" w:eastAsia="宋体"/>
                <w:b/>
                <w:bCs/>
                <w:lang w:val="en-US" w:eastAsia="zh-CN"/>
              </w:rPr>
              <w:t>2023年9月16日</w:t>
            </w:r>
          </w:p>
        </w:tc>
      </w:tr>
      <w:bookmarkEnd w:id="5"/>
      <w:tr>
        <w:tblPrEx>
          <w:tblCellMar>
            <w:top w:w="0" w:type="dxa"/>
            <w:left w:w="107" w:type="dxa"/>
            <w:bottom w:w="0" w:type="dxa"/>
            <w:right w:w="107" w:type="dxa"/>
          </w:tblCellMar>
        </w:tblPrEx>
        <w:trPr>
          <w:gridAfter w:val="1"/>
          <w:wAfter w:w="107" w:type="dxa"/>
          <w:cantSplit/>
        </w:trPr>
        <w:tc>
          <w:tcPr>
            <w:tcW w:w="6586" w:type="dxa"/>
            <w:gridSpan w:val="3"/>
            <w:vMerge w:val="continue"/>
          </w:tcPr>
          <w:p>
            <w:pPr>
              <w:spacing w:after="120"/>
              <w:rPr>
                <w:b/>
                <w:bCs/>
                <w:smallCaps/>
              </w:rPr>
            </w:pPr>
          </w:p>
        </w:tc>
        <w:tc>
          <w:tcPr>
            <w:tcW w:w="3302" w:type="dxa"/>
          </w:tcPr>
          <w:p>
            <w:pPr>
              <w:spacing w:before="0" w:after="240"/>
              <w:rPr>
                <w:rFonts w:hint="eastAsia" w:eastAsia="宋体"/>
                <w:lang w:eastAsia="zh-CN"/>
              </w:rPr>
            </w:pPr>
            <w:r>
              <w:rPr>
                <w:rFonts w:hint="eastAsia" w:eastAsia="宋体"/>
                <w:b/>
                <w:lang w:val="en-US" w:eastAsia="zh-CN"/>
              </w:rPr>
              <w:t>原文：中文</w:t>
            </w:r>
          </w:p>
        </w:tc>
      </w:tr>
      <w:tr>
        <w:tblPrEx>
          <w:tblCellMar>
            <w:top w:w="0" w:type="dxa"/>
            <w:left w:w="107" w:type="dxa"/>
            <w:bottom w:w="0" w:type="dxa"/>
            <w:right w:w="107" w:type="dxa"/>
          </w:tblCellMar>
        </w:tblPrEx>
        <w:trPr>
          <w:gridAfter w:val="1"/>
          <w:wAfter w:w="107" w:type="dxa"/>
          <w:cantSplit/>
        </w:trPr>
        <w:tc>
          <w:tcPr>
            <w:tcW w:w="2092" w:type="dxa"/>
          </w:tcPr>
          <w:p>
            <w:pPr>
              <w:pStyle w:val="55"/>
            </w:pPr>
            <w:bookmarkStart w:id="6" w:name="dsource" w:colFirst="1" w:colLast="1"/>
            <w:r>
              <w:rPr>
                <w:rFonts w:hint="eastAsia" w:eastAsia="宋体"/>
                <w:szCs w:val="24"/>
                <w:lang w:val="en-US" w:eastAsia="zh-CN"/>
              </w:rPr>
              <w:t>课题</w:t>
            </w:r>
            <w:r>
              <w:rPr>
                <w:szCs w:val="24"/>
              </w:rPr>
              <w:t xml:space="preserve"> </w:t>
            </w:r>
            <w:r>
              <w:rPr>
                <w:rFonts w:hint="eastAsia" w:eastAsia="宋体"/>
                <w:szCs w:val="24"/>
                <w:lang w:val="en-US" w:eastAsia="zh-CN"/>
              </w:rPr>
              <w:t>6</w:t>
            </w:r>
            <w:r>
              <w:rPr>
                <w:szCs w:val="24"/>
              </w:rPr>
              <w:t>/</w:t>
            </w:r>
            <w:r>
              <w:rPr>
                <w:rFonts w:hint="eastAsia" w:eastAsia="宋体"/>
                <w:szCs w:val="24"/>
                <w:lang w:val="en-US" w:eastAsia="zh-CN"/>
              </w:rPr>
              <w:t>1</w:t>
            </w:r>
            <w:r>
              <w:rPr>
                <w:szCs w:val="24"/>
              </w:rPr>
              <w:t>:</w:t>
            </w:r>
          </w:p>
        </w:tc>
        <w:tc>
          <w:tcPr>
            <w:tcW w:w="7796" w:type="dxa"/>
            <w:gridSpan w:val="3"/>
          </w:tcPr>
          <w:p>
            <w:pPr>
              <w:pStyle w:val="55"/>
              <w:rPr>
                <w:rFonts w:hint="default" w:eastAsia="宋体"/>
                <w:b w:val="0"/>
                <w:bCs/>
                <w:lang w:val="en-US" w:eastAsia="zh-CN"/>
              </w:rPr>
            </w:pPr>
            <w:r>
              <w:rPr>
                <w:rFonts w:hint="eastAsia" w:eastAsia="宋体"/>
                <w:b w:val="0"/>
                <w:bCs/>
                <w:lang w:val="en-US" w:eastAsia="zh-CN"/>
              </w:rPr>
              <w:t>消费者信息、保护及权利</w:t>
            </w:r>
          </w:p>
        </w:tc>
      </w:tr>
      <w:tr>
        <w:tblPrEx>
          <w:tblCellMar>
            <w:top w:w="0" w:type="dxa"/>
            <w:left w:w="107" w:type="dxa"/>
            <w:bottom w:w="0" w:type="dxa"/>
            <w:right w:w="107" w:type="dxa"/>
          </w:tblCellMar>
        </w:tblPrEx>
        <w:trPr>
          <w:gridAfter w:val="1"/>
          <w:wAfter w:w="107" w:type="dxa"/>
          <w:cantSplit/>
        </w:trPr>
        <w:tc>
          <w:tcPr>
            <w:tcW w:w="2092" w:type="dxa"/>
          </w:tcPr>
          <w:p>
            <w:pPr>
              <w:pStyle w:val="55"/>
            </w:pPr>
            <w:r>
              <w:rPr>
                <w:rFonts w:hint="eastAsia" w:eastAsia="宋体"/>
                <w:lang w:val="en-US" w:eastAsia="zh-CN"/>
              </w:rPr>
              <w:t>来源</w:t>
            </w:r>
            <w:r>
              <w:t>:</w:t>
            </w:r>
          </w:p>
        </w:tc>
        <w:tc>
          <w:tcPr>
            <w:tcW w:w="7796" w:type="dxa"/>
            <w:gridSpan w:val="3"/>
          </w:tcPr>
          <w:p>
            <w:pPr>
              <w:pStyle w:val="55"/>
              <w:rPr>
                <w:rFonts w:hint="default" w:eastAsia="宋体"/>
                <w:b w:val="0"/>
                <w:szCs w:val="24"/>
                <w:lang w:val="en-US" w:eastAsia="zh-CN"/>
              </w:rPr>
            </w:pPr>
            <w:r>
              <w:rPr>
                <w:rFonts w:hint="eastAsia" w:eastAsia="宋体"/>
                <w:b w:val="0"/>
                <w:bCs/>
                <w:lang w:val="en-US" w:eastAsia="zh-CN"/>
              </w:rPr>
              <w:t>中国电信股份有限公司</w:t>
            </w:r>
          </w:p>
        </w:tc>
      </w:tr>
      <w:bookmarkEnd w:id="6"/>
      <w:tr>
        <w:tblPrEx>
          <w:tblCellMar>
            <w:top w:w="0" w:type="dxa"/>
            <w:left w:w="107" w:type="dxa"/>
            <w:bottom w:w="0" w:type="dxa"/>
            <w:right w:w="107" w:type="dxa"/>
          </w:tblCellMar>
        </w:tblPrEx>
        <w:trPr>
          <w:gridAfter w:val="1"/>
          <w:wAfter w:w="107" w:type="dxa"/>
          <w:cantSplit/>
        </w:trPr>
        <w:tc>
          <w:tcPr>
            <w:tcW w:w="2092" w:type="dxa"/>
          </w:tcPr>
          <w:p>
            <w:pPr>
              <w:pStyle w:val="55"/>
              <w:spacing w:after="120"/>
            </w:pPr>
            <w:bookmarkStart w:id="7" w:name="dtitle1" w:colFirst="1" w:colLast="1"/>
            <w:r>
              <w:rPr>
                <w:rFonts w:hint="eastAsia" w:eastAsia="宋体"/>
                <w:lang w:val="en-US" w:eastAsia="zh-CN"/>
              </w:rPr>
              <w:t>题目</w:t>
            </w:r>
            <w:r>
              <w:t>:</w:t>
            </w:r>
          </w:p>
        </w:tc>
        <w:tc>
          <w:tcPr>
            <w:tcW w:w="7796" w:type="dxa"/>
            <w:gridSpan w:val="3"/>
          </w:tcPr>
          <w:p>
            <w:pPr>
              <w:pStyle w:val="56"/>
              <w:spacing w:before="120" w:after="120"/>
              <w:rPr>
                <w:rFonts w:hint="default" w:eastAsia="宋体"/>
                <w:b w:val="0"/>
                <w:bCs/>
                <w:szCs w:val="18"/>
                <w:highlight w:val="yellow"/>
                <w:lang w:val="en-US" w:eastAsia="zh-CN"/>
              </w:rPr>
            </w:pPr>
            <w:r>
              <w:rPr>
                <w:rFonts w:hint="default" w:eastAsia="宋体" w:cs="Times New Roman" w:asciiTheme="minorHAnsi" w:hAnsiTheme="minorHAnsi"/>
                <w:b w:val="0"/>
                <w:bCs/>
                <w:sz w:val="24"/>
                <w:lang w:val="en-US" w:eastAsia="zh-CN" w:bidi="ar-SA"/>
              </w:rPr>
              <w:t>中国电信数字支付业务的消费者权益保护实践</w:t>
            </w:r>
          </w:p>
        </w:tc>
      </w:tr>
      <w:tr>
        <w:tblPrEx>
          <w:tblCellMar>
            <w:top w:w="0" w:type="dxa"/>
            <w:left w:w="107" w:type="dxa"/>
            <w:bottom w:w="0" w:type="dxa"/>
            <w:right w:w="107" w:type="dxa"/>
          </w:tblCellMar>
        </w:tblPrEx>
        <w:trPr>
          <w:gridAfter w:val="1"/>
          <w:wAfter w:w="107" w:type="dxa"/>
          <w:cantSplit/>
        </w:trPr>
        <w:tc>
          <w:tcPr>
            <w:tcW w:w="9888" w:type="dxa"/>
            <w:gridSpan w:val="4"/>
          </w:tcPr>
          <w:p>
            <w:pPr>
              <w:pStyle w:val="56"/>
              <w:spacing w:before="120" w:after="120"/>
              <w:rPr>
                <w:szCs w:val="18"/>
                <w:lang w:eastAsia="zh-CN"/>
              </w:rPr>
            </w:pPr>
          </w:p>
        </w:tc>
      </w:tr>
      <w:tr>
        <w:tblPrEx>
          <w:tblCellMar>
            <w:top w:w="0" w:type="dxa"/>
            <w:left w:w="107" w:type="dxa"/>
            <w:bottom w:w="0" w:type="dxa"/>
            <w:right w:w="107" w:type="dxa"/>
          </w:tblCellMar>
        </w:tblPrEx>
        <w:trPr>
          <w:gridAfter w:val="1"/>
          <w:wAfter w:w="107" w:type="dxa"/>
          <w:cantSplit/>
        </w:trPr>
        <w:tc>
          <w:tcPr>
            <w:tcW w:w="2092" w:type="dxa"/>
          </w:tcPr>
          <w:p>
            <w:pPr>
              <w:pStyle w:val="55"/>
              <w:spacing w:after="120"/>
              <w:rPr>
                <w:rFonts w:cs="Times New Roman Bold"/>
                <w:szCs w:val="18"/>
              </w:rPr>
            </w:pPr>
            <w:r>
              <w:rPr>
                <w:rFonts w:hint="eastAsia" w:eastAsia="宋体" w:cs="Times New Roman Bold"/>
                <w:szCs w:val="18"/>
                <w:lang w:val="en-US" w:eastAsia="zh-CN"/>
              </w:rPr>
              <w:t>须采取的行动</w:t>
            </w:r>
            <w:r>
              <w:rPr>
                <w:rFonts w:cs="Times New Roman Bold"/>
                <w:szCs w:val="18"/>
              </w:rPr>
              <w:t>:</w:t>
            </w:r>
          </w:p>
        </w:tc>
        <w:tc>
          <w:tcPr>
            <w:tcW w:w="7796" w:type="dxa"/>
            <w:gridSpan w:val="3"/>
          </w:tcPr>
          <w:p>
            <w:pPr>
              <w:pStyle w:val="56"/>
              <w:spacing w:before="120" w:after="120"/>
              <w:rPr>
                <w:rFonts w:hint="default" w:eastAsia="宋体"/>
                <w:b w:val="0"/>
                <w:bCs/>
                <w:szCs w:val="24"/>
                <w:lang w:val="en-US" w:eastAsia="zh-CN"/>
              </w:rPr>
            </w:pPr>
            <w:r>
              <w:rPr>
                <w:rFonts w:hint="eastAsia" w:eastAsia="宋体"/>
                <w:b w:val="0"/>
                <w:bCs/>
                <w:szCs w:val="24"/>
                <w:lang w:val="en-US" w:eastAsia="zh-CN"/>
              </w:rPr>
              <w:t>请与会代表对文稿进行审议</w:t>
            </w:r>
          </w:p>
        </w:tc>
      </w:tr>
      <w:tr>
        <w:tblPrEx>
          <w:tblCellMar>
            <w:top w:w="0" w:type="dxa"/>
            <w:left w:w="107" w:type="dxa"/>
            <w:bottom w:w="0" w:type="dxa"/>
            <w:right w:w="107" w:type="dxa"/>
          </w:tblCellMar>
        </w:tblPrEx>
        <w:trPr>
          <w:cantSplit/>
        </w:trPr>
        <w:tc>
          <w:tcPr>
            <w:tcW w:w="2100" w:type="dxa"/>
            <w:gridSpan w:val="2"/>
          </w:tcPr>
          <w:p>
            <w:pPr>
              <w:pStyle w:val="55"/>
              <w:spacing w:after="120"/>
              <w:ind w:left="35"/>
              <w:rPr>
                <w:rFonts w:cs="Times New Roman Bold"/>
                <w:b w:val="0"/>
                <w:bCs/>
                <w:i/>
                <w:iCs/>
                <w:szCs w:val="18"/>
              </w:rPr>
            </w:pPr>
            <w:r>
              <w:rPr>
                <w:rFonts w:hint="eastAsia" w:eastAsia="宋体" w:cs="Times New Roman Bold"/>
                <w:b w:val="0"/>
                <w:bCs/>
                <w:i/>
                <w:iCs/>
                <w:szCs w:val="18"/>
                <w:lang w:val="en-US" w:eastAsia="zh-CN"/>
              </w:rPr>
              <w:t>关键词</w:t>
            </w:r>
            <w:r>
              <w:rPr>
                <w:rFonts w:cs="Times New Roman Bold"/>
                <w:b w:val="0"/>
                <w:bCs/>
                <w:i/>
                <w:iCs/>
                <w:szCs w:val="18"/>
              </w:rPr>
              <w:t xml:space="preserve">: </w:t>
            </w:r>
          </w:p>
        </w:tc>
        <w:tc>
          <w:tcPr>
            <w:tcW w:w="7895" w:type="dxa"/>
            <w:gridSpan w:val="3"/>
          </w:tcPr>
          <w:p>
            <w:pPr>
              <w:pStyle w:val="56"/>
              <w:spacing w:before="120" w:after="120"/>
              <w:rPr>
                <w:rFonts w:hint="default" w:eastAsia="宋体"/>
                <w:b w:val="0"/>
                <w:bCs/>
                <w:i/>
                <w:iCs/>
                <w:szCs w:val="24"/>
                <w:lang w:val="en-US" w:eastAsia="zh-CN"/>
              </w:rPr>
            </w:pPr>
            <w:r>
              <w:rPr>
                <w:rFonts w:hint="eastAsia" w:eastAsia="宋体"/>
                <w:b w:val="0"/>
                <w:bCs/>
                <w:i/>
                <w:iCs/>
                <w:szCs w:val="24"/>
                <w:lang w:val="en-US" w:eastAsia="zh-CN"/>
              </w:rPr>
              <w:t>数字支付、消费者权益、个人信息保护</w:t>
            </w:r>
          </w:p>
        </w:tc>
      </w:tr>
    </w:tbl>
    <w:p>
      <w:pPr>
        <w:spacing w:before="0"/>
        <w:rPr>
          <w:lang w:eastAsia="zh-CN"/>
        </w:rPr>
      </w:pPr>
    </w:p>
    <w:bookmarkEnd w:id="7"/>
    <w:tbl>
      <w:tblPr>
        <w:tblStyle w:val="34"/>
        <w:tblW w:w="962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629"/>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629" w:type="dxa"/>
          </w:tcPr>
          <w:p>
            <w:pPr>
              <w:overflowPunct/>
              <w:autoSpaceDE/>
              <w:autoSpaceDN/>
              <w:adjustRightInd/>
              <w:textAlignment w:val="auto"/>
              <w:rPr>
                <w:lang w:eastAsia="zh-CN"/>
              </w:rPr>
            </w:pPr>
            <w:bookmarkStart w:id="8" w:name="dbreak"/>
            <w:bookmarkEnd w:id="8"/>
            <w:r>
              <w:rPr>
                <w:rFonts w:hint="eastAsia" w:cs="Times New Roman Bold"/>
                <w:b/>
                <w:szCs w:val="18"/>
                <w:lang w:val="en-US" w:eastAsia="zh-CN"/>
              </w:rPr>
              <w:t>摘要</w:t>
            </w:r>
            <w:r>
              <w:rPr>
                <w:rFonts w:cs="Times New Roman Bold"/>
                <w:b/>
                <w:szCs w:val="18"/>
                <w:lang w:eastAsia="zh-CN"/>
              </w:rPr>
              <w:t>:</w:t>
            </w:r>
          </w:p>
          <w:p>
            <w:pPr>
              <w:spacing w:after="120"/>
              <w:ind w:firstLine="480" w:firstLineChars="200"/>
              <w:rPr>
                <w:rFonts w:eastAsia="宋体"/>
                <w:lang w:val="en-US" w:eastAsia="zh-CN"/>
              </w:rPr>
            </w:pPr>
            <w:r>
              <w:rPr>
                <w:rFonts w:hint="eastAsia" w:eastAsia="宋体"/>
                <w:lang w:val="en-US" w:eastAsia="zh-CN"/>
              </w:rPr>
              <w:t>中国电信翼支付在发展中高度重视用户个人信息保护。本文介绍了中国电信翼支付通过开展科技创新和业务创新，建立消费者权益保护长效机制，强化消费者权益保护能力的实践经验。</w:t>
            </w:r>
          </w:p>
          <w:p>
            <w:pPr>
              <w:spacing w:after="120"/>
              <w:rPr>
                <w:rFonts w:eastAsia="宋体"/>
                <w:lang w:val="en-US" w:eastAsia="zh-CN"/>
              </w:rPr>
            </w:pPr>
          </w:p>
          <w:p>
            <w:pPr>
              <w:spacing w:after="120"/>
              <w:rPr>
                <w:rFonts w:eastAsia="宋体"/>
                <w:lang w:val="en-US" w:eastAsia="zh-CN"/>
              </w:rPr>
            </w:pPr>
          </w:p>
          <w:p>
            <w:pPr>
              <w:spacing w:after="120"/>
              <w:rPr>
                <w:rFonts w:eastAsia="宋体"/>
                <w:lang w:val="en-US" w:eastAsia="zh-CN"/>
              </w:rPr>
            </w:pPr>
          </w:p>
        </w:tc>
      </w:tr>
    </w:tbl>
    <w:p>
      <w:pPr>
        <w:tabs>
          <w:tab w:val="clear" w:pos="794"/>
          <w:tab w:val="clear" w:pos="1191"/>
          <w:tab w:val="clear" w:pos="1588"/>
          <w:tab w:val="clear" w:pos="1985"/>
        </w:tabs>
        <w:overflowPunct/>
        <w:autoSpaceDE/>
        <w:autoSpaceDN/>
        <w:adjustRightInd/>
        <w:spacing w:before="0"/>
        <w:textAlignment w:val="auto"/>
        <w:rPr>
          <w:lang w:eastAsia="zh-CN"/>
        </w:rPr>
      </w:pPr>
      <w:r>
        <w:rPr>
          <w:lang w:eastAsia="zh-CN"/>
        </w:rPr>
        <w:br w:type="page"/>
      </w:r>
    </w:p>
    <w:p>
      <w:pPr>
        <w:spacing w:line="360" w:lineRule="auto"/>
        <w:ind w:firstLine="480" w:firstLineChars="200"/>
        <w:rPr>
          <w:rFonts w:hint="eastAsia" w:asciiTheme="minorEastAsia" w:hAnsiTheme="minorEastAsia" w:eastAsiaTheme="minorEastAsia" w:cstheme="minorEastAsia"/>
          <w:color w:val="191919"/>
          <w:sz w:val="24"/>
          <w:szCs w:val="24"/>
          <w:shd w:val="clear" w:color="auto" w:fill="FFFFFF"/>
        </w:rPr>
      </w:pPr>
      <w:r>
        <w:rPr>
          <w:rFonts w:hint="eastAsia" w:asciiTheme="minorEastAsia" w:hAnsiTheme="minorEastAsia" w:eastAsiaTheme="minorEastAsia" w:cstheme="minorEastAsia"/>
          <w:color w:val="191919"/>
          <w:sz w:val="24"/>
          <w:szCs w:val="24"/>
          <w:shd w:val="clear" w:color="auto" w:fill="FFFFFF"/>
        </w:rPr>
        <w:t>数字支付是借助计算机、手机、智能设备等硬件设施和通信技术、人工智能和信息安全等数字科技手段实现的数字化支付方式。在疫情的影响下，全球消费模式发生转变，线上交易成为更多消费者的选择，推动了数字支付全球交易额的上升，数字支付成为全球消费者重要的支付手段。中国银联调查数据显示，中国内地77.5%的手机用户每天都会使用移动支付。翼支付是中国电信旗下的数字支付业务，是中国电信重要的创新业务之一。业务覆盖全国近400个主要城市，注册用户超5亿，合作商户超过1000万，上线商品超过1.5万款，覆盖餐饮、娱乐、交通出行、电商购物、民生缴费、通信交费等多个生活场景。</w:t>
      </w:r>
    </w:p>
    <w:p>
      <w:pPr>
        <w:spacing w:line="360" w:lineRule="auto"/>
        <w:ind w:firstLine="480" w:firstLineChars="200"/>
        <w:rPr>
          <w:rFonts w:hint="eastAsia" w:asciiTheme="minorEastAsia" w:hAnsiTheme="minorEastAsia" w:eastAsiaTheme="minorEastAsia" w:cstheme="minorEastAsia"/>
          <w:color w:val="000000" w:themeColor="text1"/>
          <w:sz w:val="24"/>
          <w:szCs w:val="24"/>
          <w:shd w:val="clear" w:color="auto" w:fill="FFFFFF"/>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FFFFFF"/>
          <w14:textFill>
            <w14:solidFill>
              <w14:schemeClr w14:val="tx1"/>
            </w14:solidFill>
          </w14:textFill>
        </w:rPr>
        <w:t>中国电信翼支付业务在发展中高度重视用户个人信息保护。通过业务创新、科技创新，提升平台的消费者权益保护能力，全方位保障消费者权益和用户个人信息安全。通过建立完善的内控机制，创新内部管理机制，强化客户服务能力和风险防控能力，建立了消费者权益保护的长效机制。</w:t>
      </w:r>
    </w:p>
    <w:p>
      <w:pPr>
        <w:spacing w:line="360" w:lineRule="auto"/>
        <w:ind w:firstLine="480" w:firstLineChars="200"/>
        <w:rPr>
          <w:rFonts w:hint="eastAsia" w:asciiTheme="minorEastAsia" w:hAnsiTheme="minorEastAsia" w:eastAsiaTheme="minorEastAsia" w:cstheme="minorEastAsia"/>
          <w:color w:val="191919"/>
          <w:sz w:val="24"/>
          <w:szCs w:val="24"/>
          <w:shd w:val="clear" w:color="auto" w:fill="FFFFFF"/>
        </w:rPr>
      </w:pPr>
      <w:r>
        <w:rPr>
          <w:rFonts w:hint="eastAsia" w:asciiTheme="minorEastAsia" w:hAnsiTheme="minorEastAsia" w:eastAsiaTheme="minorEastAsia" w:cstheme="minorEastAsia"/>
          <w:color w:val="191919"/>
          <w:sz w:val="24"/>
          <w:szCs w:val="24"/>
          <w:shd w:val="clear" w:color="auto" w:fill="FFFFFF"/>
        </w:rPr>
        <w:t>数字支付是借助计算机、手机、智能设备等硬件设施和通信技术、人工智能和信息安全等数字科技手段实现的数字化支付方式。在疫情的影响下，全球消费模式发生转变，线上交易成为更多消费者的选择，推动了数字支付全球交易额的上升，数字支付成为全球消费者重要的支付手段。中国银联调查数据显示，中国内地77.5%的手机用户每天都会使用移动支付。翼支付是中国电信旗下的数字支付业务，是中国电信重要的创新业务之一。业务覆盖全国近400个主要城市，注册用户超5亿，合作商户超过1000万，上线商品超过1.5万款，覆盖餐饮、娱乐、交通出行、电商购物、民生缴费、通信交费等多个生活场景。</w:t>
      </w:r>
    </w:p>
    <w:p>
      <w:pPr>
        <w:spacing w:line="360" w:lineRule="auto"/>
        <w:ind w:firstLine="480" w:firstLineChars="200"/>
        <w:rPr>
          <w:rFonts w:ascii="仿宋_GB2312" w:hAnsi="宋体" w:eastAsia="仿宋_GB2312" w:cs="Arial"/>
          <w:color w:val="000000" w:themeColor="text1"/>
          <w:sz w:val="32"/>
          <w:szCs w:val="32"/>
          <w:shd w:val="clear" w:color="auto" w:fill="FFFFFF"/>
          <w14:textFill>
            <w14:solidFill>
              <w14:schemeClr w14:val="tx1"/>
            </w14:solidFill>
          </w14:textFill>
        </w:rPr>
      </w:pPr>
      <w:r>
        <w:rPr>
          <w:rFonts w:hint="eastAsia" w:asciiTheme="minorEastAsia" w:hAnsiTheme="minorEastAsia" w:eastAsiaTheme="minorEastAsia" w:cstheme="minorEastAsia"/>
          <w:color w:val="000000" w:themeColor="text1"/>
          <w:sz w:val="24"/>
          <w:szCs w:val="24"/>
          <w:shd w:val="clear" w:color="auto" w:fill="FFFFFF"/>
          <w14:textFill>
            <w14:solidFill>
              <w14:schemeClr w14:val="tx1"/>
            </w14:solidFill>
          </w14:textFill>
        </w:rPr>
        <w:t>中国电信翼支付业务在发展中高度重视用户个人信息保护。通过业务创新、科技创新，提升平台的消费者权益保护能力，全方位保障消费者权益和用户个人信息安全。通过建立完善的内控机制，创新内部管理机制，强化客户服务能力和风险防控能力，建立了消费者权益保护的长效机制。</w:t>
      </w:r>
    </w:p>
    <w:p>
      <w:pPr>
        <w:pStyle w:val="3"/>
        <w:widowControl w:val="0"/>
        <w:numPr>
          <w:ilvl w:val="0"/>
          <w:numId w:val="1"/>
        </w:numPr>
        <w:pBdr>
          <w:top w:val="none" w:color="auto" w:sz="0" w:space="0"/>
          <w:left w:val="none" w:color="auto" w:sz="0" w:space="0"/>
          <w:bottom w:val="none" w:color="auto" w:sz="0" w:space="0"/>
          <w:right w:val="none" w:color="auto" w:sz="0" w:space="0"/>
          <w:between w:val="none" w:color="auto" w:sz="0" w:space="0"/>
        </w:pBdr>
        <w:tabs>
          <w:tab w:val="clear" w:pos="794"/>
          <w:tab w:val="clear" w:pos="1191"/>
          <w:tab w:val="clear" w:pos="1588"/>
          <w:tab w:val="clear" w:pos="1985"/>
        </w:tabs>
        <w:overflowPunct/>
        <w:autoSpaceDE/>
        <w:autoSpaceDN/>
        <w:adjustRightInd/>
        <w:spacing w:before="260" w:after="260" w:line="416" w:lineRule="auto"/>
        <w:jc w:val="both"/>
        <w:textAlignment w:val="auto"/>
        <w:rPr>
          <w:rFonts w:asciiTheme="majorHAnsi" w:hAnsiTheme="majorHAnsi" w:eastAsiaTheme="majorEastAsia" w:cstheme="majorBidi"/>
          <w:bCs/>
          <w:kern w:val="2"/>
          <w:sz w:val="32"/>
          <w:szCs w:val="32"/>
          <w:lang w:val="en-US" w:eastAsia="zh-CN"/>
        </w:rPr>
      </w:pPr>
      <w:r>
        <w:rPr>
          <w:rFonts w:hint="eastAsia" w:ascii="黑体" w:hAnsi="黑体" w:eastAsia="黑体" w:cs="Arial"/>
          <w:bCs/>
          <w:color w:val="191919"/>
          <w:sz w:val="32"/>
          <w:szCs w:val="32"/>
          <w:shd w:val="clear" w:color="auto" w:fill="FFFFFF"/>
        </w:rPr>
        <w:t>开展科技创新和业务创新，保护消费者合法权益</w:t>
      </w:r>
    </w:p>
    <w:p>
      <w:pPr>
        <w:pStyle w:val="125"/>
        <w:numPr>
          <w:ilvl w:val="1"/>
          <w:numId w:val="1"/>
        </w:numPr>
        <w:spacing w:after="240" w:line="300" w:lineRule="atLeast"/>
        <w:ind w:left="0" w:firstLine="0"/>
        <w:rPr>
          <w:rFonts w:hint="eastAsia" w:ascii="宋体" w:hAnsi="宋体" w:eastAsia="宋体" w:cs="宋体"/>
          <w:b/>
          <w:bCs/>
          <w:color w:val="auto"/>
          <w:sz w:val="24"/>
          <w:szCs w:val="24"/>
        </w:rPr>
      </w:pPr>
      <w:r>
        <w:rPr>
          <w:rFonts w:hint="eastAsia" w:ascii="宋体" w:hAnsi="宋体" w:eastAsia="宋体" w:cs="宋体"/>
          <w:b/>
          <w:bCs/>
          <w:color w:val="000000" w:themeColor="text1"/>
          <w:sz w:val="24"/>
          <w:szCs w:val="24"/>
          <w:shd w:val="clear" w:color="auto" w:fill="FFFFFF"/>
          <w14:textFill>
            <w14:solidFill>
              <w14:schemeClr w14:val="tx1"/>
            </w14:solidFill>
          </w14:textFill>
        </w:rPr>
        <w:t>开发新应用，创新消费者保护模式</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上线数字化消费者保护应用——“用户保护中心”，为用户提供更便捷、更透明的服务管理功能。“用户保护中心”提供安全中心、协议查询、安全课堂三大类多项能力，方便客户自助查询和管理。同时，提供智能化用户服务工具，通过“智能服务”、“智能交互”、“智能预警”，创新客户服务新模式。“智能服务”提供智能语音和在线服务，预判和回答客户的咨询，保障7×24小时服务。“智能交互”打造AI数字人客服“筱小翼”，支持智能对话交互、识别客户问题并反馈答案。“智能预警”运用智能算法模型识别客户情绪、投诉倾向，人工干预重点问题并解决。</w:t>
      </w:r>
    </w:p>
    <w:p>
      <w:pPr>
        <w:pStyle w:val="125"/>
        <w:numPr>
          <w:ilvl w:val="1"/>
          <w:numId w:val="1"/>
        </w:numPr>
        <w:spacing w:after="240" w:line="300" w:lineRule="atLeast"/>
        <w:ind w:left="0" w:firstLine="0"/>
        <w:rPr>
          <w:rFonts w:hint="eastAsia" w:ascii="宋体" w:hAnsi="宋体" w:eastAsia="宋体" w:cs="宋体"/>
          <w:b/>
          <w:bCs/>
          <w:color w:val="000000" w:themeColor="text1"/>
          <w:sz w:val="24"/>
          <w:szCs w:val="24"/>
          <w:shd w:val="clear" w:color="auto" w:fill="FFFFFF"/>
          <w:lang w:val="zh-CN" w:eastAsia="zh-CN" w:bidi="ar-SA"/>
          <w14:textFill>
            <w14:solidFill>
              <w14:schemeClr w14:val="tx1"/>
            </w14:solidFill>
          </w14:textFill>
        </w:rPr>
      </w:pPr>
      <w:r>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t>应用程序“适老化”开发，帮助老年人消除数字鸿沟</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随着数字支付加速覆盖医疗、养老、交通出行、购物等生活的方方面面，老人面临着更显著的数字鸿沟。为帮助老年人方便安全地使用数字支付业务，中国电信翼支付上线了专门服务于老年用户的“翼支付幸福版”APP。在界面功能展示方面，幸福版适应老年人习惯，采用定制化大字体和高对比度大色块，突出显示日常用到的“收付款”、“扫一扫”、“手机充值”等高频功能，既便于选择使用，还可以有效防止误触。幸福版APP还升级了语音助手交互功能，如果老年用户看不清屏幕文字，或是打字输入有困难，可以通过语音助手直接进行“人机对话”。</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为增加产品服务的陪伴感和专属性，翼支付结合老龄用户群体的差异化服务需求，推出单点受理、单点对接、单点服务的“专项服务通道”，做到每一点疑问都能给出确切的解答，每一项操作都确保老年人用户真正学会。</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为保护老年用户的账户和个人信息安全，在幸福版应用中强化了定制化智能风控产品的应用，从后台防控、业务服务和数据保护等维度筑牢安全防线，同时开展针对老年人的金融教育活动。</w:t>
      </w:r>
    </w:p>
    <w:p>
      <w:pPr>
        <w:pStyle w:val="125"/>
        <w:numPr>
          <w:ilvl w:val="1"/>
          <w:numId w:val="1"/>
        </w:numPr>
        <w:spacing w:after="240" w:line="300" w:lineRule="atLeast"/>
        <w:ind w:left="0" w:firstLine="0"/>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pPr>
      <w:r>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t>科技赋能，通过人工智能强化用户个人信息安全</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人工智能技术加大了数字支付业务的隐私泄露风险，人工智能应用采集了包括人脸、指纹、声纹、虹膜等具有很强个人属性的信息，泄露或者滥用将产生严重后果。</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中国电信翼支付高度重视人工智能爆发式增长对用户个人信息安全的巨大威胁，通过大数据模型算法，利用AI能力自主研发了人工智能风控产品“侦图”，对数据支付过程中的图片、视频、音频进行鉴别，包括证照鉴伪、虚假营业执照识别、AI换脸检测等功能，利用人工智能技术精准识别可疑用户，阻断风险认证，有效保护用户信息与数据安全。通过证照鉴伪、验证监督，识别数据信息,在身份证及营业执照鉴伪方面实现了95%以上的鉴定准确率，每年能够阻挡约上千万次虚假用户注册、数万次虚假商户注册。</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随着人工智能技术的快速发展，利用“AI换脸”等人工智能技术实施诈骗给消费者造成了巨大的损失。数字支付平台的人脸核验是帐户登陆、交易鉴权、解冻解限等核心场景的重要鉴权方式，为防止越来越多的利用“AI换脸”技术对信息安全的威胁，中国电信翼支付通过“侦图”，能够检测和识别金融业务中的换脸欺诈行为，有效防止身份冒用。</w:t>
      </w:r>
    </w:p>
    <w:p>
      <w:pPr>
        <w:pStyle w:val="3"/>
        <w:widowControl w:val="0"/>
        <w:numPr>
          <w:ilvl w:val="0"/>
          <w:numId w:val="1"/>
        </w:numPr>
        <w:pBdr>
          <w:top w:val="none" w:color="auto" w:sz="0" w:space="0"/>
          <w:left w:val="none" w:color="auto" w:sz="0" w:space="0"/>
          <w:bottom w:val="none" w:color="auto" w:sz="0" w:space="0"/>
          <w:right w:val="none" w:color="auto" w:sz="0" w:space="0"/>
          <w:between w:val="none" w:color="auto" w:sz="0" w:space="0"/>
        </w:pBdr>
        <w:tabs>
          <w:tab w:val="clear" w:pos="794"/>
          <w:tab w:val="clear" w:pos="1191"/>
          <w:tab w:val="clear" w:pos="1588"/>
          <w:tab w:val="clear" w:pos="1985"/>
        </w:tabs>
        <w:overflowPunct/>
        <w:autoSpaceDE/>
        <w:autoSpaceDN/>
        <w:adjustRightInd/>
        <w:spacing w:before="260" w:after="260" w:line="416" w:lineRule="auto"/>
        <w:ind w:left="0" w:firstLine="0"/>
        <w:jc w:val="both"/>
        <w:textAlignment w:val="auto"/>
        <w:rPr>
          <w:rFonts w:hint="default" w:asciiTheme="majorHAnsi" w:hAnsiTheme="majorHAnsi" w:eastAsiaTheme="majorEastAsia" w:cstheme="majorBidi"/>
          <w:bCs/>
          <w:kern w:val="2"/>
          <w:sz w:val="32"/>
          <w:szCs w:val="32"/>
          <w:lang w:val="en-US" w:eastAsia="zh-CN"/>
        </w:rPr>
      </w:pPr>
      <w:r>
        <w:rPr>
          <w:rFonts w:hint="default" w:asciiTheme="majorHAnsi" w:hAnsiTheme="majorHAnsi" w:eastAsiaTheme="majorEastAsia" w:cstheme="majorBidi"/>
          <w:bCs/>
          <w:kern w:val="2"/>
          <w:sz w:val="32"/>
          <w:szCs w:val="32"/>
          <w:lang w:val="en-US" w:eastAsia="zh-CN"/>
        </w:rPr>
        <w:t>建立消费者权益保护长效机制</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中国电信翼支付建立了长效消费者个人信息保护机制，通过客户服务内部管理机制、客户教育保障制度、完善的内控体系以及全流程风险管理体系，落实消费者权益保护社会责任，保护用户个人信息安全，有效保障消费者权益。</w:t>
      </w:r>
    </w:p>
    <w:p>
      <w:pPr>
        <w:pStyle w:val="125"/>
        <w:numPr>
          <w:ilvl w:val="1"/>
          <w:numId w:val="1"/>
        </w:numPr>
        <w:spacing w:after="240" w:line="300" w:lineRule="atLeast"/>
        <w:ind w:left="0" w:firstLine="0"/>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pPr>
      <w:r>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t>建立“客户说了算”机制，保障用户权益</w:t>
      </w:r>
    </w:p>
    <w:p>
      <w:pPr>
        <w:spacing w:line="360" w:lineRule="auto"/>
        <w:ind w:firstLine="480" w:firstLineChars="200"/>
        <w:rPr>
          <w:rFonts w:ascii="仿宋_GB2312" w:hAnsi="宋体" w:eastAsia="仿宋_GB2312" w:cs="Arial"/>
          <w:color w:val="000000" w:themeColor="text1"/>
          <w:sz w:val="32"/>
          <w:szCs w:val="32"/>
          <w:shd w:val="clear" w:color="auto" w:fill="FFFFFF"/>
          <w14:textFill>
            <w14:solidFill>
              <w14:schemeClr w14:val="tx1"/>
            </w14:solidFill>
          </w14:textFill>
        </w:rPr>
      </w:pPr>
      <w:r>
        <w:rPr>
          <w:rFonts w:hint="eastAsia" w:ascii="宋体" w:hAnsi="宋体" w:eastAsia="宋体" w:cs="宋体"/>
          <w:color w:val="191919"/>
          <w:sz w:val="24"/>
          <w:szCs w:val="24"/>
          <w:shd w:val="clear" w:color="auto" w:fill="FFFFFF"/>
        </w:rPr>
        <w:t>重视用户声音和反馈，建立“客户说了算”机制。通过组织架构和工作机制建设，保证用户问题的快速解决，有效保障用户合法权益。由客户权益部、法律合规部及各个业务部门组成“客诉管控专班”，建立定期分析会议、通报及督办等工作机制，通过客户投诉监控看板、工作邮件以及“客户说了算”工作群组，及时通报客户意见，快速处理、解决用户反馈的问题。</w:t>
      </w:r>
    </w:p>
    <w:p>
      <w:pPr>
        <w:pStyle w:val="125"/>
        <w:numPr>
          <w:ilvl w:val="1"/>
          <w:numId w:val="1"/>
        </w:numPr>
        <w:spacing w:after="240" w:line="300" w:lineRule="atLeast"/>
        <w:ind w:left="0" w:firstLine="0"/>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pPr>
      <w:r>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t>多元化触达的安全意识和能力教育，实现安全教育全面覆盖。</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中国电信翼支付通过线上线下多渠道进行多元化触达宣传，加强对用户的安全教育，帮助用户掌握保护个人信息和数据的基本技能，提高用户自我保护意识和能力。</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线上渠道包括发送短信、官方自媒体平台以及个性化推送等。中国电信翼支付官方自媒体平台定期发布动漫、长图等形式的安全教育信息，针对不同的人群，定向推送金融安全科普内容。“安全课堂”是翼支付在微信公众号和移动客户端专门推出的个人信息安全科普栏目，借助长图、漫画、小视频等多种传播形式，提供包括金融基础知识、网络安全、金融安全、个人信息保护、反洗钱、反网络诈骗、维权等多方面金融安全知识。</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线下通过组织“社区活动”，由风险管理部员工前往社区，组织社区街道反诈主题讲座、安全竞赛活动，普及反诈知识，推广支付、信贷安全等金融消费安全教育。</w:t>
      </w:r>
    </w:p>
    <w:p>
      <w:pPr>
        <w:pStyle w:val="125"/>
        <w:numPr>
          <w:ilvl w:val="1"/>
          <w:numId w:val="1"/>
        </w:numPr>
        <w:spacing w:after="240" w:line="300" w:lineRule="atLeast"/>
        <w:ind w:left="0" w:firstLine="0"/>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pPr>
      <w:r>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t>建立完善的消费者权益保护内部治理机制和内控体系</w:t>
      </w:r>
    </w:p>
    <w:p>
      <w:pPr>
        <w:spacing w:line="360" w:lineRule="auto"/>
        <w:ind w:firstLine="480" w:firstLineChars="200"/>
        <w:rPr>
          <w:rFonts w:hint="eastAsia" w:ascii="宋体" w:hAnsi="宋体" w:eastAsia="宋体" w:cs="宋体"/>
          <w:color w:val="191919"/>
          <w:sz w:val="24"/>
          <w:szCs w:val="24"/>
          <w:shd w:val="clear" w:color="auto" w:fill="FFFFFF"/>
        </w:rPr>
      </w:pPr>
      <w:r>
        <w:rPr>
          <w:rFonts w:hint="eastAsia" w:ascii="宋体" w:hAnsi="宋体" w:eastAsia="宋体" w:cs="宋体"/>
          <w:color w:val="191919"/>
          <w:sz w:val="24"/>
          <w:szCs w:val="24"/>
          <w:shd w:val="clear" w:color="auto" w:fill="FFFFFF"/>
        </w:rPr>
        <w:t>中国电信翼支付将消费者权益保护纳入公司治理、企业文化建设和经营发展战略，建立了全流程组织机构，并制定具体工作措施。设立包括业务部门、隐私安全合规及风险</w:t>
      </w:r>
      <w:bookmarkStart w:id="9" w:name="_GoBack"/>
      <w:bookmarkEnd w:id="9"/>
      <w:r>
        <w:rPr>
          <w:rFonts w:hint="eastAsia" w:ascii="宋体" w:hAnsi="宋体" w:eastAsia="宋体" w:cs="宋体"/>
          <w:color w:val="191919"/>
          <w:sz w:val="24"/>
          <w:szCs w:val="24"/>
          <w:shd w:val="clear" w:color="auto" w:fill="FFFFFF"/>
        </w:rPr>
        <w:t>管理职能部门、信息技术部门的金融消费者权益保护小组，构建全流程的内部治理架构，明确各个部门在保护金融消费者权益的职责义务。建立包括消费者权益保护工作考核评价、消费者金融信息保护、金融产品和服务信息披露、金融营销宣传管理、金融知识普及和金融消费者教育、金融消费者投诉处理、金融消费者权益保护工作内部监督和责任追究、金融消费者权益保护重大事件应急等全覆盖的内控制度。</w:t>
      </w:r>
    </w:p>
    <w:p>
      <w:pPr>
        <w:pStyle w:val="125"/>
        <w:numPr>
          <w:ilvl w:val="1"/>
          <w:numId w:val="1"/>
        </w:numPr>
        <w:spacing w:after="240" w:line="300" w:lineRule="atLeast"/>
        <w:ind w:left="0" w:firstLine="0"/>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pPr>
      <w:r>
        <w:rPr>
          <w:rFonts w:hint="eastAsia" w:ascii="宋体" w:hAnsi="宋体" w:eastAsia="宋体" w:cs="宋体"/>
          <w:b/>
          <w:bCs/>
          <w:color w:val="000000" w:themeColor="text1"/>
          <w:sz w:val="24"/>
          <w:szCs w:val="24"/>
          <w:shd w:val="clear" w:color="auto" w:fill="FFFFFF"/>
          <w:lang w:val="zh-CN" w:eastAsia="zh-CN"/>
          <w14:textFill>
            <w14:solidFill>
              <w14:schemeClr w14:val="tx1"/>
            </w14:solidFill>
          </w14:textFill>
        </w:rPr>
        <w:t>建立全流程风险防控体系</w:t>
      </w:r>
    </w:p>
    <w:p>
      <w:pPr>
        <w:spacing w:line="360" w:lineRule="auto"/>
        <w:ind w:firstLine="480" w:firstLineChars="200"/>
        <w:rPr>
          <w:rFonts w:hint="default" w:ascii="宋体" w:hAnsi="宋体" w:eastAsia="宋体" w:cs="宋体"/>
          <w:color w:val="191919"/>
          <w:sz w:val="24"/>
          <w:szCs w:val="24"/>
          <w:shd w:val="clear" w:color="auto" w:fill="FFFFFF"/>
          <w:lang w:val="en-US" w:eastAsia="zh-CN"/>
        </w:rPr>
      </w:pPr>
      <w:r>
        <w:rPr>
          <w:rFonts w:hint="eastAsia" w:ascii="宋体" w:hAnsi="宋体" w:eastAsia="宋体" w:cs="宋体"/>
          <w:color w:val="191919"/>
          <w:sz w:val="24"/>
          <w:szCs w:val="24"/>
          <w:shd w:val="clear" w:color="auto" w:fill="FFFFFF"/>
        </w:rPr>
        <w:t>中国电信翼支付构建了贯穿事前风险管理标准化、事中风险监测智能化、事后风险处置规范化的全流程全方位的智能风险防控体系。全方位监测分析包括客户端、图像资料、时序操作行为、交易数据、运营商大数据、行业黑名单、申请资料的多模态数据，基于视觉反诈能力和全图风控能力，实现全链路智能风险防控。2022年，拦截涉赌涉诈资金上亿元。2021年全年累积识别虚假模板证照超2万张。“风控知识图谱”建立了包含50亿实体节点（用户、设备、商户等）、十亿级关系（用户与用户、用户与设备、设备与设备等）、百亿级属性的风险知识图谱。</w:t>
      </w:r>
    </w:p>
    <w:sectPr>
      <w:headerReference r:id="rId5" w:type="first"/>
      <w:footerReference r:id="rId7" w:type="first"/>
      <w:headerReference r:id="rId4" w:type="default"/>
      <w:footerReference r:id="rId6" w:type="default"/>
      <w:pgSz w:w="11907" w:h="16834"/>
      <w:pgMar w:top="1418" w:right="1134" w:bottom="851" w:left="1134" w:header="720" w:footer="567" w:gutter="0"/>
      <w:paperSrc w:first="7" w:other="7"/>
      <w:pgNumType w:fmt="decimal"/>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Times">
    <w:altName w:val="Times New Roman"/>
    <w:panose1 w:val="00000000000000000000"/>
    <w:charset w:val="00"/>
    <w:family w:val="roman"/>
    <w:pitch w:val="default"/>
    <w:sig w:usb0="00000000" w:usb1="00000000" w:usb2="00000000" w:usb3="00000000" w:csb0="00000001" w:csb1="00000000"/>
  </w:font>
  <w:font w:name="Times New Roman Bold">
    <w:altName w:val="Times New Roman"/>
    <w:panose1 w:val="02020803070505020304"/>
    <w:charset w:val="00"/>
    <w:family w:val="roman"/>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Helvetica">
    <w:altName w:val="Arial"/>
    <w:panose1 w:val="020B0604020202020204"/>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Simplified Arabic">
    <w:altName w:val="Times New Roman"/>
    <w:panose1 w:val="02020603050405020304"/>
    <w:charset w:val="00"/>
    <w:family w:val="roman"/>
    <w:pitch w:val="default"/>
    <w:sig w:usb0="00000000" w:usb1="00000000" w:usb2="00000000" w:usb3="00000000" w:csb0="00000041" w:csb1="20080000"/>
  </w:font>
  <w:font w:name="方正小标宋简体">
    <w:altName w:val="方正舒体"/>
    <w:panose1 w:val="03000509000000000000"/>
    <w:charset w:val="86"/>
    <w:family w:val="script"/>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3"/>
      <w:rPr>
        <w:caps w:val="0"/>
        <w:sz w:val="18"/>
        <w:szCs w:val="18"/>
        <w:lang w:val="en-GB"/>
      </w:rPr>
    </w:pPr>
    <w:r>
      <w:rPr>
        <w:caps w:val="0"/>
        <w:sz w:val="18"/>
        <w:szCs w:val="18"/>
        <w:lang w:val="en-US"/>
      </w:rPr>
      <w:tab/>
    </w:r>
    <w:r>
      <w:rPr>
        <w:caps w:val="0"/>
        <w:sz w:val="18"/>
        <w:szCs w:val="18"/>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0"/>
      <w:tabs>
        <w:tab w:val="left" w:pos="1559"/>
        <w:tab w:val="left" w:pos="3828"/>
      </w:tabs>
      <w:spacing w:before="0"/>
      <w:ind w:firstLine="1559"/>
      <w:rPr>
        <w:sz w:val="18"/>
        <w:szCs w:val="18"/>
      </w:rPr>
    </w:pPr>
  </w:p>
  <w:tbl>
    <w:tblPr>
      <w:tblStyle w:val="34"/>
      <w:tblW w:w="98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6"/>
      <w:gridCol w:w="2410"/>
      <w:gridCol w:w="59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Borders>
            <w:top w:val="single" w:color="000000" w:themeColor="text1" w:sz="4" w:space="0"/>
          </w:tcBorders>
        </w:tcPr>
        <w:p>
          <w:pPr>
            <w:pStyle w:val="60"/>
            <w:tabs>
              <w:tab w:val="left" w:pos="2302"/>
            </w:tabs>
            <w:ind w:left="2302" w:hanging="2302"/>
            <w:rPr>
              <w:rFonts w:hint="eastAsia" w:eastAsia="宋体"/>
              <w:sz w:val="18"/>
              <w:szCs w:val="18"/>
              <w:lang w:val="en-US" w:eastAsia="zh-CN"/>
            </w:rPr>
          </w:pPr>
          <w:r>
            <w:rPr>
              <w:rFonts w:hint="eastAsia" w:eastAsia="宋体"/>
              <w:sz w:val="18"/>
              <w:szCs w:val="18"/>
              <w:lang w:val="en-US" w:eastAsia="zh-CN"/>
            </w:rPr>
            <w:t>联系人</w:t>
          </w:r>
          <w:r>
            <w:rPr>
              <w:sz w:val="18"/>
              <w:szCs w:val="18"/>
              <w:lang w:val="en-US"/>
            </w:rPr>
            <w:t>:</w:t>
          </w:r>
          <w:r>
            <w:rPr>
              <w:rFonts w:hint="eastAsia" w:eastAsia="宋体"/>
              <w:sz w:val="18"/>
              <w:szCs w:val="18"/>
              <w:lang w:val="en-US" w:eastAsia="zh-CN"/>
            </w:rPr>
            <w:t>刘湜</w:t>
          </w:r>
        </w:p>
      </w:tc>
      <w:tc>
        <w:tcPr>
          <w:tcW w:w="2410" w:type="dxa"/>
          <w:tcBorders>
            <w:top w:val="single" w:color="000000" w:themeColor="text1" w:sz="4" w:space="0"/>
          </w:tcBorders>
        </w:tcPr>
        <w:p>
          <w:pPr>
            <w:pStyle w:val="60"/>
            <w:tabs>
              <w:tab w:val="left" w:pos="2302"/>
            </w:tabs>
            <w:ind w:left="2302" w:hanging="2302"/>
            <w:rPr>
              <w:sz w:val="18"/>
              <w:szCs w:val="18"/>
              <w:lang w:val="en-US"/>
            </w:rPr>
          </w:pPr>
          <w:r>
            <w:rPr>
              <w:rFonts w:hint="eastAsia" w:eastAsia="宋体"/>
              <w:sz w:val="18"/>
              <w:szCs w:val="18"/>
              <w:lang w:val="en-US" w:eastAsia="zh-CN"/>
            </w:rPr>
            <w:t>姓名/组织/实体</w:t>
          </w:r>
          <w:r>
            <w:rPr>
              <w:sz w:val="18"/>
              <w:szCs w:val="18"/>
              <w:lang w:val="en-US"/>
            </w:rPr>
            <w:t>:</w:t>
          </w:r>
        </w:p>
      </w:tc>
      <w:tc>
        <w:tcPr>
          <w:tcW w:w="5919" w:type="dxa"/>
          <w:tcBorders>
            <w:top w:val="single" w:color="000000" w:themeColor="text1" w:sz="4" w:space="0"/>
          </w:tcBorders>
        </w:tcPr>
        <w:p>
          <w:pPr>
            <w:pStyle w:val="60"/>
            <w:tabs>
              <w:tab w:val="left" w:pos="2302"/>
            </w:tabs>
            <w:ind w:left="2302" w:hanging="2302"/>
            <w:rPr>
              <w:rFonts w:hint="default" w:eastAsia="宋体"/>
              <w:sz w:val="18"/>
              <w:szCs w:val="18"/>
              <w:lang w:val="en-US" w:eastAsia="zh-CN"/>
            </w:rPr>
          </w:pPr>
          <w:r>
            <w:rPr>
              <w:rFonts w:hint="eastAsia" w:eastAsia="宋体"/>
              <w:sz w:val="18"/>
              <w:szCs w:val="18"/>
              <w:lang w:val="en-US" w:eastAsia="zh-CN"/>
            </w:rPr>
            <w:t>中国电信股份有限公司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Pr>
        <w:p>
          <w:pPr>
            <w:pStyle w:val="60"/>
            <w:tabs>
              <w:tab w:val="left" w:pos="2302"/>
            </w:tabs>
            <w:ind w:left="2302" w:hanging="2302"/>
            <w:rPr>
              <w:sz w:val="18"/>
              <w:szCs w:val="18"/>
              <w:lang w:val="en-US"/>
            </w:rPr>
          </w:pPr>
        </w:p>
      </w:tc>
      <w:tc>
        <w:tcPr>
          <w:tcW w:w="2410" w:type="dxa"/>
        </w:tcPr>
        <w:p>
          <w:pPr>
            <w:pStyle w:val="60"/>
            <w:tabs>
              <w:tab w:val="left" w:pos="2302"/>
            </w:tabs>
            <w:rPr>
              <w:sz w:val="18"/>
              <w:szCs w:val="18"/>
              <w:lang w:val="en-US"/>
            </w:rPr>
          </w:pPr>
          <w:r>
            <w:rPr>
              <w:rFonts w:hint="eastAsia" w:eastAsia="宋体"/>
              <w:sz w:val="18"/>
              <w:szCs w:val="18"/>
              <w:lang w:val="en-US" w:eastAsia="zh-CN"/>
            </w:rPr>
            <w:t>电话</w:t>
          </w:r>
          <w:r>
            <w:rPr>
              <w:sz w:val="18"/>
              <w:szCs w:val="18"/>
              <w:lang w:val="en-US"/>
            </w:rPr>
            <w:t>:</w:t>
          </w:r>
        </w:p>
      </w:tc>
      <w:tc>
        <w:tcPr>
          <w:tcW w:w="5919" w:type="dxa"/>
        </w:tcPr>
        <w:p>
          <w:pPr>
            <w:pStyle w:val="60"/>
            <w:tabs>
              <w:tab w:val="left" w:pos="2302"/>
            </w:tabs>
            <w:ind w:left="2302" w:hanging="2302"/>
            <w:rPr>
              <w:rFonts w:hint="default" w:eastAsia="宋体"/>
              <w:sz w:val="18"/>
              <w:szCs w:val="18"/>
              <w:lang w:val="en-US" w:eastAsia="zh-CN"/>
            </w:rPr>
          </w:pPr>
          <w:r>
            <w:rPr>
              <w:rFonts w:hint="eastAsia" w:eastAsia="宋体"/>
              <w:sz w:val="18"/>
              <w:szCs w:val="18"/>
              <w:lang w:val="en-US" w:eastAsia="zh-CN"/>
            </w:rPr>
            <w:t>010-58501186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26" w:type="dxa"/>
        </w:tcPr>
        <w:p>
          <w:pPr>
            <w:pStyle w:val="60"/>
            <w:tabs>
              <w:tab w:val="left" w:pos="2302"/>
            </w:tabs>
            <w:ind w:left="2302" w:hanging="2302"/>
            <w:rPr>
              <w:sz w:val="18"/>
              <w:szCs w:val="18"/>
              <w:lang w:val="en-US"/>
            </w:rPr>
          </w:pPr>
        </w:p>
      </w:tc>
      <w:tc>
        <w:tcPr>
          <w:tcW w:w="2410" w:type="dxa"/>
        </w:tcPr>
        <w:p>
          <w:pPr>
            <w:pStyle w:val="60"/>
            <w:tabs>
              <w:tab w:val="left" w:pos="2302"/>
            </w:tabs>
            <w:ind w:left="2302" w:hanging="2302"/>
            <w:rPr>
              <w:sz w:val="18"/>
              <w:szCs w:val="18"/>
              <w:lang w:val="en-US"/>
            </w:rPr>
          </w:pPr>
          <w:r>
            <w:rPr>
              <w:sz w:val="18"/>
              <w:szCs w:val="18"/>
              <w:lang w:val="en-US"/>
            </w:rPr>
            <w:t>E-mail:</w:t>
          </w:r>
        </w:p>
      </w:tc>
      <w:tc>
        <w:tcPr>
          <w:tcW w:w="5919" w:type="dxa"/>
        </w:tcPr>
        <w:p>
          <w:pPr>
            <w:pStyle w:val="60"/>
            <w:tabs>
              <w:tab w:val="left" w:pos="2302"/>
            </w:tabs>
            <w:ind w:left="2302" w:hanging="2302"/>
            <w:rPr>
              <w:rFonts w:hint="eastAsia"/>
              <w:sz w:val="18"/>
              <w:szCs w:val="18"/>
              <w:lang w:val="en-US"/>
            </w:rPr>
          </w:pPr>
          <w:r>
            <w:rPr>
              <w:rFonts w:hint="eastAsia"/>
              <w:sz w:val="18"/>
              <w:szCs w:val="18"/>
              <w:lang w:val="en-US"/>
            </w:rPr>
            <w:t>liushi@chinatelecom.cn</w:t>
          </w:r>
        </w:p>
      </w:tc>
    </w:tr>
  </w:tbl>
  <w:p>
    <w:pPr>
      <w:pStyle w:val="60"/>
      <w:tabs>
        <w:tab w:val="left" w:pos="2302"/>
      </w:tabs>
      <w:ind w:left="2302" w:hanging="2302"/>
      <w:rPr>
        <w:sz w:val="18"/>
        <w:szCs w:val="18"/>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tabs>
        <w:tab w:val="center" w:pos="4820"/>
        <w:tab w:val="right" w:pos="9639"/>
      </w:tabs>
      <w:jc w:val="left"/>
      <w:rPr>
        <w:rStyle w:val="39"/>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24"/>
                    </w:pPr>
                    <w:r>
                      <w:fldChar w:fldCharType="begin"/>
                    </w:r>
                    <w:r>
                      <w:instrText xml:space="preserve"> PAGE  \* MERGEFORMAT </w:instrText>
                    </w:r>
                    <w:r>
                      <w:fldChar w:fldCharType="separate"/>
                    </w:r>
                    <w:r>
                      <w:t>2</w:t>
                    </w:r>
                    <w:r>
                      <w:fldChar w:fldCharType="end"/>
                    </w:r>
                  </w:p>
                </w:txbxContent>
              </v:textbox>
            </v:shape>
          </w:pict>
        </mc:Fallback>
      </mc:AlternateContent>
    </w:r>
    <w:r>
      <w:tab/>
    </w:r>
    <w:r>
      <w:rPr>
        <w:sz w:val="24"/>
        <w:szCs w:val="24"/>
        <w:lang w:val="en-GB"/>
      </w:rPr>
      <w:tab/>
    </w:r>
    <w:sdt>
      <w:sdtPr>
        <w:rPr>
          <w:rFonts w:eastAsia="黑体" w:cs="Simplified Arabic"/>
          <w:bCs/>
          <w:smallCaps/>
          <w:spacing w:val="24"/>
          <w:sz w:val="22"/>
          <w:szCs w:val="22"/>
          <w:lang w:val="en-US" w:eastAsia="zh-CN"/>
        </w:rPr>
        <w:id w:val="637703110"/>
        <w:showingPlcHdr/>
      </w:sdtPr>
      <w:sdtEndPr>
        <w:rPr>
          <w:rFonts w:eastAsia="黑体" w:cs="Simplified Arabic"/>
          <w:bCs/>
          <w:smallCaps/>
          <w:spacing w:val="24"/>
          <w:sz w:val="22"/>
          <w:szCs w:val="22"/>
          <w:lang w:val="en-US" w:eastAsia="zh-CN"/>
        </w:rPr>
      </w:sdtEndP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pPr>
                      <w:pStyle w:val="24"/>
                    </w:pPr>
                    <w:r>
                      <w:fldChar w:fldCharType="begin"/>
                    </w:r>
                    <w:r>
                      <w:instrText xml:space="preserve"> PAGE  \* MERGEFORMAT </w:instrText>
                    </w:r>
                    <w:r>
                      <w:fldChar w:fldCharType="separate"/>
                    </w:r>
                    <w:r>
                      <w:t>1</w:t>
                    </w:r>
                    <w: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764E21"/>
    <w:multiLevelType w:val="multilevel"/>
    <w:tmpl w:val="47764E21"/>
    <w:lvl w:ilvl="0" w:tentative="0">
      <w:start w:val="1"/>
      <w:numFmt w:val="decimal"/>
      <w:lvlText w:val="%1."/>
      <w:lvlJc w:val="left"/>
      <w:pPr>
        <w:ind w:left="360" w:hanging="360"/>
      </w:pPr>
      <w:rPr>
        <w:rFonts w:hint="default"/>
      </w:rPr>
    </w:lvl>
    <w:lvl w:ilvl="1" w:tentative="0">
      <w:start w:val="1"/>
      <w:numFmt w:val="decimal"/>
      <w:isLgl/>
      <w:lvlText w:val="%1.%2"/>
      <w:lvlJc w:val="left"/>
      <w:pPr>
        <w:ind w:left="795" w:hanging="795"/>
      </w:pPr>
      <w:rPr>
        <w:rFonts w:hint="default"/>
      </w:rPr>
    </w:lvl>
    <w:lvl w:ilvl="2" w:tentative="0">
      <w:start w:val="1"/>
      <w:numFmt w:val="decimal"/>
      <w:isLgl/>
      <w:lvlText w:val="%1.%2.%3"/>
      <w:lvlJc w:val="left"/>
      <w:pPr>
        <w:ind w:left="795" w:hanging="795"/>
      </w:pPr>
      <w:rPr>
        <w:rFonts w:hint="default"/>
      </w:rPr>
    </w:lvl>
    <w:lvl w:ilvl="3" w:tentative="0">
      <w:start w:val="1"/>
      <w:numFmt w:val="decimal"/>
      <w:isLgl/>
      <w:lvlText w:val="%1.%2.%3.%4"/>
      <w:lvlJc w:val="left"/>
      <w:pPr>
        <w:ind w:left="795" w:hanging="795"/>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rawingGridHorizontalSpacing w:val="120"/>
  <w:drawingGridVerticalSpacing w:val="120"/>
  <w:displayHorizontalDrawingGridEvery w:val="1"/>
  <w:displayVerticalDrawingGridEvery w:val="1"/>
  <w:doNotUseMarginsForDrawingGridOrigin w:val="1"/>
  <w:drawingGridHorizontalOrigin w:val="1800"/>
  <w:drawingGridVerticalOrigin w:val="1440"/>
  <w:doNotShadeFormData w:val="1"/>
  <w:noPunctuationKerning w:val="1"/>
  <w:characterSpacingControl w:val="doNotCompress"/>
  <w:footnotePr>
    <w:footnote w:id="0"/>
    <w:footnote w:id="1"/>
  </w:foot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QxNDRlMWE1NWFhM2Q3MDU1YzNjMzliY2Q2NmY3ZDUifQ=="/>
  </w:docVars>
  <w:rsids>
    <w:rsidRoot w:val="00575659"/>
    <w:rsid w:val="00002716"/>
    <w:rsid w:val="00005791"/>
    <w:rsid w:val="0002520B"/>
    <w:rsid w:val="00036756"/>
    <w:rsid w:val="00037A9E"/>
    <w:rsid w:val="00037F91"/>
    <w:rsid w:val="00042A86"/>
    <w:rsid w:val="00050BEE"/>
    <w:rsid w:val="000539F1"/>
    <w:rsid w:val="00055A2A"/>
    <w:rsid w:val="00060AAE"/>
    <w:rsid w:val="000615C1"/>
    <w:rsid w:val="00073960"/>
    <w:rsid w:val="000774FF"/>
    <w:rsid w:val="000842EF"/>
    <w:rsid w:val="0009225C"/>
    <w:rsid w:val="000A17C4"/>
    <w:rsid w:val="000B1F25"/>
    <w:rsid w:val="000B2352"/>
    <w:rsid w:val="000C5675"/>
    <w:rsid w:val="000C7B84"/>
    <w:rsid w:val="000D261B"/>
    <w:rsid w:val="000D58A3"/>
    <w:rsid w:val="000E3ED4"/>
    <w:rsid w:val="000F6644"/>
    <w:rsid w:val="0010013C"/>
    <w:rsid w:val="00100833"/>
    <w:rsid w:val="00113EE8"/>
    <w:rsid w:val="0011455A"/>
    <w:rsid w:val="00114A65"/>
    <w:rsid w:val="00137109"/>
    <w:rsid w:val="00141699"/>
    <w:rsid w:val="00142A37"/>
    <w:rsid w:val="00147000"/>
    <w:rsid w:val="00163091"/>
    <w:rsid w:val="001635B0"/>
    <w:rsid w:val="001645CB"/>
    <w:rsid w:val="00166305"/>
    <w:rsid w:val="001703C6"/>
    <w:rsid w:val="00173781"/>
    <w:rsid w:val="00175CAE"/>
    <w:rsid w:val="001828DB"/>
    <w:rsid w:val="001850FE"/>
    <w:rsid w:val="00185135"/>
    <w:rsid w:val="0019037C"/>
    <w:rsid w:val="001905A9"/>
    <w:rsid w:val="00191273"/>
    <w:rsid w:val="00192636"/>
    <w:rsid w:val="001942A7"/>
    <w:rsid w:val="001953E4"/>
    <w:rsid w:val="0019587B"/>
    <w:rsid w:val="001A163D"/>
    <w:rsid w:val="001A2A49"/>
    <w:rsid w:val="001A441E"/>
    <w:rsid w:val="001B0279"/>
    <w:rsid w:val="001B357F"/>
    <w:rsid w:val="001C29A0"/>
    <w:rsid w:val="001C3702"/>
    <w:rsid w:val="001C4656"/>
    <w:rsid w:val="001E3C4A"/>
    <w:rsid w:val="001F1B3F"/>
    <w:rsid w:val="001F23E6"/>
    <w:rsid w:val="001F3BAC"/>
    <w:rsid w:val="001F4238"/>
    <w:rsid w:val="00200A38"/>
    <w:rsid w:val="00200A46"/>
    <w:rsid w:val="00211B6F"/>
    <w:rsid w:val="002121C4"/>
    <w:rsid w:val="00216444"/>
    <w:rsid w:val="00217CC3"/>
    <w:rsid w:val="00220AB6"/>
    <w:rsid w:val="0022120F"/>
    <w:rsid w:val="0022754A"/>
    <w:rsid w:val="00227971"/>
    <w:rsid w:val="00236560"/>
    <w:rsid w:val="0023662E"/>
    <w:rsid w:val="00245D0F"/>
    <w:rsid w:val="002548C3"/>
    <w:rsid w:val="00257ACD"/>
    <w:rsid w:val="00262908"/>
    <w:rsid w:val="002650F4"/>
    <w:rsid w:val="002657AE"/>
    <w:rsid w:val="002715FD"/>
    <w:rsid w:val="00272FAC"/>
    <w:rsid w:val="00281B07"/>
    <w:rsid w:val="00285B33"/>
    <w:rsid w:val="00287736"/>
    <w:rsid w:val="0029427C"/>
    <w:rsid w:val="002A309D"/>
    <w:rsid w:val="002C1EC7"/>
    <w:rsid w:val="002C7707"/>
    <w:rsid w:val="002C7EA3"/>
    <w:rsid w:val="002D20AE"/>
    <w:rsid w:val="002D6C61"/>
    <w:rsid w:val="002E2104"/>
    <w:rsid w:val="002E4DA2"/>
    <w:rsid w:val="002E5DE0"/>
    <w:rsid w:val="002E6963"/>
    <w:rsid w:val="002F0381"/>
    <w:rsid w:val="002F05D8"/>
    <w:rsid w:val="002F2DE0"/>
    <w:rsid w:val="002F5E25"/>
    <w:rsid w:val="002F5ED3"/>
    <w:rsid w:val="003125C3"/>
    <w:rsid w:val="00312AE6"/>
    <w:rsid w:val="00317D1A"/>
    <w:rsid w:val="003211FF"/>
    <w:rsid w:val="003247CE"/>
    <w:rsid w:val="00327247"/>
    <w:rsid w:val="00327253"/>
    <w:rsid w:val="0032770D"/>
    <w:rsid w:val="00327A9D"/>
    <w:rsid w:val="0033130E"/>
    <w:rsid w:val="0035607D"/>
    <w:rsid w:val="00357713"/>
    <w:rsid w:val="00360B73"/>
    <w:rsid w:val="00374416"/>
    <w:rsid w:val="0038365A"/>
    <w:rsid w:val="00386A89"/>
    <w:rsid w:val="0039648E"/>
    <w:rsid w:val="003A5AFE"/>
    <w:rsid w:val="003A5D5F"/>
    <w:rsid w:val="003A7FFE"/>
    <w:rsid w:val="003B0A63"/>
    <w:rsid w:val="003B147E"/>
    <w:rsid w:val="003B3001"/>
    <w:rsid w:val="003B50E1"/>
    <w:rsid w:val="003C1746"/>
    <w:rsid w:val="003C58BF"/>
    <w:rsid w:val="003C6CCD"/>
    <w:rsid w:val="003C7B97"/>
    <w:rsid w:val="003D2CE1"/>
    <w:rsid w:val="003D451D"/>
    <w:rsid w:val="003F131C"/>
    <w:rsid w:val="003F2DD8"/>
    <w:rsid w:val="003F50B2"/>
    <w:rsid w:val="00401BFF"/>
    <w:rsid w:val="004022F9"/>
    <w:rsid w:val="004122C5"/>
    <w:rsid w:val="00412413"/>
    <w:rsid w:val="00413B78"/>
    <w:rsid w:val="004161DB"/>
    <w:rsid w:val="0041676B"/>
    <w:rsid w:val="00416DDE"/>
    <w:rsid w:val="00423B68"/>
    <w:rsid w:val="00432588"/>
    <w:rsid w:val="0044411E"/>
    <w:rsid w:val="00453435"/>
    <w:rsid w:val="00453474"/>
    <w:rsid w:val="00466398"/>
    <w:rsid w:val="00485223"/>
    <w:rsid w:val="0049128B"/>
    <w:rsid w:val="004936D7"/>
    <w:rsid w:val="00493B49"/>
    <w:rsid w:val="00495501"/>
    <w:rsid w:val="004A070A"/>
    <w:rsid w:val="004A1353"/>
    <w:rsid w:val="004A320E"/>
    <w:rsid w:val="004A4E9C"/>
    <w:rsid w:val="004A599D"/>
    <w:rsid w:val="004B1A3C"/>
    <w:rsid w:val="004B4833"/>
    <w:rsid w:val="004B6C94"/>
    <w:rsid w:val="004C5C6B"/>
    <w:rsid w:val="004D2CC3"/>
    <w:rsid w:val="004D35CB"/>
    <w:rsid w:val="004E20E5"/>
    <w:rsid w:val="004E64EA"/>
    <w:rsid w:val="004E6DB1"/>
    <w:rsid w:val="004E7828"/>
    <w:rsid w:val="004F402F"/>
    <w:rsid w:val="004F46AA"/>
    <w:rsid w:val="004F50D8"/>
    <w:rsid w:val="004F6A70"/>
    <w:rsid w:val="00502ABF"/>
    <w:rsid w:val="00503647"/>
    <w:rsid w:val="00504DB0"/>
    <w:rsid w:val="005414C6"/>
    <w:rsid w:val="0054420E"/>
    <w:rsid w:val="00544D1B"/>
    <w:rsid w:val="00545DC0"/>
    <w:rsid w:val="00545F6C"/>
    <w:rsid w:val="0055296E"/>
    <w:rsid w:val="00554989"/>
    <w:rsid w:val="0055599B"/>
    <w:rsid w:val="00556D7F"/>
    <w:rsid w:val="0055720C"/>
    <w:rsid w:val="0056423B"/>
    <w:rsid w:val="00573424"/>
    <w:rsid w:val="0057402F"/>
    <w:rsid w:val="00575659"/>
    <w:rsid w:val="005831B5"/>
    <w:rsid w:val="005849D6"/>
    <w:rsid w:val="00585367"/>
    <w:rsid w:val="00592518"/>
    <w:rsid w:val="00592E87"/>
    <w:rsid w:val="00594C4D"/>
    <w:rsid w:val="00595229"/>
    <w:rsid w:val="00595E45"/>
    <w:rsid w:val="00596AEB"/>
    <w:rsid w:val="005A1981"/>
    <w:rsid w:val="005A23D6"/>
    <w:rsid w:val="005A33B0"/>
    <w:rsid w:val="005B3B50"/>
    <w:rsid w:val="005C2DC2"/>
    <w:rsid w:val="005C304A"/>
    <w:rsid w:val="005D02D3"/>
    <w:rsid w:val="005D57C8"/>
    <w:rsid w:val="005D6F44"/>
    <w:rsid w:val="005D7761"/>
    <w:rsid w:val="005E0278"/>
    <w:rsid w:val="005E3CA0"/>
    <w:rsid w:val="005E44B1"/>
    <w:rsid w:val="005E4F20"/>
    <w:rsid w:val="005E67B0"/>
    <w:rsid w:val="005E7047"/>
    <w:rsid w:val="005E777F"/>
    <w:rsid w:val="005F1CA7"/>
    <w:rsid w:val="005F2F31"/>
    <w:rsid w:val="005F43DD"/>
    <w:rsid w:val="005F51A9"/>
    <w:rsid w:val="005F6041"/>
    <w:rsid w:val="005F7416"/>
    <w:rsid w:val="00600C11"/>
    <w:rsid w:val="006036B5"/>
    <w:rsid w:val="00606B89"/>
    <w:rsid w:val="00625FB8"/>
    <w:rsid w:val="006261BD"/>
    <w:rsid w:val="00627691"/>
    <w:rsid w:val="00633C30"/>
    <w:rsid w:val="00636284"/>
    <w:rsid w:val="0064458E"/>
    <w:rsid w:val="0064734E"/>
    <w:rsid w:val="00650137"/>
    <w:rsid w:val="006509D7"/>
    <w:rsid w:val="0065521B"/>
    <w:rsid w:val="006558F8"/>
    <w:rsid w:val="00656748"/>
    <w:rsid w:val="00657281"/>
    <w:rsid w:val="006604DB"/>
    <w:rsid w:val="006709FF"/>
    <w:rsid w:val="00671EF6"/>
    <w:rsid w:val="0067205B"/>
    <w:rsid w:val="006748F8"/>
    <w:rsid w:val="00680489"/>
    <w:rsid w:val="00697AEC"/>
    <w:rsid w:val="006A1A23"/>
    <w:rsid w:val="006A50E2"/>
    <w:rsid w:val="006A619F"/>
    <w:rsid w:val="006A7710"/>
    <w:rsid w:val="006A7A61"/>
    <w:rsid w:val="006B2653"/>
    <w:rsid w:val="006B2FFB"/>
    <w:rsid w:val="006B5CAA"/>
    <w:rsid w:val="006C10A2"/>
    <w:rsid w:val="006C1F18"/>
    <w:rsid w:val="006C69B0"/>
    <w:rsid w:val="006D40D5"/>
    <w:rsid w:val="006D5EC0"/>
    <w:rsid w:val="006E1078"/>
    <w:rsid w:val="006F009A"/>
    <w:rsid w:val="006F3D93"/>
    <w:rsid w:val="006F49D8"/>
    <w:rsid w:val="007019B1"/>
    <w:rsid w:val="00703E66"/>
    <w:rsid w:val="007144FD"/>
    <w:rsid w:val="00717FED"/>
    <w:rsid w:val="00721657"/>
    <w:rsid w:val="00727B1A"/>
    <w:rsid w:val="0073441C"/>
    <w:rsid w:val="007366C8"/>
    <w:rsid w:val="00752258"/>
    <w:rsid w:val="00762880"/>
    <w:rsid w:val="00765C63"/>
    <w:rsid w:val="00772290"/>
    <w:rsid w:val="00775265"/>
    <w:rsid w:val="00777265"/>
    <w:rsid w:val="007805E7"/>
    <w:rsid w:val="0078139A"/>
    <w:rsid w:val="0078222A"/>
    <w:rsid w:val="00787D48"/>
    <w:rsid w:val="007902F1"/>
    <w:rsid w:val="007A4E50"/>
    <w:rsid w:val="007A51EC"/>
    <w:rsid w:val="007B13B0"/>
    <w:rsid w:val="007B18A7"/>
    <w:rsid w:val="007B250E"/>
    <w:rsid w:val="007C27FC"/>
    <w:rsid w:val="007C51FF"/>
    <w:rsid w:val="007D1E5F"/>
    <w:rsid w:val="007D50E4"/>
    <w:rsid w:val="007E43A6"/>
    <w:rsid w:val="007E5DFF"/>
    <w:rsid w:val="007F690E"/>
    <w:rsid w:val="008010FF"/>
    <w:rsid w:val="008028CE"/>
    <w:rsid w:val="008029FE"/>
    <w:rsid w:val="00802A1F"/>
    <w:rsid w:val="0080332E"/>
    <w:rsid w:val="00811231"/>
    <w:rsid w:val="00811996"/>
    <w:rsid w:val="008141E0"/>
    <w:rsid w:val="00816EE1"/>
    <w:rsid w:val="00816F88"/>
    <w:rsid w:val="0082140F"/>
    <w:rsid w:val="00822323"/>
    <w:rsid w:val="00823118"/>
    <w:rsid w:val="00830442"/>
    <w:rsid w:val="00833024"/>
    <w:rsid w:val="008430E8"/>
    <w:rsid w:val="00844A56"/>
    <w:rsid w:val="00845014"/>
    <w:rsid w:val="00846858"/>
    <w:rsid w:val="00850B64"/>
    <w:rsid w:val="00850E2B"/>
    <w:rsid w:val="00851FA7"/>
    <w:rsid w:val="00852081"/>
    <w:rsid w:val="008572D9"/>
    <w:rsid w:val="00857D10"/>
    <w:rsid w:val="008717AC"/>
    <w:rsid w:val="00874DFD"/>
    <w:rsid w:val="00876A6D"/>
    <w:rsid w:val="00883086"/>
    <w:rsid w:val="008879FD"/>
    <w:rsid w:val="00894C37"/>
    <w:rsid w:val="008A00EA"/>
    <w:rsid w:val="008A21B7"/>
    <w:rsid w:val="008A3F93"/>
    <w:rsid w:val="008A48E7"/>
    <w:rsid w:val="008A6236"/>
    <w:rsid w:val="008A6E1C"/>
    <w:rsid w:val="008A72FD"/>
    <w:rsid w:val="008B2EDF"/>
    <w:rsid w:val="008B54CB"/>
    <w:rsid w:val="008B5A3D"/>
    <w:rsid w:val="008C2B02"/>
    <w:rsid w:val="008C4010"/>
    <w:rsid w:val="008C4FDF"/>
    <w:rsid w:val="008C6B1F"/>
    <w:rsid w:val="008D4A9C"/>
    <w:rsid w:val="008D50C0"/>
    <w:rsid w:val="008D5E4F"/>
    <w:rsid w:val="008E38A3"/>
    <w:rsid w:val="008F0793"/>
    <w:rsid w:val="008F14F5"/>
    <w:rsid w:val="008F71C1"/>
    <w:rsid w:val="00902D41"/>
    <w:rsid w:val="00914004"/>
    <w:rsid w:val="00922219"/>
    <w:rsid w:val="00922EC1"/>
    <w:rsid w:val="009301F1"/>
    <w:rsid w:val="00931970"/>
    <w:rsid w:val="009359B8"/>
    <w:rsid w:val="009431F8"/>
    <w:rsid w:val="00943279"/>
    <w:rsid w:val="00947A35"/>
    <w:rsid w:val="00963C3C"/>
    <w:rsid w:val="00966CB5"/>
    <w:rsid w:val="00972B69"/>
    <w:rsid w:val="00975786"/>
    <w:rsid w:val="009760B9"/>
    <w:rsid w:val="00981CB7"/>
    <w:rsid w:val="00983E1F"/>
    <w:rsid w:val="00993F46"/>
    <w:rsid w:val="00997358"/>
    <w:rsid w:val="009A10BA"/>
    <w:rsid w:val="009A209D"/>
    <w:rsid w:val="009A3915"/>
    <w:rsid w:val="009A452B"/>
    <w:rsid w:val="009B050C"/>
    <w:rsid w:val="009B087F"/>
    <w:rsid w:val="009C110B"/>
    <w:rsid w:val="009C5441"/>
    <w:rsid w:val="009D119F"/>
    <w:rsid w:val="009D36DE"/>
    <w:rsid w:val="009F3940"/>
    <w:rsid w:val="009F3EB2"/>
    <w:rsid w:val="009F6EB1"/>
    <w:rsid w:val="00A00E41"/>
    <w:rsid w:val="00A20267"/>
    <w:rsid w:val="00A23EBC"/>
    <w:rsid w:val="00A3158C"/>
    <w:rsid w:val="00A32FEF"/>
    <w:rsid w:val="00A33E32"/>
    <w:rsid w:val="00A345C5"/>
    <w:rsid w:val="00A413A6"/>
    <w:rsid w:val="00A4203A"/>
    <w:rsid w:val="00A53E7C"/>
    <w:rsid w:val="00A57B19"/>
    <w:rsid w:val="00A60087"/>
    <w:rsid w:val="00A705E8"/>
    <w:rsid w:val="00A74E0B"/>
    <w:rsid w:val="00A83B08"/>
    <w:rsid w:val="00A9392C"/>
    <w:rsid w:val="00A9462B"/>
    <w:rsid w:val="00A97D59"/>
    <w:rsid w:val="00AA193B"/>
    <w:rsid w:val="00AA3E09"/>
    <w:rsid w:val="00AA4BEF"/>
    <w:rsid w:val="00AB4962"/>
    <w:rsid w:val="00AB740F"/>
    <w:rsid w:val="00AC7221"/>
    <w:rsid w:val="00AD0A21"/>
    <w:rsid w:val="00AD17C0"/>
    <w:rsid w:val="00AD7958"/>
    <w:rsid w:val="00AE565A"/>
    <w:rsid w:val="00AE5961"/>
    <w:rsid w:val="00AF4010"/>
    <w:rsid w:val="00AF40B8"/>
    <w:rsid w:val="00AF4971"/>
    <w:rsid w:val="00B01046"/>
    <w:rsid w:val="00B071DC"/>
    <w:rsid w:val="00B21231"/>
    <w:rsid w:val="00B21573"/>
    <w:rsid w:val="00B26CDB"/>
    <w:rsid w:val="00B310F9"/>
    <w:rsid w:val="00B37866"/>
    <w:rsid w:val="00B412FB"/>
    <w:rsid w:val="00B4576B"/>
    <w:rsid w:val="00B46350"/>
    <w:rsid w:val="00B72B8A"/>
    <w:rsid w:val="00B7731F"/>
    <w:rsid w:val="00B83D5E"/>
    <w:rsid w:val="00B8460A"/>
    <w:rsid w:val="00B8650D"/>
    <w:rsid w:val="00B879B4"/>
    <w:rsid w:val="00B90F07"/>
    <w:rsid w:val="00B97BB9"/>
    <w:rsid w:val="00BA0009"/>
    <w:rsid w:val="00BA3179"/>
    <w:rsid w:val="00BA3F89"/>
    <w:rsid w:val="00BA4C44"/>
    <w:rsid w:val="00BA4D75"/>
    <w:rsid w:val="00BB1863"/>
    <w:rsid w:val="00BB25EE"/>
    <w:rsid w:val="00BB363A"/>
    <w:rsid w:val="00BC10A0"/>
    <w:rsid w:val="00BC161A"/>
    <w:rsid w:val="00BC54EC"/>
    <w:rsid w:val="00BC6194"/>
    <w:rsid w:val="00BC7BA2"/>
    <w:rsid w:val="00BD426B"/>
    <w:rsid w:val="00BD5A40"/>
    <w:rsid w:val="00BD79F0"/>
    <w:rsid w:val="00BE1FCD"/>
    <w:rsid w:val="00BE2B4D"/>
    <w:rsid w:val="00BF646E"/>
    <w:rsid w:val="00C015F8"/>
    <w:rsid w:val="00C049B7"/>
    <w:rsid w:val="00C055F9"/>
    <w:rsid w:val="00C07E26"/>
    <w:rsid w:val="00C1011C"/>
    <w:rsid w:val="00C11A4A"/>
    <w:rsid w:val="00C12B2A"/>
    <w:rsid w:val="00C177C5"/>
    <w:rsid w:val="00C36D5C"/>
    <w:rsid w:val="00C4038C"/>
    <w:rsid w:val="00C41A14"/>
    <w:rsid w:val="00C42BA2"/>
    <w:rsid w:val="00C44066"/>
    <w:rsid w:val="00C44E13"/>
    <w:rsid w:val="00C60A41"/>
    <w:rsid w:val="00C62DE8"/>
    <w:rsid w:val="00C62DFB"/>
    <w:rsid w:val="00C66F4D"/>
    <w:rsid w:val="00C86600"/>
    <w:rsid w:val="00C86B1E"/>
    <w:rsid w:val="00C87BCA"/>
    <w:rsid w:val="00C94506"/>
    <w:rsid w:val="00C954BC"/>
    <w:rsid w:val="00CA1F0B"/>
    <w:rsid w:val="00CB110F"/>
    <w:rsid w:val="00CB2A2E"/>
    <w:rsid w:val="00CB338A"/>
    <w:rsid w:val="00CB79C5"/>
    <w:rsid w:val="00CC400A"/>
    <w:rsid w:val="00CC411F"/>
    <w:rsid w:val="00CC4B75"/>
    <w:rsid w:val="00CC732E"/>
    <w:rsid w:val="00CD0512"/>
    <w:rsid w:val="00CD25A5"/>
    <w:rsid w:val="00CD7207"/>
    <w:rsid w:val="00CE0DBE"/>
    <w:rsid w:val="00CE5E4D"/>
    <w:rsid w:val="00CF02C4"/>
    <w:rsid w:val="00CF167F"/>
    <w:rsid w:val="00CF72E5"/>
    <w:rsid w:val="00CF7D4F"/>
    <w:rsid w:val="00D01F54"/>
    <w:rsid w:val="00D10FC7"/>
    <w:rsid w:val="00D171D4"/>
    <w:rsid w:val="00D20E99"/>
    <w:rsid w:val="00D21C83"/>
    <w:rsid w:val="00D35BDD"/>
    <w:rsid w:val="00D60817"/>
    <w:rsid w:val="00D63006"/>
    <w:rsid w:val="00D64D30"/>
    <w:rsid w:val="00D67410"/>
    <w:rsid w:val="00D72301"/>
    <w:rsid w:val="00D91B97"/>
    <w:rsid w:val="00D93ACC"/>
    <w:rsid w:val="00D93C08"/>
    <w:rsid w:val="00D95DAC"/>
    <w:rsid w:val="00DB1171"/>
    <w:rsid w:val="00DB1478"/>
    <w:rsid w:val="00DB1519"/>
    <w:rsid w:val="00DB154A"/>
    <w:rsid w:val="00DB2840"/>
    <w:rsid w:val="00DC33DC"/>
    <w:rsid w:val="00DD4F34"/>
    <w:rsid w:val="00DD66B4"/>
    <w:rsid w:val="00DE1972"/>
    <w:rsid w:val="00DE27AB"/>
    <w:rsid w:val="00DF2AB3"/>
    <w:rsid w:val="00DF3E65"/>
    <w:rsid w:val="00DF7250"/>
    <w:rsid w:val="00E00CAA"/>
    <w:rsid w:val="00E03EBF"/>
    <w:rsid w:val="00E05209"/>
    <w:rsid w:val="00E2258E"/>
    <w:rsid w:val="00E260C2"/>
    <w:rsid w:val="00E32596"/>
    <w:rsid w:val="00E368F7"/>
    <w:rsid w:val="00E36EB8"/>
    <w:rsid w:val="00E37FB8"/>
    <w:rsid w:val="00E40B07"/>
    <w:rsid w:val="00E42326"/>
    <w:rsid w:val="00E43544"/>
    <w:rsid w:val="00E44D89"/>
    <w:rsid w:val="00E46FAB"/>
    <w:rsid w:val="00E477EA"/>
    <w:rsid w:val="00E632CA"/>
    <w:rsid w:val="00E63B14"/>
    <w:rsid w:val="00E65C14"/>
    <w:rsid w:val="00E7149F"/>
    <w:rsid w:val="00E746AD"/>
    <w:rsid w:val="00E75AE7"/>
    <w:rsid w:val="00E83810"/>
    <w:rsid w:val="00E83FB2"/>
    <w:rsid w:val="00E8684B"/>
    <w:rsid w:val="00E86933"/>
    <w:rsid w:val="00E97298"/>
    <w:rsid w:val="00E97753"/>
    <w:rsid w:val="00E97E58"/>
    <w:rsid w:val="00EA2BC2"/>
    <w:rsid w:val="00EA7A5A"/>
    <w:rsid w:val="00EA7DE7"/>
    <w:rsid w:val="00EB0783"/>
    <w:rsid w:val="00EB1B90"/>
    <w:rsid w:val="00EB7A8A"/>
    <w:rsid w:val="00ED633A"/>
    <w:rsid w:val="00ED6F3E"/>
    <w:rsid w:val="00EE3A64"/>
    <w:rsid w:val="00EE5A7F"/>
    <w:rsid w:val="00EF01CF"/>
    <w:rsid w:val="00F03590"/>
    <w:rsid w:val="00F03622"/>
    <w:rsid w:val="00F06974"/>
    <w:rsid w:val="00F077FD"/>
    <w:rsid w:val="00F14483"/>
    <w:rsid w:val="00F20128"/>
    <w:rsid w:val="00F204F3"/>
    <w:rsid w:val="00F238B3"/>
    <w:rsid w:val="00F25586"/>
    <w:rsid w:val="00F2651D"/>
    <w:rsid w:val="00F31498"/>
    <w:rsid w:val="00F329B4"/>
    <w:rsid w:val="00F32FEF"/>
    <w:rsid w:val="00F34CD1"/>
    <w:rsid w:val="00F3635C"/>
    <w:rsid w:val="00F42E13"/>
    <w:rsid w:val="00F42F1C"/>
    <w:rsid w:val="00F43B44"/>
    <w:rsid w:val="00F440E5"/>
    <w:rsid w:val="00F448F6"/>
    <w:rsid w:val="00F52741"/>
    <w:rsid w:val="00F53D8A"/>
    <w:rsid w:val="00F620F3"/>
    <w:rsid w:val="00F626F7"/>
    <w:rsid w:val="00F8435A"/>
    <w:rsid w:val="00F9211C"/>
    <w:rsid w:val="00F942B2"/>
    <w:rsid w:val="00FA095D"/>
    <w:rsid w:val="00FA387E"/>
    <w:rsid w:val="00FA6C8B"/>
    <w:rsid w:val="00FA7417"/>
    <w:rsid w:val="00FB4139"/>
    <w:rsid w:val="00FB472C"/>
    <w:rsid w:val="00FB476E"/>
    <w:rsid w:val="00FC0D90"/>
    <w:rsid w:val="00FC3501"/>
    <w:rsid w:val="00FC7D8C"/>
    <w:rsid w:val="00FD378D"/>
    <w:rsid w:val="00FD3980"/>
    <w:rsid w:val="00FD431E"/>
    <w:rsid w:val="00FD5A2C"/>
    <w:rsid w:val="00FD66B5"/>
    <w:rsid w:val="00FE0D47"/>
    <w:rsid w:val="00FE1D5C"/>
    <w:rsid w:val="00FE2F8B"/>
    <w:rsid w:val="00FE490B"/>
    <w:rsid w:val="00FE5204"/>
    <w:rsid w:val="00FF0598"/>
    <w:rsid w:val="00FF287F"/>
    <w:rsid w:val="00FF74A8"/>
    <w:rsid w:val="029658B3"/>
    <w:rsid w:val="05AD0FB2"/>
    <w:rsid w:val="061D2E3E"/>
    <w:rsid w:val="0812651D"/>
    <w:rsid w:val="09EA0953"/>
    <w:rsid w:val="17E21376"/>
    <w:rsid w:val="1BF551D4"/>
    <w:rsid w:val="1C0C685E"/>
    <w:rsid w:val="2ADF5809"/>
    <w:rsid w:val="2CCF68BA"/>
    <w:rsid w:val="311364A7"/>
    <w:rsid w:val="33DA73E0"/>
    <w:rsid w:val="3CD37654"/>
    <w:rsid w:val="3D885135"/>
    <w:rsid w:val="3E8C7B4C"/>
    <w:rsid w:val="403958CE"/>
    <w:rsid w:val="461267F1"/>
    <w:rsid w:val="5AA4490D"/>
    <w:rsid w:val="5F2B0F73"/>
    <w:rsid w:val="6E034438"/>
    <w:rsid w:val="6E0D4B5F"/>
    <w:rsid w:val="70FA335B"/>
    <w:rsid w:val="713F5EC7"/>
    <w:rsid w:val="76AF6321"/>
    <w:rsid w:val="77FD1B4A"/>
    <w:rsid w:val="7F736C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uiPriority="0" w:name="index 8"/>
    <w:lsdException w:uiPriority="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uiPriority="0" w:name="annotation text"/>
    <w:lsdException w:qFormat="1" w:unhideWhenUsed="0" w:uiPriority="99" w:semiHidden="0" w:name="header"/>
    <w:lsdException w:qFormat="1" w:unhideWhenUsed="0" w:uiPriority="0" w:semiHidden="0" w:name="footer"/>
    <w:lsdException w:qFormat="1" w:unhideWhenUsed="0"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qFormat="1" w:unhideWhenUsed="0" w:uiPriority="0" w:semiHidden="0" w:name="line number"/>
    <w:lsdException w:qFormat="1" w:unhideWhenUsed="0" w:uiPriority="0" w:semiHidden="0" w:name="page number"/>
    <w:lsdException w:qFormat="1" w:unhideWhenUsed="0"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794"/>
        <w:tab w:val="left" w:pos="1191"/>
        <w:tab w:val="left" w:pos="1588"/>
        <w:tab w:val="left" w:pos="1985"/>
      </w:tabs>
      <w:overflowPunct w:val="0"/>
      <w:autoSpaceDE w:val="0"/>
      <w:autoSpaceDN w:val="0"/>
      <w:adjustRightInd w:val="0"/>
      <w:spacing w:before="120"/>
      <w:textAlignment w:val="baseline"/>
    </w:pPr>
    <w:rPr>
      <w:rFonts w:eastAsia="Times New Roman" w:cs="Times New Roman" w:asciiTheme="minorHAnsi" w:hAnsiTheme="minorHAnsi"/>
      <w:sz w:val="24"/>
      <w:lang w:val="en-GB" w:eastAsia="en-US" w:bidi="ar-SA"/>
    </w:rPr>
  </w:style>
  <w:style w:type="paragraph" w:styleId="2">
    <w:name w:val="heading 1"/>
    <w:basedOn w:val="1"/>
    <w:next w:val="1"/>
    <w:qFormat/>
    <w:uiPriority w:val="0"/>
    <w:pPr>
      <w:keepNext/>
      <w:keepLines/>
      <w:spacing w:before="280"/>
      <w:ind w:left="794" w:hanging="794"/>
      <w:outlineLvl w:val="0"/>
    </w:pPr>
    <w:rPr>
      <w:b/>
    </w:rPr>
  </w:style>
  <w:style w:type="paragraph" w:styleId="3">
    <w:name w:val="heading 2"/>
    <w:basedOn w:val="2"/>
    <w:next w:val="1"/>
    <w:link w:val="124"/>
    <w:qFormat/>
    <w:uiPriority w:val="9"/>
    <w:pPr>
      <w:spacing w:before="200"/>
      <w:outlineLvl w:val="1"/>
    </w:pPr>
  </w:style>
  <w:style w:type="paragraph" w:styleId="4">
    <w:name w:val="heading 3"/>
    <w:basedOn w:val="2"/>
    <w:next w:val="1"/>
    <w:qFormat/>
    <w:uiPriority w:val="0"/>
    <w:pPr>
      <w:spacing w:before="200"/>
      <w:outlineLvl w:val="2"/>
    </w:pPr>
  </w:style>
  <w:style w:type="paragraph" w:styleId="5">
    <w:name w:val="heading 4"/>
    <w:basedOn w:val="4"/>
    <w:next w:val="1"/>
    <w:qFormat/>
    <w:uiPriority w:val="0"/>
    <w:pPr>
      <w:tabs>
        <w:tab w:val="left" w:pos="992"/>
        <w:tab w:val="clear" w:pos="794"/>
      </w:tabs>
      <w:ind w:left="992" w:hanging="992"/>
      <w:outlineLvl w:val="3"/>
    </w:pPr>
  </w:style>
  <w:style w:type="paragraph" w:styleId="6">
    <w:name w:val="heading 5"/>
    <w:basedOn w:val="5"/>
    <w:next w:val="1"/>
    <w:qFormat/>
    <w:uiPriority w:val="0"/>
    <w:pPr>
      <w:outlineLvl w:val="4"/>
    </w:pPr>
  </w:style>
  <w:style w:type="paragraph" w:styleId="7">
    <w:name w:val="heading 6"/>
    <w:basedOn w:val="5"/>
    <w:next w:val="1"/>
    <w:qFormat/>
    <w:uiPriority w:val="0"/>
    <w:pPr>
      <w:tabs>
        <w:tab w:val="clear" w:pos="992"/>
        <w:tab w:val="clear" w:pos="1191"/>
      </w:tabs>
      <w:ind w:left="1588" w:hanging="1588"/>
      <w:outlineLvl w:val="5"/>
    </w:pPr>
  </w:style>
  <w:style w:type="paragraph" w:styleId="8">
    <w:name w:val="heading 7"/>
    <w:basedOn w:val="7"/>
    <w:next w:val="1"/>
    <w:qFormat/>
    <w:uiPriority w:val="0"/>
    <w:pPr>
      <w:outlineLvl w:val="6"/>
    </w:pPr>
  </w:style>
  <w:style w:type="paragraph" w:styleId="9">
    <w:name w:val="heading 8"/>
    <w:basedOn w:val="7"/>
    <w:next w:val="1"/>
    <w:qFormat/>
    <w:uiPriority w:val="0"/>
    <w:pPr>
      <w:outlineLvl w:val="7"/>
    </w:pPr>
  </w:style>
  <w:style w:type="paragraph" w:styleId="10">
    <w:name w:val="heading 9"/>
    <w:basedOn w:val="7"/>
    <w:next w:val="1"/>
    <w:qFormat/>
    <w:uiPriority w:val="0"/>
    <w:pPr>
      <w:outlineLvl w:val="8"/>
    </w:pPr>
  </w:style>
  <w:style w:type="character" w:default="1" w:styleId="36">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11">
    <w:name w:val="toc 7"/>
    <w:basedOn w:val="12"/>
    <w:next w:val="1"/>
    <w:semiHidden/>
    <w:qFormat/>
    <w:uiPriority w:val="0"/>
    <w:pPr>
      <w:tabs>
        <w:tab w:val="left" w:pos="964"/>
        <w:tab w:val="left" w:leader="dot" w:pos="8647"/>
        <w:tab w:val="center" w:pos="9526"/>
      </w:tabs>
    </w:pPr>
  </w:style>
  <w:style w:type="paragraph" w:styleId="12">
    <w:name w:val="toc 4"/>
    <w:basedOn w:val="13"/>
    <w:next w:val="1"/>
    <w:semiHidden/>
    <w:qFormat/>
    <w:uiPriority w:val="0"/>
    <w:pPr>
      <w:tabs>
        <w:tab w:val="left" w:pos="964"/>
        <w:tab w:val="left" w:leader="dot" w:pos="8647"/>
        <w:tab w:val="center" w:pos="9526"/>
      </w:tabs>
    </w:pPr>
  </w:style>
  <w:style w:type="paragraph" w:styleId="13">
    <w:name w:val="toc 3"/>
    <w:basedOn w:val="14"/>
    <w:next w:val="1"/>
    <w:qFormat/>
    <w:uiPriority w:val="0"/>
    <w:pPr>
      <w:tabs>
        <w:tab w:val="left" w:pos="964"/>
        <w:tab w:val="left" w:leader="dot" w:pos="8647"/>
        <w:tab w:val="center" w:pos="9526"/>
      </w:tabs>
    </w:pPr>
  </w:style>
  <w:style w:type="paragraph" w:styleId="14">
    <w:name w:val="toc 2"/>
    <w:basedOn w:val="15"/>
    <w:next w:val="1"/>
    <w:qFormat/>
    <w:uiPriority w:val="0"/>
    <w:pPr>
      <w:tabs>
        <w:tab w:val="left" w:pos="964"/>
        <w:tab w:val="left" w:leader="dot" w:pos="8647"/>
        <w:tab w:val="center" w:pos="9526"/>
      </w:tabs>
      <w:spacing w:before="120"/>
    </w:pPr>
  </w:style>
  <w:style w:type="paragraph" w:styleId="15">
    <w:name w:val="toc 1"/>
    <w:basedOn w:val="1"/>
    <w:next w:val="1"/>
    <w:qFormat/>
    <w:uiPriority w:val="0"/>
    <w:pPr>
      <w:keepLines/>
      <w:tabs>
        <w:tab w:val="left" w:pos="964"/>
        <w:tab w:val="left" w:leader="dot" w:pos="8647"/>
        <w:tab w:val="center" w:pos="9526"/>
        <w:tab w:val="clear" w:pos="794"/>
        <w:tab w:val="clear" w:pos="1191"/>
        <w:tab w:val="clear" w:pos="1588"/>
        <w:tab w:val="clear" w:pos="1985"/>
      </w:tabs>
      <w:spacing w:before="240"/>
      <w:ind w:left="964" w:hanging="964"/>
    </w:pPr>
  </w:style>
  <w:style w:type="paragraph" w:styleId="16">
    <w:name w:val="Normal Indent"/>
    <w:basedOn w:val="1"/>
    <w:qFormat/>
    <w:uiPriority w:val="0"/>
    <w:pPr>
      <w:ind w:left="794"/>
    </w:pPr>
  </w:style>
  <w:style w:type="paragraph" w:styleId="17">
    <w:name w:val="index 5"/>
    <w:basedOn w:val="1"/>
    <w:next w:val="1"/>
    <w:semiHidden/>
    <w:qFormat/>
    <w:uiPriority w:val="0"/>
    <w:pPr>
      <w:ind w:left="1132"/>
    </w:pPr>
  </w:style>
  <w:style w:type="paragraph" w:styleId="18">
    <w:name w:val="index 6"/>
    <w:basedOn w:val="1"/>
    <w:next w:val="1"/>
    <w:semiHidden/>
    <w:qFormat/>
    <w:uiPriority w:val="0"/>
    <w:pPr>
      <w:ind w:left="1415"/>
    </w:pPr>
  </w:style>
  <w:style w:type="paragraph" w:styleId="19">
    <w:name w:val="index 4"/>
    <w:basedOn w:val="1"/>
    <w:next w:val="1"/>
    <w:semiHidden/>
    <w:qFormat/>
    <w:uiPriority w:val="0"/>
    <w:pPr>
      <w:ind w:left="849"/>
    </w:pPr>
  </w:style>
  <w:style w:type="paragraph" w:styleId="20">
    <w:name w:val="toc 5"/>
    <w:basedOn w:val="12"/>
    <w:next w:val="1"/>
    <w:semiHidden/>
    <w:qFormat/>
    <w:uiPriority w:val="0"/>
  </w:style>
  <w:style w:type="paragraph" w:styleId="21">
    <w:name w:val="toc 8"/>
    <w:basedOn w:val="12"/>
    <w:next w:val="1"/>
    <w:semiHidden/>
    <w:qFormat/>
    <w:uiPriority w:val="0"/>
  </w:style>
  <w:style w:type="paragraph" w:styleId="22">
    <w:name w:val="index 3"/>
    <w:basedOn w:val="1"/>
    <w:next w:val="1"/>
    <w:semiHidden/>
    <w:qFormat/>
    <w:uiPriority w:val="0"/>
    <w:pPr>
      <w:ind w:left="566"/>
    </w:pPr>
  </w:style>
  <w:style w:type="paragraph" w:styleId="23">
    <w:name w:val="footer"/>
    <w:basedOn w:val="1"/>
    <w:link w:val="118"/>
    <w:qFormat/>
    <w:uiPriority w:val="0"/>
    <w:pPr>
      <w:tabs>
        <w:tab w:val="left" w:pos="5954"/>
        <w:tab w:val="right" w:pos="9639"/>
        <w:tab w:val="clear" w:pos="794"/>
        <w:tab w:val="clear" w:pos="1191"/>
        <w:tab w:val="clear" w:pos="1588"/>
        <w:tab w:val="clear" w:pos="1985"/>
      </w:tabs>
      <w:spacing w:before="0"/>
    </w:pPr>
    <w:rPr>
      <w:caps/>
      <w:sz w:val="16"/>
      <w:lang w:val="fr-FR"/>
    </w:rPr>
  </w:style>
  <w:style w:type="paragraph" w:styleId="24">
    <w:name w:val="header"/>
    <w:basedOn w:val="1"/>
    <w:link w:val="117"/>
    <w:qFormat/>
    <w:uiPriority w:val="99"/>
    <w:pPr>
      <w:tabs>
        <w:tab w:val="clear" w:pos="794"/>
        <w:tab w:val="clear" w:pos="1191"/>
        <w:tab w:val="clear" w:pos="1588"/>
        <w:tab w:val="clear" w:pos="1985"/>
      </w:tabs>
      <w:spacing w:before="0"/>
      <w:jc w:val="center"/>
    </w:pPr>
    <w:rPr>
      <w:sz w:val="18"/>
      <w:lang w:val="fr-FR"/>
    </w:rPr>
  </w:style>
  <w:style w:type="paragraph" w:styleId="25">
    <w:name w:val="index heading"/>
    <w:basedOn w:val="1"/>
    <w:next w:val="26"/>
    <w:semiHidden/>
    <w:qFormat/>
    <w:uiPriority w:val="0"/>
  </w:style>
  <w:style w:type="paragraph" w:styleId="26">
    <w:name w:val="index 1"/>
    <w:basedOn w:val="1"/>
    <w:next w:val="1"/>
    <w:semiHidden/>
    <w:qFormat/>
    <w:uiPriority w:val="0"/>
  </w:style>
  <w:style w:type="paragraph" w:styleId="27">
    <w:name w:val="footnote text"/>
    <w:basedOn w:val="1"/>
    <w:link w:val="121"/>
    <w:qFormat/>
    <w:uiPriority w:val="0"/>
    <w:pPr>
      <w:keepLines/>
      <w:tabs>
        <w:tab w:val="left" w:pos="255"/>
      </w:tabs>
      <w:ind w:left="255" w:hanging="255"/>
    </w:pPr>
  </w:style>
  <w:style w:type="paragraph" w:styleId="28">
    <w:name w:val="toc 6"/>
    <w:basedOn w:val="12"/>
    <w:next w:val="1"/>
    <w:semiHidden/>
    <w:qFormat/>
    <w:uiPriority w:val="0"/>
  </w:style>
  <w:style w:type="paragraph" w:styleId="29">
    <w:name w:val="index 7"/>
    <w:basedOn w:val="1"/>
    <w:next w:val="1"/>
    <w:semiHidden/>
    <w:qFormat/>
    <w:uiPriority w:val="0"/>
    <w:pPr>
      <w:ind w:left="1698"/>
    </w:pPr>
  </w:style>
  <w:style w:type="paragraph" w:styleId="30">
    <w:name w:val="toc 9"/>
    <w:basedOn w:val="13"/>
    <w:next w:val="1"/>
    <w:semiHidden/>
    <w:qFormat/>
    <w:uiPriority w:val="0"/>
  </w:style>
  <w:style w:type="paragraph" w:styleId="31">
    <w:name w:val="Normal (Web)"/>
    <w:basedOn w:val="1"/>
    <w:semiHidden/>
    <w:unhideWhenUsed/>
    <w:qFormat/>
    <w:uiPriority w:val="99"/>
    <w:pPr>
      <w:tabs>
        <w:tab w:val="clear" w:pos="794"/>
        <w:tab w:val="clear" w:pos="1191"/>
        <w:tab w:val="clear" w:pos="1588"/>
        <w:tab w:val="clear" w:pos="1985"/>
      </w:tabs>
      <w:overflowPunct/>
      <w:autoSpaceDE/>
      <w:autoSpaceDN/>
      <w:adjustRightInd/>
      <w:spacing w:before="100" w:beforeAutospacing="1" w:after="100" w:afterAutospacing="1"/>
      <w:textAlignment w:val="auto"/>
    </w:pPr>
    <w:rPr>
      <w:rFonts w:ascii="Times New Roman" w:hAnsi="Times New Roman" w:eastAsiaTheme="minorEastAsia"/>
      <w:szCs w:val="24"/>
      <w:lang w:val="en-US" w:eastAsia="zh-CN"/>
    </w:rPr>
  </w:style>
  <w:style w:type="paragraph" w:styleId="32">
    <w:name w:val="index 2"/>
    <w:basedOn w:val="1"/>
    <w:next w:val="1"/>
    <w:semiHidden/>
    <w:qFormat/>
    <w:uiPriority w:val="0"/>
    <w:pPr>
      <w:ind w:left="283"/>
    </w:pPr>
  </w:style>
  <w:style w:type="table" w:styleId="34">
    <w:name w:val="Table Grid"/>
    <w:basedOn w:val="3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35">
    <w:name w:val="Medium Grid 3 Accent 5"/>
    <w:basedOn w:val="33"/>
    <w:qFormat/>
    <w:uiPriority w:val="69"/>
    <w:rPr>
      <w:rFonts w:asciiTheme="minorHAnsi" w:hAnsiTheme="minorHAnsi" w:eastAsiaTheme="minorHAnsi" w:cstheme="minorBidi"/>
      <w:sz w:val="22"/>
      <w:szCs w:val="22"/>
      <w:lang w:val="es-ES"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character" w:styleId="37">
    <w:name w:val="Strong"/>
    <w:basedOn w:val="36"/>
    <w:qFormat/>
    <w:uiPriority w:val="22"/>
    <w:rPr>
      <w:b/>
      <w:bCs/>
    </w:rPr>
  </w:style>
  <w:style w:type="character" w:styleId="38">
    <w:name w:val="endnote reference"/>
    <w:basedOn w:val="36"/>
    <w:semiHidden/>
    <w:qFormat/>
    <w:uiPriority w:val="0"/>
    <w:rPr>
      <w:vertAlign w:val="superscript"/>
    </w:rPr>
  </w:style>
  <w:style w:type="character" w:styleId="39">
    <w:name w:val="page number"/>
    <w:basedOn w:val="36"/>
    <w:qFormat/>
    <w:uiPriority w:val="0"/>
    <w:rPr>
      <w:rFonts w:asciiTheme="minorHAnsi" w:hAnsiTheme="minorHAnsi"/>
    </w:rPr>
  </w:style>
  <w:style w:type="character" w:styleId="40">
    <w:name w:val="FollowedHyperlink"/>
    <w:basedOn w:val="36"/>
    <w:semiHidden/>
    <w:unhideWhenUsed/>
    <w:qFormat/>
    <w:uiPriority w:val="0"/>
    <w:rPr>
      <w:color w:val="800080" w:themeColor="followedHyperlink"/>
      <w:u w:val="single"/>
      <w14:textFill>
        <w14:solidFill>
          <w14:schemeClr w14:val="folHlink"/>
        </w14:solidFill>
      </w14:textFill>
    </w:rPr>
  </w:style>
  <w:style w:type="character" w:styleId="41">
    <w:name w:val="line number"/>
    <w:basedOn w:val="36"/>
    <w:qFormat/>
    <w:uiPriority w:val="0"/>
  </w:style>
  <w:style w:type="character" w:styleId="42">
    <w:name w:val="Hyperlink"/>
    <w:basedOn w:val="36"/>
    <w:qFormat/>
    <w:uiPriority w:val="0"/>
    <w:rPr>
      <w:color w:val="0000FF" w:themeColor="hyperlink"/>
      <w:u w:val="single"/>
      <w14:textFill>
        <w14:solidFill>
          <w14:schemeClr w14:val="hlink"/>
        </w14:solidFill>
      </w14:textFill>
    </w:rPr>
  </w:style>
  <w:style w:type="character" w:styleId="43">
    <w:name w:val="footnote reference"/>
    <w:basedOn w:val="36"/>
    <w:qFormat/>
    <w:uiPriority w:val="0"/>
    <w:rPr>
      <w:rFonts w:asciiTheme="minorHAnsi" w:hAnsiTheme="minorHAnsi"/>
      <w:position w:val="6"/>
      <w:sz w:val="18"/>
    </w:rPr>
  </w:style>
  <w:style w:type="paragraph" w:customStyle="1" w:styleId="44">
    <w:name w:val="enumlev1"/>
    <w:basedOn w:val="1"/>
    <w:qFormat/>
    <w:uiPriority w:val="0"/>
    <w:pPr>
      <w:spacing w:before="80"/>
      <w:ind w:left="794" w:hanging="794"/>
    </w:pPr>
  </w:style>
  <w:style w:type="paragraph" w:customStyle="1" w:styleId="45">
    <w:name w:val="enumlev2"/>
    <w:basedOn w:val="44"/>
    <w:qFormat/>
    <w:uiPriority w:val="0"/>
    <w:pPr>
      <w:ind w:left="1191" w:hanging="397"/>
    </w:pPr>
  </w:style>
  <w:style w:type="paragraph" w:customStyle="1" w:styleId="46">
    <w:name w:val="enumlev3"/>
    <w:basedOn w:val="45"/>
    <w:qFormat/>
    <w:uiPriority w:val="0"/>
    <w:pPr>
      <w:ind w:left="1588"/>
    </w:pPr>
  </w:style>
  <w:style w:type="paragraph" w:customStyle="1" w:styleId="47">
    <w:name w:val="Normal after title"/>
    <w:basedOn w:val="1"/>
    <w:next w:val="1"/>
    <w:qFormat/>
    <w:uiPriority w:val="0"/>
    <w:pPr>
      <w:spacing w:before="280"/>
    </w:pPr>
  </w:style>
  <w:style w:type="paragraph" w:customStyle="1" w:styleId="48">
    <w:name w:val="Equation"/>
    <w:basedOn w:val="1"/>
    <w:qFormat/>
    <w:uiPriority w:val="0"/>
    <w:pPr>
      <w:tabs>
        <w:tab w:val="center" w:pos="4820"/>
        <w:tab w:val="right" w:pos="9639"/>
        <w:tab w:val="clear" w:pos="1191"/>
        <w:tab w:val="clear" w:pos="1588"/>
        <w:tab w:val="clear" w:pos="1985"/>
      </w:tabs>
    </w:pPr>
  </w:style>
  <w:style w:type="paragraph" w:customStyle="1" w:styleId="49">
    <w:name w:val="toc 0"/>
    <w:basedOn w:val="1"/>
    <w:next w:val="15"/>
    <w:qFormat/>
    <w:uiPriority w:val="0"/>
    <w:pPr>
      <w:tabs>
        <w:tab w:val="right" w:pos="9781"/>
        <w:tab w:val="clear" w:pos="794"/>
        <w:tab w:val="clear" w:pos="1191"/>
        <w:tab w:val="clear" w:pos="1588"/>
        <w:tab w:val="clear" w:pos="1985"/>
      </w:tabs>
    </w:pPr>
    <w:rPr>
      <w:b/>
    </w:rPr>
  </w:style>
  <w:style w:type="paragraph" w:customStyle="1" w:styleId="50">
    <w:name w:val="Annex_No"/>
    <w:basedOn w:val="1"/>
    <w:next w:val="51"/>
    <w:qFormat/>
    <w:uiPriority w:val="0"/>
    <w:pPr>
      <w:keepNext/>
      <w:keepLines/>
      <w:spacing w:before="480" w:after="80"/>
      <w:jc w:val="center"/>
    </w:pPr>
    <w:rPr>
      <w:caps/>
      <w:sz w:val="28"/>
    </w:rPr>
  </w:style>
  <w:style w:type="paragraph" w:customStyle="1" w:styleId="51">
    <w:name w:val="Annex_ref"/>
    <w:basedOn w:val="1"/>
    <w:next w:val="52"/>
    <w:qFormat/>
    <w:uiPriority w:val="0"/>
    <w:pPr>
      <w:keepNext/>
      <w:keepLines/>
      <w:spacing w:after="280"/>
      <w:jc w:val="center"/>
    </w:pPr>
  </w:style>
  <w:style w:type="paragraph" w:customStyle="1" w:styleId="52">
    <w:name w:val="Annex_title"/>
    <w:basedOn w:val="1"/>
    <w:next w:val="47"/>
    <w:qFormat/>
    <w:uiPriority w:val="0"/>
    <w:pPr>
      <w:keepNext/>
      <w:keepLines/>
      <w:spacing w:before="240" w:after="280"/>
      <w:jc w:val="center"/>
    </w:pPr>
    <w:rPr>
      <w:b/>
      <w:sz w:val="28"/>
    </w:rPr>
  </w:style>
  <w:style w:type="paragraph" w:customStyle="1" w:styleId="53">
    <w:name w:val="ASN.1"/>
    <w:basedOn w:val="1"/>
    <w:qFormat/>
    <w:uiPriority w:val="0"/>
    <w:pPr>
      <w:tabs>
        <w:tab w:val="left" w:pos="567"/>
        <w:tab w:val="left" w:pos="1134"/>
        <w:tab w:val="left" w:pos="1701"/>
        <w:tab w:val="left" w:pos="2268"/>
        <w:tab w:val="left" w:pos="2835"/>
        <w:tab w:val="left" w:pos="3402"/>
        <w:tab w:val="left" w:pos="3969"/>
        <w:tab w:val="left" w:pos="4536"/>
        <w:tab w:val="left" w:pos="5103"/>
        <w:tab w:val="left" w:pos="5670"/>
        <w:tab w:val="clear" w:pos="794"/>
        <w:tab w:val="clear" w:pos="1191"/>
        <w:tab w:val="clear" w:pos="1588"/>
        <w:tab w:val="clear" w:pos="1985"/>
      </w:tabs>
      <w:spacing w:before="0"/>
    </w:pPr>
    <w:rPr>
      <w:rFonts w:ascii="Times New Roman Bold" w:hAnsi="Times New Roman Bold"/>
      <w:b/>
      <w:sz w:val="20"/>
    </w:rPr>
  </w:style>
  <w:style w:type="paragraph" w:customStyle="1" w:styleId="54">
    <w:name w:val="Note"/>
    <w:basedOn w:val="1"/>
    <w:qFormat/>
    <w:uiPriority w:val="0"/>
    <w:pPr>
      <w:spacing w:before="80"/>
    </w:pPr>
  </w:style>
  <w:style w:type="paragraph" w:customStyle="1" w:styleId="55">
    <w:name w:val="Source"/>
    <w:basedOn w:val="1"/>
    <w:next w:val="47"/>
    <w:qFormat/>
    <w:uiPriority w:val="0"/>
    <w:rPr>
      <w:b/>
    </w:rPr>
  </w:style>
  <w:style w:type="paragraph" w:customStyle="1" w:styleId="56">
    <w:name w:val="Title 1"/>
    <w:basedOn w:val="55"/>
    <w:next w:val="57"/>
    <w:qFormat/>
    <w:uiPriority w:val="0"/>
    <w:pPr>
      <w:tabs>
        <w:tab w:val="left" w:pos="567"/>
        <w:tab w:val="left" w:pos="1134"/>
        <w:tab w:val="left" w:pos="1701"/>
        <w:tab w:val="left" w:pos="2268"/>
        <w:tab w:val="left" w:pos="2835"/>
        <w:tab w:val="clear" w:pos="794"/>
        <w:tab w:val="clear" w:pos="1191"/>
        <w:tab w:val="clear" w:pos="1588"/>
        <w:tab w:val="clear" w:pos="1985"/>
      </w:tabs>
      <w:spacing w:before="240"/>
    </w:pPr>
    <w:rPr>
      <w:rFonts w:cs="Times New Roman Bold"/>
    </w:rPr>
  </w:style>
  <w:style w:type="paragraph" w:customStyle="1" w:styleId="57">
    <w:name w:val="Title 2"/>
    <w:basedOn w:val="56"/>
    <w:next w:val="58"/>
    <w:qFormat/>
    <w:uiPriority w:val="0"/>
  </w:style>
  <w:style w:type="paragraph" w:customStyle="1" w:styleId="58">
    <w:name w:val="Title 3"/>
    <w:basedOn w:val="57"/>
    <w:next w:val="59"/>
    <w:qFormat/>
    <w:uiPriority w:val="0"/>
  </w:style>
  <w:style w:type="paragraph" w:customStyle="1" w:styleId="59">
    <w:name w:val="Title 4"/>
    <w:basedOn w:val="58"/>
    <w:next w:val="2"/>
    <w:qFormat/>
    <w:uiPriority w:val="0"/>
  </w:style>
  <w:style w:type="paragraph" w:customStyle="1" w:styleId="60">
    <w:name w:val="FirstFooter"/>
    <w:basedOn w:val="23"/>
    <w:qFormat/>
    <w:uiPriority w:val="0"/>
    <w:pPr>
      <w:tabs>
        <w:tab w:val="clear" w:pos="5954"/>
        <w:tab w:val="clear" w:pos="9639"/>
      </w:tabs>
      <w:overflowPunct/>
      <w:autoSpaceDE/>
      <w:autoSpaceDN/>
      <w:adjustRightInd/>
      <w:spacing w:before="40"/>
      <w:textAlignment w:val="auto"/>
    </w:pPr>
    <w:rPr>
      <w:caps w:val="0"/>
    </w:rPr>
  </w:style>
  <w:style w:type="character" w:customStyle="1" w:styleId="61">
    <w:name w:val="App_def"/>
    <w:basedOn w:val="36"/>
    <w:qFormat/>
    <w:uiPriority w:val="0"/>
    <w:rPr>
      <w:rFonts w:asciiTheme="minorHAnsi" w:hAnsiTheme="minorHAnsi"/>
      <w:b/>
    </w:rPr>
  </w:style>
  <w:style w:type="character" w:customStyle="1" w:styleId="62">
    <w:name w:val="App_ref"/>
    <w:basedOn w:val="36"/>
    <w:qFormat/>
    <w:uiPriority w:val="0"/>
    <w:rPr>
      <w:rFonts w:asciiTheme="minorHAnsi" w:hAnsiTheme="minorHAnsi"/>
    </w:rPr>
  </w:style>
  <w:style w:type="paragraph" w:customStyle="1" w:styleId="63">
    <w:name w:val="Appendix_No"/>
    <w:basedOn w:val="50"/>
    <w:next w:val="51"/>
    <w:qFormat/>
    <w:uiPriority w:val="0"/>
  </w:style>
  <w:style w:type="paragraph" w:customStyle="1" w:styleId="64">
    <w:name w:val="Appendix_ref"/>
    <w:basedOn w:val="51"/>
    <w:next w:val="52"/>
    <w:qFormat/>
    <w:uiPriority w:val="0"/>
  </w:style>
  <w:style w:type="paragraph" w:customStyle="1" w:styleId="65">
    <w:name w:val="Appendix_title"/>
    <w:basedOn w:val="52"/>
    <w:next w:val="47"/>
    <w:qFormat/>
    <w:uiPriority w:val="0"/>
  </w:style>
  <w:style w:type="character" w:customStyle="1" w:styleId="66">
    <w:name w:val="Art_def"/>
    <w:basedOn w:val="36"/>
    <w:qFormat/>
    <w:uiPriority w:val="0"/>
    <w:rPr>
      <w:rFonts w:asciiTheme="minorHAnsi" w:hAnsiTheme="minorHAnsi"/>
      <w:b/>
    </w:rPr>
  </w:style>
  <w:style w:type="paragraph" w:customStyle="1" w:styleId="67">
    <w:name w:val="Art_heading"/>
    <w:basedOn w:val="1"/>
    <w:next w:val="47"/>
    <w:qFormat/>
    <w:uiPriority w:val="0"/>
    <w:pPr>
      <w:spacing w:before="480"/>
      <w:jc w:val="center"/>
    </w:pPr>
    <w:rPr>
      <w:b/>
      <w:sz w:val="28"/>
    </w:rPr>
  </w:style>
  <w:style w:type="paragraph" w:customStyle="1" w:styleId="68">
    <w:name w:val="Art_No"/>
    <w:basedOn w:val="1"/>
    <w:next w:val="69"/>
    <w:qFormat/>
    <w:uiPriority w:val="0"/>
    <w:pPr>
      <w:keepNext/>
      <w:keepLines/>
      <w:spacing w:before="480"/>
      <w:jc w:val="center"/>
    </w:pPr>
    <w:rPr>
      <w:caps/>
      <w:sz w:val="28"/>
    </w:rPr>
  </w:style>
  <w:style w:type="paragraph" w:customStyle="1" w:styleId="69">
    <w:name w:val="Art_title"/>
    <w:basedOn w:val="1"/>
    <w:next w:val="47"/>
    <w:qFormat/>
    <w:uiPriority w:val="0"/>
    <w:pPr>
      <w:keepNext/>
      <w:keepLines/>
      <w:spacing w:before="240"/>
      <w:jc w:val="center"/>
    </w:pPr>
    <w:rPr>
      <w:b/>
      <w:sz w:val="28"/>
    </w:rPr>
  </w:style>
  <w:style w:type="character" w:customStyle="1" w:styleId="70">
    <w:name w:val="Art_ref"/>
    <w:basedOn w:val="36"/>
    <w:qFormat/>
    <w:uiPriority w:val="0"/>
  </w:style>
  <w:style w:type="paragraph" w:customStyle="1" w:styleId="71">
    <w:name w:val="Call"/>
    <w:basedOn w:val="1"/>
    <w:next w:val="1"/>
    <w:qFormat/>
    <w:uiPriority w:val="0"/>
    <w:pPr>
      <w:keepNext/>
      <w:keepLines/>
      <w:spacing w:before="160"/>
      <w:ind w:left="794"/>
    </w:pPr>
    <w:rPr>
      <w:i/>
    </w:rPr>
  </w:style>
  <w:style w:type="paragraph" w:customStyle="1" w:styleId="72">
    <w:name w:val="Chap_No"/>
    <w:basedOn w:val="68"/>
    <w:next w:val="73"/>
    <w:qFormat/>
    <w:uiPriority w:val="0"/>
    <w:rPr>
      <w:b/>
    </w:rPr>
  </w:style>
  <w:style w:type="paragraph" w:customStyle="1" w:styleId="73">
    <w:name w:val="Chap_title"/>
    <w:basedOn w:val="69"/>
    <w:next w:val="47"/>
    <w:qFormat/>
    <w:uiPriority w:val="0"/>
  </w:style>
  <w:style w:type="paragraph" w:customStyle="1" w:styleId="74">
    <w:name w:val="ddate"/>
    <w:basedOn w:val="1"/>
    <w:qFormat/>
    <w:uiPriority w:val="0"/>
    <w:pPr>
      <w:framePr w:hSpace="181" w:wrap="around" w:vAnchor="page" w:hAnchor="margin" w:y="852"/>
      <w:shd w:val="solid" w:color="FFFFFF" w:fill="FFFFFF"/>
      <w:tabs>
        <w:tab w:val="left" w:pos="1134"/>
        <w:tab w:val="left" w:pos="1871"/>
        <w:tab w:val="left" w:pos="2268"/>
        <w:tab w:val="clear" w:pos="794"/>
        <w:tab w:val="clear" w:pos="1191"/>
        <w:tab w:val="clear" w:pos="1588"/>
        <w:tab w:val="clear" w:pos="1985"/>
      </w:tabs>
      <w:spacing w:before="0"/>
    </w:pPr>
    <w:rPr>
      <w:b/>
      <w:bCs/>
    </w:rPr>
  </w:style>
  <w:style w:type="paragraph" w:customStyle="1" w:styleId="75">
    <w:name w:val="dnum"/>
    <w:basedOn w:val="1"/>
    <w:qFormat/>
    <w:uiPriority w:val="0"/>
    <w:pPr>
      <w:framePr w:hSpace="181" w:wrap="around" w:vAnchor="page" w:hAnchor="margin" w:y="852"/>
      <w:shd w:val="solid" w:color="FFFFFF" w:fill="FFFFFF"/>
      <w:tabs>
        <w:tab w:val="left" w:pos="1134"/>
        <w:tab w:val="left" w:pos="1871"/>
        <w:tab w:val="left" w:pos="2268"/>
        <w:tab w:val="clear" w:pos="794"/>
        <w:tab w:val="clear" w:pos="1191"/>
        <w:tab w:val="clear" w:pos="1588"/>
        <w:tab w:val="clear" w:pos="1985"/>
      </w:tabs>
    </w:pPr>
    <w:rPr>
      <w:b/>
      <w:bCs/>
    </w:rPr>
  </w:style>
  <w:style w:type="paragraph" w:customStyle="1" w:styleId="76">
    <w:name w:val="dorlang"/>
    <w:basedOn w:val="1"/>
    <w:qFormat/>
    <w:uiPriority w:val="0"/>
    <w:pPr>
      <w:framePr w:hSpace="181" w:wrap="around" w:vAnchor="page" w:hAnchor="margin" w:y="852"/>
      <w:shd w:val="solid" w:color="FFFFFF" w:fill="FFFFFF"/>
      <w:tabs>
        <w:tab w:val="left" w:pos="1134"/>
        <w:tab w:val="left" w:pos="1871"/>
        <w:tab w:val="left" w:pos="2268"/>
        <w:tab w:val="clear" w:pos="794"/>
        <w:tab w:val="clear" w:pos="1191"/>
        <w:tab w:val="clear" w:pos="1588"/>
        <w:tab w:val="clear" w:pos="1985"/>
      </w:tabs>
      <w:spacing w:before="0"/>
    </w:pPr>
    <w:rPr>
      <w:b/>
      <w:bCs/>
    </w:rPr>
  </w:style>
  <w:style w:type="paragraph" w:customStyle="1" w:styleId="77">
    <w:name w:val="Equation_legend"/>
    <w:basedOn w:val="1"/>
    <w:qFormat/>
    <w:uiPriority w:val="0"/>
    <w:pPr>
      <w:tabs>
        <w:tab w:val="right" w:pos="1531"/>
        <w:tab w:val="left" w:pos="1701"/>
        <w:tab w:val="clear" w:pos="794"/>
        <w:tab w:val="clear" w:pos="1191"/>
        <w:tab w:val="clear" w:pos="1588"/>
        <w:tab w:val="clear" w:pos="1985"/>
      </w:tabs>
      <w:spacing w:before="80"/>
      <w:ind w:left="1701" w:hanging="1701"/>
    </w:pPr>
  </w:style>
  <w:style w:type="paragraph" w:customStyle="1" w:styleId="78">
    <w:name w:val="Figure_legend"/>
    <w:basedOn w:val="1"/>
    <w:qFormat/>
    <w:uiPriority w:val="0"/>
    <w:pPr>
      <w:keepNext/>
      <w:keepLines/>
      <w:tabs>
        <w:tab w:val="clear" w:pos="794"/>
        <w:tab w:val="clear" w:pos="1191"/>
        <w:tab w:val="clear" w:pos="1588"/>
        <w:tab w:val="clear" w:pos="1985"/>
      </w:tabs>
      <w:spacing w:before="20" w:after="20"/>
    </w:pPr>
    <w:rPr>
      <w:sz w:val="18"/>
    </w:rPr>
  </w:style>
  <w:style w:type="paragraph" w:customStyle="1" w:styleId="79">
    <w:name w:val="Figure_No"/>
    <w:basedOn w:val="1"/>
    <w:next w:val="80"/>
    <w:qFormat/>
    <w:uiPriority w:val="0"/>
    <w:pPr>
      <w:keepNext/>
      <w:keepLines/>
      <w:spacing w:before="480" w:after="120"/>
      <w:jc w:val="center"/>
    </w:pPr>
    <w:rPr>
      <w:caps/>
    </w:rPr>
  </w:style>
  <w:style w:type="paragraph" w:customStyle="1" w:styleId="80">
    <w:name w:val="Figure_title"/>
    <w:basedOn w:val="81"/>
    <w:next w:val="1"/>
    <w:qFormat/>
    <w:uiPriority w:val="0"/>
    <w:pPr>
      <w:keepNext w:val="0"/>
      <w:tabs>
        <w:tab w:val="left" w:pos="794"/>
        <w:tab w:val="left" w:pos="1191"/>
        <w:tab w:val="left" w:pos="1588"/>
        <w:tab w:val="left" w:pos="1985"/>
      </w:tabs>
      <w:spacing w:after="480"/>
    </w:pPr>
  </w:style>
  <w:style w:type="paragraph" w:customStyle="1" w:styleId="81">
    <w:name w:val="Table_title"/>
    <w:basedOn w:val="1"/>
    <w:next w:val="82"/>
    <w:qFormat/>
    <w:uiPriority w:val="0"/>
    <w:pPr>
      <w:keepNext/>
      <w:keepLines/>
      <w:spacing w:before="0" w:after="120"/>
      <w:jc w:val="center"/>
    </w:pPr>
    <w:rPr>
      <w:b/>
    </w:rPr>
  </w:style>
  <w:style w:type="paragraph" w:customStyle="1" w:styleId="82">
    <w:name w:val="Table_text"/>
    <w:basedOn w:val="1"/>
    <w:qFormat/>
    <w:uiPriority w:val="0"/>
    <w:pPr>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 w:val="clear" w:pos="794"/>
        <w:tab w:val="clear" w:pos="1191"/>
        <w:tab w:val="clear" w:pos="1588"/>
      </w:tabs>
      <w:spacing w:before="40" w:after="40"/>
    </w:pPr>
    <w:rPr>
      <w:sz w:val="22"/>
    </w:rPr>
  </w:style>
  <w:style w:type="paragraph" w:customStyle="1" w:styleId="83">
    <w:name w:val="Figure_without_title"/>
    <w:basedOn w:val="79"/>
    <w:next w:val="1"/>
    <w:qFormat/>
    <w:uiPriority w:val="0"/>
    <w:pPr>
      <w:keepNext w:val="0"/>
    </w:pPr>
  </w:style>
  <w:style w:type="paragraph" w:customStyle="1" w:styleId="84">
    <w:name w:val="Heading_b"/>
    <w:basedOn w:val="1"/>
    <w:next w:val="1"/>
    <w:qFormat/>
    <w:uiPriority w:val="0"/>
    <w:pPr>
      <w:keepNext/>
      <w:spacing w:before="160"/>
    </w:pPr>
    <w:rPr>
      <w:b/>
    </w:rPr>
  </w:style>
  <w:style w:type="paragraph" w:customStyle="1" w:styleId="85">
    <w:name w:val="Heading_i"/>
    <w:basedOn w:val="1"/>
    <w:next w:val="1"/>
    <w:qFormat/>
    <w:uiPriority w:val="0"/>
    <w:pPr>
      <w:keepNext/>
      <w:spacing w:before="160"/>
    </w:pPr>
    <w:rPr>
      <w:i/>
    </w:rPr>
  </w:style>
  <w:style w:type="paragraph" w:customStyle="1" w:styleId="86">
    <w:name w:val="Part_No"/>
    <w:basedOn w:val="50"/>
    <w:next w:val="87"/>
    <w:qFormat/>
    <w:uiPriority w:val="0"/>
  </w:style>
  <w:style w:type="paragraph" w:customStyle="1" w:styleId="87">
    <w:name w:val="Part_ref"/>
    <w:basedOn w:val="51"/>
    <w:next w:val="88"/>
    <w:qFormat/>
    <w:uiPriority w:val="0"/>
  </w:style>
  <w:style w:type="paragraph" w:customStyle="1" w:styleId="88">
    <w:name w:val="Part_title"/>
    <w:basedOn w:val="52"/>
    <w:next w:val="47"/>
    <w:qFormat/>
    <w:uiPriority w:val="0"/>
  </w:style>
  <w:style w:type="paragraph" w:customStyle="1" w:styleId="89">
    <w:name w:val="Rec_No"/>
    <w:basedOn w:val="1"/>
    <w:next w:val="90"/>
    <w:qFormat/>
    <w:uiPriority w:val="0"/>
    <w:pPr>
      <w:keepNext/>
      <w:keepLines/>
      <w:spacing w:before="480"/>
      <w:jc w:val="center"/>
    </w:pPr>
    <w:rPr>
      <w:caps/>
      <w:sz w:val="28"/>
    </w:rPr>
  </w:style>
  <w:style w:type="paragraph" w:customStyle="1" w:styleId="90">
    <w:name w:val="Rec_title"/>
    <w:basedOn w:val="89"/>
    <w:next w:val="91"/>
    <w:qFormat/>
    <w:uiPriority w:val="0"/>
    <w:pPr>
      <w:spacing w:before="240"/>
    </w:pPr>
    <w:rPr>
      <w:b/>
      <w:caps w:val="0"/>
    </w:rPr>
  </w:style>
  <w:style w:type="paragraph" w:customStyle="1" w:styleId="91">
    <w:name w:val="Rec_ref"/>
    <w:basedOn w:val="90"/>
    <w:next w:val="92"/>
    <w:qFormat/>
    <w:uiPriority w:val="0"/>
    <w:pPr>
      <w:tabs>
        <w:tab w:val="clear" w:pos="794"/>
        <w:tab w:val="clear" w:pos="1191"/>
        <w:tab w:val="clear" w:pos="1588"/>
        <w:tab w:val="clear" w:pos="1985"/>
      </w:tabs>
      <w:spacing w:before="120"/>
    </w:pPr>
    <w:rPr>
      <w:b w:val="0"/>
      <w:i/>
      <w:sz w:val="24"/>
    </w:rPr>
  </w:style>
  <w:style w:type="paragraph" w:customStyle="1" w:styleId="92">
    <w:name w:val="Rec_date"/>
    <w:basedOn w:val="91"/>
    <w:next w:val="47"/>
    <w:qFormat/>
    <w:uiPriority w:val="0"/>
    <w:pPr>
      <w:jc w:val="right"/>
    </w:pPr>
    <w:rPr>
      <w:sz w:val="22"/>
    </w:rPr>
  </w:style>
  <w:style w:type="paragraph" w:customStyle="1" w:styleId="93">
    <w:name w:val="Question_date"/>
    <w:basedOn w:val="92"/>
    <w:next w:val="47"/>
    <w:qFormat/>
    <w:uiPriority w:val="0"/>
    <w:pPr/>
  </w:style>
  <w:style w:type="paragraph" w:customStyle="1" w:styleId="94">
    <w:name w:val="Question_No"/>
    <w:basedOn w:val="89"/>
    <w:next w:val="95"/>
    <w:qFormat/>
    <w:uiPriority w:val="0"/>
  </w:style>
  <w:style w:type="paragraph" w:customStyle="1" w:styleId="95">
    <w:name w:val="Question_title"/>
    <w:basedOn w:val="90"/>
    <w:next w:val="96"/>
    <w:qFormat/>
    <w:uiPriority w:val="0"/>
  </w:style>
  <w:style w:type="paragraph" w:customStyle="1" w:styleId="96">
    <w:name w:val="Question_ref"/>
    <w:basedOn w:val="91"/>
    <w:next w:val="93"/>
    <w:qFormat/>
    <w:uiPriority w:val="0"/>
    <w:pPr/>
  </w:style>
  <w:style w:type="character" w:customStyle="1" w:styleId="97">
    <w:name w:val="Rec_def"/>
    <w:basedOn w:val="36"/>
    <w:qFormat/>
    <w:uiPriority w:val="0"/>
    <w:rPr>
      <w:rFonts w:asciiTheme="minorHAnsi" w:hAnsiTheme="minorHAnsi"/>
      <w:b/>
    </w:rPr>
  </w:style>
  <w:style w:type="paragraph" w:customStyle="1" w:styleId="98">
    <w:name w:val="Ref_text"/>
    <w:basedOn w:val="1"/>
    <w:qFormat/>
    <w:uiPriority w:val="0"/>
    <w:pPr>
      <w:ind w:left="794" w:hanging="794"/>
    </w:pPr>
  </w:style>
  <w:style w:type="paragraph" w:customStyle="1" w:styleId="99">
    <w:name w:val="Ref_title"/>
    <w:basedOn w:val="1"/>
    <w:next w:val="98"/>
    <w:qFormat/>
    <w:uiPriority w:val="0"/>
    <w:pPr>
      <w:spacing w:before="480"/>
      <w:jc w:val="center"/>
    </w:pPr>
    <w:rPr>
      <w:caps/>
    </w:rPr>
  </w:style>
  <w:style w:type="paragraph" w:customStyle="1" w:styleId="100">
    <w:name w:val="Rep_date"/>
    <w:basedOn w:val="92"/>
    <w:next w:val="47"/>
    <w:qFormat/>
    <w:uiPriority w:val="0"/>
    <w:pPr/>
  </w:style>
  <w:style w:type="paragraph" w:customStyle="1" w:styleId="101">
    <w:name w:val="Rep_No"/>
    <w:basedOn w:val="89"/>
    <w:next w:val="102"/>
    <w:qFormat/>
    <w:uiPriority w:val="0"/>
  </w:style>
  <w:style w:type="paragraph" w:customStyle="1" w:styleId="102">
    <w:name w:val="Rep_title"/>
    <w:basedOn w:val="90"/>
    <w:next w:val="103"/>
    <w:qFormat/>
    <w:uiPriority w:val="0"/>
  </w:style>
  <w:style w:type="paragraph" w:customStyle="1" w:styleId="103">
    <w:name w:val="Rep_ref"/>
    <w:basedOn w:val="91"/>
    <w:next w:val="100"/>
    <w:qFormat/>
    <w:uiPriority w:val="0"/>
    <w:pPr/>
  </w:style>
  <w:style w:type="paragraph" w:customStyle="1" w:styleId="104">
    <w:name w:val="Res_date"/>
    <w:basedOn w:val="92"/>
    <w:next w:val="47"/>
    <w:qFormat/>
    <w:uiPriority w:val="0"/>
    <w:pPr/>
  </w:style>
  <w:style w:type="character" w:customStyle="1" w:styleId="105">
    <w:name w:val="Res_def"/>
    <w:basedOn w:val="36"/>
    <w:qFormat/>
    <w:uiPriority w:val="0"/>
    <w:rPr>
      <w:rFonts w:asciiTheme="minorHAnsi" w:hAnsiTheme="minorHAnsi"/>
      <w:b/>
    </w:rPr>
  </w:style>
  <w:style w:type="paragraph" w:customStyle="1" w:styleId="106">
    <w:name w:val="Res_No"/>
    <w:basedOn w:val="89"/>
    <w:next w:val="107"/>
    <w:qFormat/>
    <w:uiPriority w:val="0"/>
  </w:style>
  <w:style w:type="paragraph" w:customStyle="1" w:styleId="107">
    <w:name w:val="Res_title"/>
    <w:basedOn w:val="90"/>
    <w:next w:val="108"/>
    <w:qFormat/>
    <w:uiPriority w:val="0"/>
  </w:style>
  <w:style w:type="paragraph" w:customStyle="1" w:styleId="108">
    <w:name w:val="Res_ref"/>
    <w:basedOn w:val="91"/>
    <w:next w:val="104"/>
    <w:qFormat/>
    <w:uiPriority w:val="0"/>
    <w:pPr/>
  </w:style>
  <w:style w:type="paragraph" w:customStyle="1" w:styleId="109">
    <w:name w:val="Section_No"/>
    <w:basedOn w:val="50"/>
    <w:next w:val="110"/>
    <w:qFormat/>
    <w:uiPriority w:val="0"/>
  </w:style>
  <w:style w:type="paragraph" w:customStyle="1" w:styleId="110">
    <w:name w:val="Section_title"/>
    <w:basedOn w:val="52"/>
    <w:next w:val="47"/>
    <w:qFormat/>
    <w:uiPriority w:val="0"/>
  </w:style>
  <w:style w:type="paragraph" w:customStyle="1" w:styleId="111">
    <w:name w:val="Special Footer"/>
    <w:basedOn w:val="23"/>
    <w:qFormat/>
    <w:uiPriority w:val="0"/>
    <w:pPr>
      <w:tabs>
        <w:tab w:val="left" w:pos="567"/>
        <w:tab w:val="left" w:pos="1134"/>
        <w:tab w:val="left" w:pos="1701"/>
        <w:tab w:val="left" w:pos="2268"/>
        <w:tab w:val="left" w:pos="2835"/>
      </w:tabs>
      <w:jc w:val="both"/>
    </w:pPr>
    <w:rPr>
      <w:caps w:val="0"/>
    </w:rPr>
  </w:style>
  <w:style w:type="character" w:customStyle="1" w:styleId="112">
    <w:name w:val="Table_freq"/>
    <w:basedOn w:val="36"/>
    <w:qFormat/>
    <w:uiPriority w:val="0"/>
    <w:rPr>
      <w:rFonts w:asciiTheme="minorHAnsi" w:hAnsiTheme="minorHAnsi"/>
      <w:b/>
      <w:color w:val="auto"/>
    </w:rPr>
  </w:style>
  <w:style w:type="paragraph" w:customStyle="1" w:styleId="113">
    <w:name w:val="Table_head"/>
    <w:basedOn w:val="82"/>
    <w:next w:val="82"/>
    <w:qFormat/>
    <w:uiPriority w:val="0"/>
    <w:pPr>
      <w:keepNext/>
      <w:spacing w:before="80" w:after="80"/>
      <w:jc w:val="center"/>
    </w:pPr>
    <w:rPr>
      <w:b/>
    </w:rPr>
  </w:style>
  <w:style w:type="paragraph" w:customStyle="1" w:styleId="114">
    <w:name w:val="Table_legend"/>
    <w:basedOn w:val="82"/>
    <w:qFormat/>
    <w:uiPriority w:val="0"/>
    <w:pPr>
      <w:spacing w:before="120"/>
    </w:pPr>
  </w:style>
  <w:style w:type="paragraph" w:customStyle="1" w:styleId="115">
    <w:name w:val="Table_No"/>
    <w:basedOn w:val="1"/>
    <w:next w:val="81"/>
    <w:qFormat/>
    <w:uiPriority w:val="0"/>
    <w:pPr>
      <w:keepNext/>
      <w:spacing w:before="560" w:after="120"/>
      <w:jc w:val="center"/>
    </w:pPr>
    <w:rPr>
      <w:caps/>
    </w:rPr>
  </w:style>
  <w:style w:type="paragraph" w:customStyle="1" w:styleId="116">
    <w:name w:val="Table_ref"/>
    <w:basedOn w:val="1"/>
    <w:next w:val="81"/>
    <w:qFormat/>
    <w:uiPriority w:val="0"/>
    <w:pPr>
      <w:keepNext/>
      <w:spacing w:before="0" w:after="120"/>
      <w:jc w:val="center"/>
    </w:pPr>
  </w:style>
  <w:style w:type="character" w:customStyle="1" w:styleId="117">
    <w:name w:val="页眉 Char"/>
    <w:basedOn w:val="36"/>
    <w:link w:val="24"/>
    <w:qFormat/>
    <w:uiPriority w:val="99"/>
    <w:rPr>
      <w:rFonts w:ascii="Times New Roman" w:hAnsi="Times New Roman"/>
      <w:sz w:val="18"/>
      <w:lang w:val="fr-FR" w:eastAsia="en-US"/>
    </w:rPr>
  </w:style>
  <w:style w:type="character" w:customStyle="1" w:styleId="118">
    <w:name w:val="页脚 Char"/>
    <w:basedOn w:val="36"/>
    <w:link w:val="23"/>
    <w:qFormat/>
    <w:uiPriority w:val="0"/>
    <w:rPr>
      <w:rFonts w:ascii="Times New Roman" w:hAnsi="Times New Roman"/>
      <w:caps/>
      <w:sz w:val="16"/>
      <w:lang w:val="fr-FR" w:eastAsia="en-US"/>
    </w:rPr>
  </w:style>
  <w:style w:type="paragraph" w:customStyle="1" w:styleId="119">
    <w:name w:val="Committee"/>
    <w:basedOn w:val="1"/>
    <w:qFormat/>
    <w:uiPriority w:val="0"/>
    <w:rPr>
      <w:rFonts w:cs="Times New Roman Bold"/>
      <w:b/>
      <w:caps/>
    </w:rPr>
  </w:style>
  <w:style w:type="paragraph" w:styleId="120">
    <w:name w:val="List Paragraph"/>
    <w:basedOn w:val="1"/>
    <w:link w:val="123"/>
    <w:qFormat/>
    <w:uiPriority w:val="34"/>
    <w:pPr>
      <w:ind w:left="720"/>
      <w:contextualSpacing/>
    </w:pPr>
  </w:style>
  <w:style w:type="character" w:customStyle="1" w:styleId="121">
    <w:name w:val="脚注文本 Char"/>
    <w:basedOn w:val="36"/>
    <w:link w:val="27"/>
    <w:qFormat/>
    <w:uiPriority w:val="0"/>
    <w:rPr>
      <w:rFonts w:asciiTheme="minorHAnsi" w:hAnsiTheme="minorHAnsi"/>
      <w:sz w:val="24"/>
      <w:lang w:val="en-GB" w:eastAsia="en-US"/>
    </w:rPr>
  </w:style>
  <w:style w:type="paragraph" w:customStyle="1" w:styleId="122">
    <w:name w:val="Reasons"/>
    <w:basedOn w:val="1"/>
    <w:qFormat/>
    <w:uiPriority w:val="0"/>
    <w:pPr>
      <w:tabs>
        <w:tab w:val="clear" w:pos="794"/>
        <w:tab w:val="clear" w:pos="1191"/>
        <w:tab w:val="clear" w:pos="1588"/>
        <w:tab w:val="clear" w:pos="1985"/>
      </w:tabs>
      <w:overflowPunct/>
      <w:autoSpaceDE/>
      <w:autoSpaceDN/>
      <w:adjustRightInd/>
      <w:spacing w:before="0"/>
      <w:textAlignment w:val="auto"/>
    </w:pPr>
    <w:rPr>
      <w:rFonts w:ascii="Times New Roman" w:hAnsi="Times New Roman"/>
      <w:lang w:val="en-US"/>
    </w:rPr>
  </w:style>
  <w:style w:type="character" w:customStyle="1" w:styleId="123">
    <w:name w:val="列出段落 Char"/>
    <w:link w:val="120"/>
    <w:qFormat/>
    <w:uiPriority w:val="34"/>
    <w:rPr>
      <w:rFonts w:eastAsia="Times New Roman" w:asciiTheme="minorHAnsi" w:hAnsiTheme="minorHAnsi"/>
      <w:sz w:val="24"/>
      <w:lang w:val="en-GB" w:eastAsia="en-US"/>
    </w:rPr>
  </w:style>
  <w:style w:type="character" w:customStyle="1" w:styleId="124">
    <w:name w:val="标题 2 Char"/>
    <w:basedOn w:val="36"/>
    <w:link w:val="3"/>
    <w:qFormat/>
    <w:uiPriority w:val="9"/>
    <w:rPr>
      <w:rFonts w:eastAsia="Times New Roman" w:asciiTheme="minorHAnsi" w:hAnsiTheme="minorHAnsi"/>
      <w:b/>
      <w:sz w:val="24"/>
      <w:lang w:val="en-GB" w:eastAsia="en-US"/>
    </w:rPr>
  </w:style>
  <w:style w:type="paragraph" w:customStyle="1" w:styleId="125">
    <w:name w:val="Default"/>
    <w:qFormat/>
    <w:uiPriority w:val="0"/>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Helvetica" w:cs="Arial Unicode MS"/>
      <w:color w:val="000000"/>
      <w:sz w:val="22"/>
      <w:szCs w:val="22"/>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urnbulk\AppData\Roaming\Microsoft\Templates\POOL%20E%20-%20ITU\PE_BDTRGQ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3837FB-94C2-4847-929C-D40BBA26B60A}">
  <ds:schemaRefs/>
</ds:datastoreItem>
</file>

<file path=docProps/app.xml><?xml version="1.0" encoding="utf-8"?>
<Properties xmlns="http://schemas.openxmlformats.org/officeDocument/2006/extended-properties" xmlns:vt="http://schemas.openxmlformats.org/officeDocument/2006/docPropsVTypes">
  <Template>PE_BDTRGQ2</Template>
  <Manager>General Secretariat - Pool</Manager>
  <Company>International Telecommunication Union (ITU)</Company>
  <Pages>2</Pages>
  <Words>164</Words>
  <Characters>209</Characters>
  <Lines>20</Lines>
  <Paragraphs>5</Paragraphs>
  <TotalTime>2</TotalTime>
  <ScaleCrop>false</ScaleCrop>
  <LinksUpToDate>false</LinksUpToDate>
  <CharactersWithSpaces>211</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2017-03-02T15:20:00Z</dcterms:created>
  <dc:creator>baba</dc:creator>
  <cp:lastModifiedBy>86133</cp:lastModifiedBy>
  <cp:lastPrinted>2017-02-28T13:34:00Z</cp:lastPrinted>
  <dcterms:modified xsi:type="dcterms:W3CDTF">2023-09-19T08:04:53Z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Document 1/001-E</vt:lpwstr>
  </property>
  <property fmtid="{D5CDD505-2E9C-101B-9397-08002B2CF9AE}" pid="3" name="Docdate">
    <vt:lpwstr>[Date]</vt:lpwstr>
  </property>
  <property fmtid="{D5CDD505-2E9C-101B-9397-08002B2CF9AE}" pid="4" name="Docorlang">
    <vt:lpwstr>For action</vt:lpwstr>
  </property>
  <property fmtid="{D5CDD505-2E9C-101B-9397-08002B2CF9AE}" pid="5" name="Docdest">
    <vt:lpwstr/>
  </property>
  <property fmtid="{D5CDD505-2E9C-101B-9397-08002B2CF9AE}" pid="6" name="Docauthor">
    <vt:lpwstr>[Insert here]</vt:lpwstr>
  </property>
  <property fmtid="{D5CDD505-2E9C-101B-9397-08002B2CF9AE}" pid="7" name="Docbluepink">
    <vt:lpwstr/>
  </property>
  <property fmtid="{D5CDD505-2E9C-101B-9397-08002B2CF9AE}" pid="8" name="KSOProductBuildVer">
    <vt:lpwstr>2052-12.1.0.15358</vt:lpwstr>
  </property>
  <property fmtid="{D5CDD505-2E9C-101B-9397-08002B2CF9AE}" pid="9" name="ICV">
    <vt:lpwstr>41308A8E85C6412196E615A321D6FE90_13</vt:lpwstr>
  </property>
</Properties>
</file>