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7CA4C">
      <w:pPr>
        <w:pStyle w:val="2"/>
        <w:spacing w:before="0" w:after="0" w:line="240" w:lineRule="auto"/>
        <w:jc w:val="center"/>
        <w:rPr>
          <w:rFonts w:hint="eastAsia" w:ascii="仿宋" w:hAnsi="仿宋" w:eastAsia="仿宋" w:cs="华文仿宋"/>
          <w:sz w:val="32"/>
          <w:szCs w:val="28"/>
        </w:rPr>
      </w:pPr>
      <w:r>
        <w:rPr>
          <w:rFonts w:hint="eastAsia" w:ascii="仿宋" w:hAnsi="仿宋" w:eastAsia="仿宋" w:cs="华文仿宋"/>
          <w:sz w:val="32"/>
          <w:szCs w:val="28"/>
        </w:rPr>
        <w:t>MCP协议、进展及</w:t>
      </w:r>
      <w:r>
        <w:rPr>
          <w:rFonts w:hint="eastAsia" w:ascii="仿宋" w:hAnsi="仿宋" w:eastAsia="仿宋" w:cs="华文仿宋"/>
          <w:sz w:val="32"/>
          <w:szCs w:val="28"/>
          <w:lang w:val="en-US" w:eastAsia="zh-CN"/>
        </w:rPr>
        <w:t>趋势</w:t>
      </w:r>
      <w:r>
        <w:rPr>
          <w:rFonts w:hint="eastAsia" w:ascii="仿宋" w:hAnsi="仿宋" w:eastAsia="仿宋" w:cs="华文仿宋"/>
          <w:sz w:val="32"/>
          <w:szCs w:val="28"/>
        </w:rPr>
        <w:t>影响分析</w:t>
      </w:r>
    </w:p>
    <w:p w14:paraId="7F63B17B">
      <w:pPr>
        <w:rPr>
          <w:rFonts w:hint="eastAsia"/>
        </w:rPr>
      </w:pPr>
    </w:p>
    <w:p w14:paraId="334664AD">
      <w:pPr>
        <w:pStyle w:val="13"/>
        <w:widowControl/>
        <w:spacing w:beforeAutospacing="0" w:afterAutospacing="0"/>
        <w:ind w:firstLine="560" w:firstLineChars="200"/>
        <w:rPr>
          <w:rFonts w:hint="eastAsia" w:ascii="仿宋" w:hAnsi="仿宋" w:eastAsia="仿宋" w:cs="华文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华文仿宋"/>
          <w:sz w:val="28"/>
        </w:rPr>
        <w:t xml:space="preserve">MCP（Model Context Protocol，模型上下文协议） 是由 Anthropic 于 2024 年底提出的一项开放协议，旨在通过标准化接口，实现大语言模型（LLM）与外部数据源和工具的高效连接。目前，Cursor、Windsurf等多个平台已支持集成 MCP ，OpenAI 近期宣布在其 Agent SDK 中接入 MCP，MCP Server </w:t>
      </w:r>
      <w:r>
        <w:rPr>
          <w:rFonts w:hint="eastAsia" w:ascii="仿宋" w:hAnsi="仿宋" w:eastAsia="仿宋" w:cs="华文仿宋"/>
          <w:sz w:val="28"/>
          <w:lang w:val="en-US" w:eastAsia="zh-CN"/>
        </w:rPr>
        <w:t>同步快速</w:t>
      </w:r>
      <w:r>
        <w:rPr>
          <w:rFonts w:hint="eastAsia" w:ascii="仿宋" w:hAnsi="仿宋" w:eastAsia="仿宋" w:cs="华文仿宋"/>
          <w:sz w:val="28"/>
        </w:rPr>
        <w:t>涌现，MCP生态体系</w:t>
      </w:r>
      <w:r>
        <w:rPr>
          <w:rFonts w:hint="eastAsia" w:ascii="仿宋" w:hAnsi="仿宋" w:eastAsia="仿宋" w:cs="华文仿宋"/>
          <w:sz w:val="28"/>
          <w:lang w:val="en-US" w:eastAsia="zh-CN"/>
        </w:rPr>
        <w:t>初步</w:t>
      </w:r>
      <w:r>
        <w:rPr>
          <w:rFonts w:hint="eastAsia" w:ascii="仿宋" w:hAnsi="仿宋" w:eastAsia="仿宋" w:cs="华文仿宋"/>
          <w:sz w:val="28"/>
        </w:rPr>
        <w:t>形成，展现出成为“事实标准”的潜力。本文将围绕 MCP 的核心定位与功能，</w:t>
      </w:r>
      <w:r>
        <w:rPr>
          <w:rFonts w:hint="eastAsia" w:ascii="仿宋" w:hAnsi="仿宋" w:eastAsia="仿宋" w:cs="华文仿宋"/>
          <w:sz w:val="28"/>
          <w:lang w:val="en-US" w:eastAsia="zh-CN"/>
        </w:rPr>
        <w:t>跟踪</w:t>
      </w:r>
      <w:r>
        <w:rPr>
          <w:rFonts w:hint="eastAsia" w:ascii="仿宋" w:hAnsi="仿宋" w:eastAsia="仿宋" w:cs="华文仿宋"/>
          <w:sz w:val="28"/>
        </w:rPr>
        <w:t>生态发展进程，</w:t>
      </w:r>
      <w:r>
        <w:rPr>
          <w:rFonts w:hint="eastAsia" w:ascii="仿宋" w:hAnsi="仿宋" w:eastAsia="仿宋" w:cs="华文仿宋"/>
          <w:color w:val="000000" w:themeColor="text1"/>
          <w:sz w:val="28"/>
          <w14:textFill>
            <w14:solidFill>
              <w14:schemeClr w14:val="tx1"/>
            </w14:solidFill>
          </w14:textFill>
        </w:rPr>
        <w:t>探讨其发展趋势与行业影响。</w:t>
      </w:r>
    </w:p>
    <w:p w14:paraId="69C6FC62">
      <w:pPr>
        <w:pStyle w:val="13"/>
        <w:widowControl/>
        <w:spacing w:beforeAutospacing="0" w:afterAutospacing="0"/>
        <w:ind w:firstLine="560" w:firstLineChars="200"/>
        <w:rPr>
          <w:rFonts w:hint="eastAsia" w:ascii="仿宋" w:hAnsi="仿宋" w:eastAsia="仿宋" w:cs="华文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732B407D">
      <w:pPr>
        <w:pStyle w:val="3"/>
        <w:numPr>
          <w:ilvl w:val="0"/>
          <w:numId w:val="1"/>
        </w:numPr>
        <w:spacing w:before="0" w:after="0" w:line="240" w:lineRule="auto"/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Agent的挑战与MCP的定位</w:t>
      </w:r>
    </w:p>
    <w:p w14:paraId="657FA7B1">
      <w:pPr>
        <w:ind w:firstLine="560" w:firstLineChars="200"/>
        <w:rPr>
          <w:rFonts w:hint="eastAsia" w:ascii="仿宋" w:hAnsi="仿宋" w:eastAsia="仿宋" w:cs="华文仿宋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Agent</w:t>
      </w:r>
      <w:r>
        <w:rPr>
          <w:rFonts w:hint="eastAsia" w:ascii="仿宋" w:hAnsi="仿宋" w:eastAsia="仿宋" w:cs="华文仿宋"/>
          <w:color w:val="000000" w:themeColor="text1"/>
          <w:sz w:val="28"/>
          <w14:textFill>
            <w14:solidFill>
              <w14:schemeClr w14:val="tx1"/>
            </w14:solidFill>
          </w14:textFill>
        </w:rPr>
        <w:t>是一种具备自主决策能力的AI实体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，能够感知环境、规划任务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并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调用工具来完成目标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目前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主要面临两类痛点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华文仿宋"/>
          <w:b/>
          <w:bCs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一是接入复杂、适配成本高。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每个数据库、API、工具都有不同调用方式，Agent难以复用已有能力，导致开发成本高、维护负担重。</w:t>
      </w:r>
      <w:r>
        <w:rPr>
          <w:rFonts w:hint="eastAsia" w:ascii="仿宋" w:hAnsi="仿宋" w:eastAsia="仿宋" w:cs="华文仿宋"/>
          <w:b/>
          <w:bCs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二是数据权限松散、安全风险大。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Agent常常需要直连数据库或服务接口，缺乏中间隔离机制，可能造成越权访问、API Key 泄露等问题。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MCP定位连接 Agent类大模型应用与外部数据、工具的标准协议，可以理解为发挥以下几个角色的作用：</w:t>
      </w:r>
    </w:p>
    <w:p w14:paraId="293334FB">
      <w:pPr>
        <w:numPr>
          <w:ilvl w:val="0"/>
          <w:numId w:val="2"/>
        </w:numPr>
        <w:rPr>
          <w:rFonts w:hint="eastAsia" w:ascii="仿宋" w:hAnsi="仿宋" w:eastAsia="仿宋" w:cs="华文仿宋"/>
          <w:b w:val="0"/>
          <w:bCs w:val="0"/>
          <w:color w:val="000000" w:themeColor="text1"/>
          <w:sz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华文仿宋"/>
          <w:b/>
          <w:bCs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超级拓展坞：</w:t>
      </w:r>
      <w:r>
        <w:rPr>
          <w:rFonts w:hint="eastAsia" w:ascii="仿宋" w:hAnsi="仿宋" w:eastAsia="仿宋" w:cs="华文仿宋"/>
          <w:b w:val="0"/>
          <w:bCs w:val="0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MCP为Agent提供统一的接口标准，让 Agent 能够快速接入数据库、API、文件系统等各类外部资源，无需为每个工具单独开发适配器，显著提升了扩展效率与可维护性。</w:t>
      </w:r>
    </w:p>
    <w:p w14:paraId="449753F5">
      <w:pPr>
        <w:numPr>
          <w:ilvl w:val="0"/>
          <w:numId w:val="2"/>
        </w:numPr>
        <w:rPr>
          <w:rFonts w:ascii="仿宋" w:hAnsi="仿宋" w:eastAsia="仿宋" w:cs="华文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华文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通用翻译官：</w:t>
      </w:r>
      <w:r>
        <w:rPr>
          <w:rFonts w:hint="eastAsia" w:ascii="仿宋" w:hAnsi="仿宋" w:eastAsia="仿宋" w:cs="华文仿宋"/>
          <w:color w:val="000000" w:themeColor="text1"/>
          <w:sz w:val="28"/>
          <w14:textFill>
            <w14:solidFill>
              <w14:schemeClr w14:val="tx1"/>
            </w14:solidFill>
          </w14:textFill>
        </w:rPr>
        <w:t>MCP让 Agent 能够“听懂”来自不同系统、不同格式的数据语言，并能将自身的操作请求精准“翻译”为外部系统可理解的指令，从而实现与多源数据和工具的实时互动与状态同步。</w:t>
      </w:r>
    </w:p>
    <w:p w14:paraId="1A461C2A">
      <w:pPr>
        <w:numPr>
          <w:ilvl w:val="0"/>
          <w:numId w:val="2"/>
        </w:numPr>
        <w:rPr>
          <w:rFonts w:ascii="仿宋" w:hAnsi="仿宋" w:eastAsia="仿宋" w:cs="华文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华文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边界守门人</w:t>
      </w:r>
      <w:r>
        <w:rPr>
          <w:rFonts w:hint="eastAsia" w:ascii="仿宋" w:hAnsi="仿宋" w:eastAsia="仿宋" w:cs="华文仿宋"/>
          <w:color w:val="000000" w:themeColor="text1"/>
          <w:sz w:val="28"/>
          <w14:textFill>
            <w14:solidFill>
              <w14:schemeClr w14:val="tx1"/>
            </w14:solidFill>
          </w14:textFill>
        </w:rPr>
        <w:t>：MCP 作为数据访问网关，确保Agent只能访问符合权限策略的受控数据，防止越权访问。同时，API 的调用请求由 MCP 代理完成，Agent 不直接接触密钥信息，从而有效防止 API Key 泄露或敏感数据被滥用。</w:t>
      </w:r>
    </w:p>
    <w:p w14:paraId="2049C723">
      <w:pPr>
        <w:ind w:firstLine="560" w:firstLineChars="200"/>
        <w:rPr>
          <w:rFonts w:ascii="仿宋" w:hAnsi="仿宋" w:eastAsia="仿宋" w:cs="华文仿宋"/>
          <w:sz w:val="28"/>
        </w:rPr>
      </w:pPr>
      <w:r>
        <w:rPr>
          <w:rFonts w:hint="eastAsia" w:ascii="仿宋" w:hAnsi="仿宋" w:eastAsia="仿宋" w:cs="华文仿宋"/>
          <w:sz w:val="28"/>
        </w:rPr>
        <w:drawing>
          <wp:inline distT="0" distB="0" distL="114300" distR="114300">
            <wp:extent cx="5154930" cy="2530475"/>
            <wp:effectExtent l="0" t="0" r="1270" b="3175"/>
            <wp:docPr id="81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62C1">
      <w:pPr>
        <w:pStyle w:val="7"/>
        <w:ind w:firstLine="420" w:firstLineChars="200"/>
        <w:jc w:val="center"/>
        <w:rPr>
          <w:rFonts w:hint="eastAsia"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图 </w:t>
      </w:r>
      <w:r>
        <w:rPr>
          <w:rFonts w:ascii="仿宋" w:hAnsi="仿宋" w:eastAsia="仿宋"/>
          <w:sz w:val="21"/>
        </w:rPr>
        <w:fldChar w:fldCharType="begin"/>
      </w:r>
      <w:r>
        <w:rPr>
          <w:rFonts w:ascii="仿宋" w:hAnsi="仿宋" w:eastAsia="仿宋"/>
          <w:sz w:val="21"/>
        </w:rPr>
        <w:instrText xml:space="preserve"> SEQ 图 \* ARABIC </w:instrText>
      </w:r>
      <w:r>
        <w:rPr>
          <w:rFonts w:ascii="仿宋" w:hAnsi="仿宋" w:eastAsia="仿宋"/>
          <w:sz w:val="21"/>
        </w:rPr>
        <w:fldChar w:fldCharType="separate"/>
      </w:r>
      <w:r>
        <w:rPr>
          <w:rFonts w:ascii="仿宋" w:hAnsi="仿宋" w:eastAsia="仿宋"/>
          <w:sz w:val="21"/>
        </w:rPr>
        <w:t>1</w:t>
      </w:r>
      <w:r>
        <w:rPr>
          <w:rFonts w:ascii="仿宋" w:hAnsi="仿宋" w:eastAsia="仿宋"/>
          <w:sz w:val="21"/>
        </w:rPr>
        <w:fldChar w:fldCharType="end"/>
      </w:r>
      <w:r>
        <w:rPr>
          <w:rFonts w:hint="eastAsia" w:ascii="仿宋" w:hAnsi="仿宋" w:eastAsia="仿宋"/>
          <w:sz w:val="21"/>
        </w:rPr>
        <w:t xml:space="preserve"> Agent、LLM、MCP关系图</w:t>
      </w:r>
    </w:p>
    <w:p w14:paraId="7229F136"/>
    <w:p w14:paraId="047779F3">
      <w:pPr>
        <w:pStyle w:val="3"/>
        <w:numPr>
          <w:ilvl w:val="0"/>
          <w:numId w:val="1"/>
        </w:numPr>
        <w:spacing w:before="0" w:after="0" w:line="240" w:lineRule="auto"/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MCP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架构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及对各参与方的机会</w:t>
      </w:r>
    </w:p>
    <w:p w14:paraId="010C47F0">
      <w:pPr>
        <w:ind w:firstLine="560" w:firstLineChars="200"/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MCP采用</w:t>
      </w:r>
      <w:r>
        <w:rPr>
          <w:rFonts w:ascii="仿宋" w:hAnsi="仿宋" w:eastAsia="仿宋" w:cs="华文仿宋"/>
          <w:color w:val="000000" w:themeColor="text1"/>
          <w:kern w:val="0"/>
          <w:sz w:val="28"/>
          <w:highlight w:val="none"/>
          <w:lang w:bidi="ar"/>
          <w14:textFill>
            <w14:solidFill>
              <w14:schemeClr w14:val="tx1"/>
            </w14:solidFill>
          </w14:textFill>
        </w:rPr>
        <w:t>客户端-服务器（Client-Server）</w:t>
      </w:r>
      <w:r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架构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（图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）</w:t>
      </w:r>
      <w:r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，通过在本地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、平台</w:t>
      </w:r>
      <w:r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或远程部署的 MCP Server，为 LLM 提供统一、标准化的上下文访问和操作接口。它的基本结构包括以下关键角色：</w:t>
      </w:r>
    </w:p>
    <w:p w14:paraId="342ABFF2">
      <w:pPr>
        <w:rPr>
          <w:rFonts w:hint="eastAsia"/>
        </w:rPr>
      </w:pPr>
    </w:p>
    <w:p w14:paraId="4227A67C">
      <w:pPr>
        <w:rPr>
          <w:rFonts w:ascii="仿宋" w:hAnsi="仿宋" w:eastAsia="仿宋"/>
          <w:sz w:val="22"/>
        </w:rPr>
      </w:pPr>
      <w:r>
        <w:drawing>
          <wp:inline distT="0" distB="0" distL="114300" distR="114300">
            <wp:extent cx="5346065" cy="2854960"/>
            <wp:effectExtent l="0" t="0" r="635" b="2540"/>
            <wp:docPr id="78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DB67">
      <w:pPr>
        <w:pStyle w:val="7"/>
        <w:jc w:val="center"/>
        <w:rPr>
          <w:rFonts w:hint="eastAsia" w:ascii="仿宋" w:hAnsi="仿宋" w:eastAsia="仿宋"/>
          <w:sz w:val="21"/>
          <w:lang w:eastAsia="zh-CN"/>
        </w:rPr>
      </w:pPr>
      <w:r>
        <w:rPr>
          <w:rFonts w:ascii="仿宋" w:hAnsi="仿宋" w:eastAsia="仿宋"/>
          <w:sz w:val="21"/>
        </w:rPr>
        <w:t xml:space="preserve">图 </w:t>
      </w:r>
      <w:r>
        <w:rPr>
          <w:rFonts w:ascii="仿宋" w:hAnsi="仿宋" w:eastAsia="仿宋"/>
          <w:sz w:val="21"/>
        </w:rPr>
        <w:fldChar w:fldCharType="begin"/>
      </w:r>
      <w:r>
        <w:rPr>
          <w:rFonts w:ascii="仿宋" w:hAnsi="仿宋" w:eastAsia="仿宋"/>
          <w:sz w:val="21"/>
        </w:rPr>
        <w:instrText xml:space="preserve"> SEQ 图 \* ARABIC </w:instrText>
      </w:r>
      <w:r>
        <w:rPr>
          <w:rFonts w:ascii="仿宋" w:hAnsi="仿宋" w:eastAsia="仿宋"/>
          <w:sz w:val="21"/>
        </w:rPr>
        <w:fldChar w:fldCharType="separate"/>
      </w:r>
      <w:r>
        <w:rPr>
          <w:rFonts w:ascii="仿宋" w:hAnsi="仿宋" w:eastAsia="仿宋"/>
          <w:sz w:val="21"/>
        </w:rPr>
        <w:t>2</w:t>
      </w:r>
      <w:r>
        <w:rPr>
          <w:rFonts w:ascii="仿宋" w:hAnsi="仿宋" w:eastAsia="仿宋"/>
          <w:sz w:val="21"/>
        </w:rPr>
        <w:fldChar w:fldCharType="end"/>
      </w:r>
      <w:r>
        <w:rPr>
          <w:rFonts w:hint="eastAsia" w:ascii="仿宋" w:hAnsi="仿宋" w:eastAsia="仿宋"/>
          <w:sz w:val="21"/>
        </w:rPr>
        <w:t xml:space="preserve"> MCP架构图</w:t>
      </w:r>
      <w:r>
        <w:rPr>
          <w:rFonts w:hint="eastAsia" w:ascii="仿宋" w:hAnsi="仿宋" w:eastAsia="仿宋"/>
          <w:sz w:val="21"/>
          <w:lang w:eastAsia="zh-CN"/>
        </w:rPr>
        <w:t>（</w:t>
      </w:r>
      <w:r>
        <w:rPr>
          <w:rFonts w:hint="eastAsia" w:ascii="仿宋" w:hAnsi="仿宋" w:eastAsia="仿宋"/>
          <w:sz w:val="21"/>
          <w:lang w:val="en-US" w:eastAsia="zh-CN"/>
        </w:rPr>
        <w:t>蓝色部分为MCP模块</w:t>
      </w:r>
      <w:r>
        <w:rPr>
          <w:rFonts w:hint="eastAsia" w:ascii="仿宋" w:hAnsi="仿宋" w:eastAsia="仿宋"/>
          <w:sz w:val="21"/>
          <w:lang w:eastAsia="zh-CN"/>
        </w:rPr>
        <w:t>）</w:t>
      </w:r>
    </w:p>
    <w:p w14:paraId="5AA353D3">
      <w:pPr>
        <w:numPr>
          <w:ilvl w:val="0"/>
          <w:numId w:val="2"/>
        </w:numPr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MCP Host（Agent 主体）：即发起任务的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Agent</w:t>
      </w:r>
      <w:r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，如 Claude Desktop、Cursor 等 Agent 工具。它承担任务解析、调用指令发起等功能。</w:t>
      </w:r>
    </w:p>
    <w:p w14:paraId="6D04A88D">
      <w:pPr>
        <w:numPr>
          <w:ilvl w:val="0"/>
          <w:numId w:val="2"/>
        </w:numPr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MCP Client（任务请求层）：嵌入在 MCP Host 中，按需与不同 MCP Server 建立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一对一的</w:t>
      </w:r>
      <w:r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通信链路，转发 LLM 发出的请求。</w:t>
      </w:r>
    </w:p>
    <w:p w14:paraId="2A7137E3">
      <w:pPr>
        <w:numPr>
          <w:ilvl w:val="0"/>
          <w:numId w:val="2"/>
        </w:numPr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MCP Server（能力提供方）：负责实际的数据访问、API 调用或本地执行。可部署于本地（读取文件、数据库）、平台服务端（访问内置工具）、或远程云端（对接第三方服务）。</w:t>
      </w:r>
    </w:p>
    <w:p w14:paraId="31E09516">
      <w:pPr>
        <w:keepNext w:val="0"/>
        <w:keepLines w:val="0"/>
        <w:widowControl/>
        <w:suppressLineNumbers w:val="0"/>
        <w:ind w:firstLine="560" w:firstLineChars="200"/>
        <w:jc w:val="left"/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这一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架构</w:t>
      </w:r>
      <w:r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的优势在于打破了 Agent 与外部工具之间的耦合限制，让系统更容易接入、管理和扩展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。</w:t>
      </w:r>
      <w:r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对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Anthropic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、Open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AI等大模型厂商及开发平台方而言，可以依靠</w:t>
      </w:r>
      <w:r>
        <w:rPr>
          <w:rFonts w:ascii="仿宋" w:hAnsi="仿宋" w:eastAsia="仿宋" w:cs="华文仿宋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MCP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聚集</w:t>
      </w:r>
      <w:r>
        <w:rPr>
          <w:rFonts w:ascii="仿宋" w:hAnsi="仿宋" w:eastAsia="仿宋" w:cs="华文仿宋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AI Agent开发者，加强对应用生态的控制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。对于资源与</w:t>
      </w:r>
      <w:r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 xml:space="preserve">工具提供方而言，构建 MCP Server 就能被多个 Agent 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广泛调用</w:t>
      </w:r>
      <w:r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，拓展商业触达路径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eastAsia="zh-CN" w:bidi="ar"/>
          <w14:textFill>
            <w14:solidFill>
              <w14:schemeClr w14:val="tx1"/>
            </w14:solidFill>
          </w14:textFill>
        </w:rPr>
        <w:t>。</w:t>
      </w:r>
      <w:r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而对个人开发者来说，MCP Server 的开发与发布门槛较低，也为其参与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Agent</w:t>
      </w:r>
      <w:r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生态建设打开了新的空间。</w:t>
      </w:r>
    </w:p>
    <w:tbl>
      <w:tblPr>
        <w:tblStyle w:val="15"/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6"/>
        <w:gridCol w:w="3564"/>
        <w:gridCol w:w="3621"/>
      </w:tblGrid>
      <w:tr w14:paraId="117746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0" w:type="dxa"/>
            </w:tcMar>
            <w:vAlign w:val="center"/>
          </w:tcPr>
          <w:p w14:paraId="1C687564">
            <w:pPr>
              <w:widowControl/>
              <w:jc w:val="center"/>
              <w:rPr>
                <w:rFonts w:ascii="仿宋" w:hAnsi="仿宋" w:eastAsia="仿宋" w:cs="华文仿宋"/>
                <w:b/>
                <w:bCs/>
                <w:color w:val="404040"/>
                <w:sz w:val="28"/>
              </w:rPr>
            </w:pPr>
            <w:r>
              <w:rPr>
                <w:rFonts w:hint="eastAsia" w:ascii="仿宋" w:hAnsi="仿宋" w:eastAsia="仿宋" w:cs="华文仿宋"/>
                <w:b/>
                <w:bCs/>
                <w:color w:val="404040"/>
                <w:kern w:val="0"/>
                <w:sz w:val="28"/>
                <w:lang w:bidi="ar"/>
              </w:rPr>
              <w:t>对比维度</w:t>
            </w:r>
          </w:p>
        </w:tc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1CD522">
            <w:pPr>
              <w:widowControl/>
              <w:jc w:val="center"/>
              <w:rPr>
                <w:rFonts w:ascii="仿宋" w:hAnsi="仿宋" w:eastAsia="仿宋" w:cs="华文仿宋"/>
                <w:b/>
                <w:bCs/>
                <w:color w:val="404040"/>
                <w:sz w:val="28"/>
              </w:rPr>
            </w:pPr>
            <w:r>
              <w:rPr>
                <w:rFonts w:hint="eastAsia" w:ascii="仿宋" w:hAnsi="仿宋" w:eastAsia="仿宋" w:cs="华文仿宋"/>
                <w:b/>
                <w:bCs/>
                <w:color w:val="404040"/>
                <w:sz w:val="28"/>
              </w:rPr>
              <w:t>未采用MCP</w:t>
            </w:r>
          </w:p>
        </w:tc>
        <w:tc>
          <w:tcPr>
            <w:tcW w:w="3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3DBFF">
            <w:pPr>
              <w:widowControl/>
              <w:jc w:val="center"/>
              <w:rPr>
                <w:rFonts w:ascii="仿宋" w:hAnsi="仿宋" w:eastAsia="仿宋" w:cs="华文仿宋"/>
                <w:b/>
                <w:bCs/>
                <w:color w:val="404040"/>
                <w:sz w:val="28"/>
              </w:rPr>
            </w:pPr>
            <w:r>
              <w:rPr>
                <w:rFonts w:hint="eastAsia" w:ascii="仿宋" w:hAnsi="仿宋" w:eastAsia="仿宋" w:cs="华文仿宋"/>
                <w:b/>
                <w:bCs/>
                <w:color w:val="404040"/>
                <w:sz w:val="28"/>
              </w:rPr>
              <w:t>采用MCP</w:t>
            </w:r>
          </w:p>
        </w:tc>
      </w:tr>
      <w:tr w14:paraId="0727A8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0" w:type="dxa"/>
            </w:tcMar>
            <w:vAlign w:val="center"/>
          </w:tcPr>
          <w:p w14:paraId="719D1FC3">
            <w:pPr>
              <w:widowControl/>
              <w:jc w:val="center"/>
              <w:rPr>
                <w:rFonts w:ascii="仿宋" w:hAnsi="仿宋" w:eastAsia="仿宋" w:cs="华文仿宋"/>
                <w:color w:val="404040"/>
                <w:sz w:val="28"/>
              </w:rPr>
            </w:pPr>
            <w:r>
              <w:rPr>
                <w:rStyle w:val="18"/>
                <w:rFonts w:hint="eastAsia" w:ascii="仿宋" w:hAnsi="仿宋" w:eastAsia="仿宋" w:cs="华文仿宋"/>
                <w:color w:val="404040"/>
                <w:kern w:val="0"/>
                <w:sz w:val="28"/>
                <w:lang w:bidi="ar"/>
              </w:rPr>
              <w:t>数据访问</w:t>
            </w:r>
          </w:p>
        </w:tc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B90232">
            <w:pPr>
              <w:widowControl/>
              <w:jc w:val="left"/>
              <w:rPr>
                <w:rFonts w:ascii="仿宋" w:hAnsi="仿宋" w:eastAsia="仿宋" w:cs="华文仿宋"/>
                <w:color w:val="404040"/>
                <w:sz w:val="28"/>
              </w:rPr>
            </w:pPr>
            <w:r>
              <w:rPr>
                <w:rFonts w:hint="eastAsia" w:ascii="仿宋" w:hAnsi="仿宋" w:eastAsia="仿宋" w:cs="华文仿宋"/>
                <w:color w:val="404040"/>
                <w:kern w:val="0"/>
                <w:sz w:val="28"/>
                <w:lang w:bidi="ar"/>
              </w:rPr>
              <w:t>每种数据源都需要单独开发适配器</w:t>
            </w:r>
          </w:p>
        </w:tc>
        <w:tc>
          <w:tcPr>
            <w:tcW w:w="3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247A6C">
            <w:pPr>
              <w:widowControl/>
              <w:jc w:val="left"/>
              <w:rPr>
                <w:rFonts w:ascii="仿宋" w:hAnsi="仿宋" w:eastAsia="仿宋" w:cs="华文仿宋"/>
                <w:color w:val="404040"/>
                <w:sz w:val="28"/>
              </w:rPr>
            </w:pPr>
            <w:r>
              <w:rPr>
                <w:rFonts w:hint="eastAsia" w:ascii="仿宋" w:hAnsi="仿宋" w:eastAsia="仿宋" w:cs="华文仿宋"/>
                <w:color w:val="404040"/>
                <w:kern w:val="0"/>
                <w:sz w:val="28"/>
                <w:lang w:bidi="ar"/>
              </w:rPr>
              <w:t>Agent通过MCP统一接口访问数据，无需单独适配</w:t>
            </w:r>
          </w:p>
        </w:tc>
      </w:tr>
      <w:tr w14:paraId="0D90F6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0" w:type="dxa"/>
            </w:tcMar>
            <w:vAlign w:val="center"/>
          </w:tcPr>
          <w:p w14:paraId="081C8520">
            <w:pPr>
              <w:widowControl/>
              <w:jc w:val="center"/>
              <w:rPr>
                <w:rFonts w:ascii="仿宋" w:hAnsi="仿宋" w:eastAsia="仿宋" w:cs="华文仿宋"/>
                <w:color w:val="404040"/>
                <w:sz w:val="28"/>
              </w:rPr>
            </w:pPr>
            <w:r>
              <w:rPr>
                <w:rStyle w:val="18"/>
                <w:rFonts w:hint="eastAsia" w:ascii="仿宋" w:hAnsi="仿宋" w:eastAsia="仿宋" w:cs="华文仿宋"/>
                <w:color w:val="404040"/>
                <w:kern w:val="0"/>
                <w:sz w:val="28"/>
                <w:lang w:bidi="ar"/>
              </w:rPr>
              <w:t>工具调用</w:t>
            </w:r>
          </w:p>
        </w:tc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2C50D">
            <w:pPr>
              <w:widowControl/>
              <w:jc w:val="left"/>
              <w:rPr>
                <w:rFonts w:ascii="仿宋" w:hAnsi="仿宋" w:eastAsia="仿宋" w:cs="华文仿宋"/>
                <w:color w:val="404040"/>
                <w:sz w:val="28"/>
              </w:rPr>
            </w:pPr>
            <w:r>
              <w:rPr>
                <w:rFonts w:hint="eastAsia" w:ascii="仿宋" w:hAnsi="仿宋" w:eastAsia="仿宋" w:cs="华文仿宋"/>
                <w:color w:val="404040"/>
                <w:kern w:val="0"/>
                <w:sz w:val="28"/>
                <w:lang w:bidi="ar"/>
              </w:rPr>
              <w:t>每种工具都需要适配不同的 API</w:t>
            </w:r>
          </w:p>
        </w:tc>
        <w:tc>
          <w:tcPr>
            <w:tcW w:w="3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194EB7">
            <w:pPr>
              <w:widowControl/>
              <w:jc w:val="left"/>
              <w:rPr>
                <w:rFonts w:ascii="仿宋" w:hAnsi="仿宋" w:eastAsia="仿宋" w:cs="华文仿宋"/>
                <w:color w:val="404040"/>
                <w:sz w:val="28"/>
              </w:rPr>
            </w:pPr>
            <w:r>
              <w:rPr>
                <w:rFonts w:hint="eastAsia" w:ascii="仿宋" w:hAnsi="仿宋" w:eastAsia="仿宋" w:cs="华文仿宋"/>
                <w:color w:val="404040"/>
                <w:sz w:val="28"/>
              </w:rPr>
              <w:t>MCP 标准化工具调用，让Agent以相同方式使用各类工具</w:t>
            </w:r>
          </w:p>
        </w:tc>
      </w:tr>
      <w:tr w14:paraId="3455AE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0" w:type="dxa"/>
            </w:tcMar>
            <w:vAlign w:val="center"/>
          </w:tcPr>
          <w:p w14:paraId="7E8125E7">
            <w:pPr>
              <w:widowControl/>
              <w:jc w:val="center"/>
              <w:rPr>
                <w:rStyle w:val="18"/>
                <w:rFonts w:ascii="仿宋" w:hAnsi="仿宋" w:eastAsia="仿宋" w:cs="华文仿宋"/>
                <w:color w:val="404040"/>
                <w:kern w:val="0"/>
                <w:sz w:val="28"/>
                <w:lang w:bidi="ar"/>
              </w:rPr>
            </w:pPr>
            <w:r>
              <w:rPr>
                <w:rStyle w:val="18"/>
                <w:rFonts w:hint="eastAsia" w:ascii="仿宋" w:hAnsi="仿宋" w:eastAsia="仿宋" w:cs="华文仿宋"/>
                <w:color w:val="404040"/>
                <w:kern w:val="0"/>
                <w:sz w:val="28"/>
                <w:lang w:bidi="ar"/>
              </w:rPr>
              <w:t>扩展性</w:t>
            </w:r>
          </w:p>
        </w:tc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DFD581">
            <w:pPr>
              <w:widowControl/>
              <w:jc w:val="left"/>
              <w:rPr>
                <w:rFonts w:ascii="仿宋" w:hAnsi="仿宋" w:eastAsia="仿宋" w:cs="华文仿宋"/>
                <w:color w:val="404040"/>
                <w:kern w:val="0"/>
                <w:sz w:val="28"/>
                <w:lang w:bidi="ar"/>
              </w:rPr>
            </w:pPr>
            <w:r>
              <w:rPr>
                <w:rFonts w:hint="eastAsia" w:ascii="仿宋" w:hAnsi="仿宋" w:eastAsia="仿宋" w:cs="华文仿宋"/>
                <w:color w:val="404040"/>
                <w:kern w:val="0"/>
                <w:sz w:val="28"/>
                <w:lang w:bidi="ar"/>
              </w:rPr>
              <w:t>新增数据源或工具需额外适配，升级复杂</w:t>
            </w:r>
          </w:p>
        </w:tc>
        <w:tc>
          <w:tcPr>
            <w:tcW w:w="3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1BB9B0">
            <w:pPr>
              <w:widowControl/>
              <w:jc w:val="left"/>
              <w:rPr>
                <w:rFonts w:ascii="仿宋" w:hAnsi="仿宋" w:eastAsia="仿宋" w:cs="华文仿宋"/>
                <w:color w:val="404040"/>
                <w:kern w:val="0"/>
                <w:sz w:val="28"/>
                <w:lang w:bidi="ar"/>
              </w:rPr>
            </w:pPr>
            <w:r>
              <w:rPr>
                <w:rFonts w:hint="eastAsia" w:ascii="仿宋" w:hAnsi="仿宋" w:eastAsia="仿宋" w:cs="华文仿宋"/>
                <w:color w:val="404040"/>
                <w:kern w:val="0"/>
                <w:sz w:val="28"/>
                <w:lang w:bidi="ar"/>
              </w:rPr>
              <w:t>通过MCP直接扩展，无需修改代码，提高灵活性</w:t>
            </w:r>
          </w:p>
        </w:tc>
      </w:tr>
      <w:tr w14:paraId="7EBFA6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0" w:type="dxa"/>
            </w:tcMar>
            <w:vAlign w:val="center"/>
          </w:tcPr>
          <w:p w14:paraId="321ED2EE">
            <w:pPr>
              <w:widowControl/>
              <w:jc w:val="center"/>
              <w:rPr>
                <w:rFonts w:ascii="仿宋" w:hAnsi="仿宋" w:eastAsia="仿宋" w:cs="华文仿宋"/>
                <w:color w:val="404040"/>
                <w:sz w:val="28"/>
              </w:rPr>
            </w:pPr>
            <w:r>
              <w:rPr>
                <w:rStyle w:val="18"/>
                <w:rFonts w:hint="eastAsia" w:ascii="仿宋" w:hAnsi="仿宋" w:eastAsia="仿宋" w:cs="华文仿宋"/>
                <w:color w:val="404040"/>
                <w:kern w:val="0"/>
                <w:sz w:val="28"/>
                <w:lang w:bidi="ar"/>
              </w:rPr>
              <w:t>数据安全</w:t>
            </w:r>
          </w:p>
        </w:tc>
        <w:tc>
          <w:tcPr>
            <w:tcW w:w="3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23A8C9">
            <w:pPr>
              <w:widowControl/>
              <w:jc w:val="left"/>
              <w:rPr>
                <w:rFonts w:ascii="仿宋" w:hAnsi="仿宋" w:eastAsia="仿宋" w:cs="华文仿宋"/>
                <w:color w:val="404040"/>
                <w:sz w:val="28"/>
              </w:rPr>
            </w:pPr>
            <w:r>
              <w:rPr>
                <w:rFonts w:hint="eastAsia" w:ascii="仿宋" w:hAnsi="仿宋" w:eastAsia="仿宋" w:cs="华文仿宋"/>
                <w:color w:val="404040"/>
                <w:kern w:val="0"/>
                <w:sz w:val="28"/>
                <w:lang w:bidi="ar"/>
              </w:rPr>
              <w:t>Agent直接访问数据库，权限管理难，易导致数据泄露</w:t>
            </w:r>
          </w:p>
        </w:tc>
        <w:tc>
          <w:tcPr>
            <w:tcW w:w="3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0E07D4">
            <w:pPr>
              <w:widowControl/>
              <w:jc w:val="left"/>
              <w:rPr>
                <w:rFonts w:ascii="仿宋" w:hAnsi="仿宋" w:eastAsia="仿宋" w:cs="华文仿宋"/>
                <w:color w:val="404040"/>
                <w:sz w:val="28"/>
              </w:rPr>
            </w:pPr>
            <w:r>
              <w:rPr>
                <w:rFonts w:hint="eastAsia" w:ascii="仿宋" w:hAnsi="仿宋" w:eastAsia="仿宋" w:cs="华文仿宋"/>
                <w:color w:val="404040"/>
                <w:kern w:val="0"/>
                <w:sz w:val="28"/>
                <w:lang w:bidi="ar"/>
              </w:rPr>
              <w:t>MCP 受控访问数据，支持本地处理，降低泄露风险</w:t>
            </w:r>
          </w:p>
        </w:tc>
      </w:tr>
    </w:tbl>
    <w:p w14:paraId="48BB312E">
      <w:pPr>
        <w:pStyle w:val="7"/>
        <w:jc w:val="center"/>
        <w:rPr>
          <w:rFonts w:hint="eastAsia"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表 1 Agent采用MCP方案前后变化</w:t>
      </w:r>
    </w:p>
    <w:p w14:paraId="244D6D44"/>
    <w:p w14:paraId="29965321">
      <w:pPr>
        <w:pStyle w:val="3"/>
        <w:spacing w:before="0" w:after="0" w:line="240" w:lineRule="auto"/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华文仿宋"/>
          <w:color w:val="000000" w:themeColor="text1"/>
          <w:sz w:val="28"/>
          <w14:textFill>
            <w14:solidFill>
              <w14:schemeClr w14:val="tx1"/>
            </w14:solidFill>
          </w14:textFill>
        </w:rPr>
        <w:t>3、MCP生态</w:t>
      </w:r>
      <w:r>
        <w:rPr>
          <w:rFonts w:hint="eastAsia" w:ascii="仿宋" w:hAnsi="仿宋" w:eastAsia="仿宋" w:cs="华文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快速发展</w:t>
      </w:r>
    </w:p>
    <w:p w14:paraId="3243BE3B">
      <w:pPr>
        <w:ind w:firstLine="560" w:firstLineChars="200"/>
        <w:rPr>
          <w:rFonts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目前MCP 生态快速扩张，已从最初仅服务于 Claude 桌面应用的内嵌协议，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逐步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成长为被多种 AI 工具、开发框架和企业系统采纳的接口标准。如图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仿宋" w:hAnsi="仿宋" w:eastAsia="仿宋" w:cs="华文仿宋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所示，MCP 已覆盖客户端应用、服务器插件、开发框架、托管服务与连接管理等多个关键模块，生态体系初具雏形。</w:t>
      </w:r>
    </w:p>
    <w:p w14:paraId="267DA54D">
      <w:pPr>
        <w:pStyle w:val="7"/>
        <w:jc w:val="center"/>
        <w:rPr>
          <w:rFonts w:ascii="仿宋" w:hAnsi="仿宋" w:eastAsia="仿宋"/>
          <w:sz w:val="21"/>
        </w:rPr>
      </w:pPr>
      <w:r>
        <w:drawing>
          <wp:inline distT="0" distB="0" distL="114300" distR="114300">
            <wp:extent cx="5433060" cy="4244975"/>
            <wp:effectExtent l="0" t="0" r="2540" b="9525"/>
            <wp:docPr id="4" name="图片 3" descr="图2 MCP生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图2 MCP生态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8CD5">
      <w:pPr>
        <w:pStyle w:val="7"/>
        <w:jc w:val="center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图 </w:t>
      </w:r>
      <w:r>
        <w:rPr>
          <w:rFonts w:hint="eastAsia" w:ascii="仿宋" w:hAnsi="仿宋" w:eastAsia="仿宋"/>
          <w:sz w:val="21"/>
        </w:rPr>
        <w:fldChar w:fldCharType="begin"/>
      </w:r>
      <w:r>
        <w:rPr>
          <w:rFonts w:hint="eastAsia" w:ascii="仿宋" w:hAnsi="仿宋" w:eastAsia="仿宋"/>
          <w:sz w:val="21"/>
        </w:rPr>
        <w:instrText xml:space="preserve"> SEQ 图 \* ARABIC </w:instrText>
      </w:r>
      <w:r>
        <w:rPr>
          <w:rFonts w:hint="eastAsia" w:ascii="仿宋" w:hAnsi="仿宋" w:eastAsia="仿宋"/>
          <w:sz w:val="21"/>
        </w:rPr>
        <w:fldChar w:fldCharType="separate"/>
      </w:r>
      <w:r>
        <w:rPr>
          <w:rFonts w:hint="eastAsia" w:ascii="仿宋" w:hAnsi="仿宋" w:eastAsia="仿宋"/>
          <w:sz w:val="21"/>
        </w:rPr>
        <w:t>3</w:t>
      </w:r>
      <w:r>
        <w:rPr>
          <w:rFonts w:hint="eastAsia" w:ascii="仿宋" w:hAnsi="仿宋" w:eastAsia="仿宋"/>
          <w:sz w:val="21"/>
        </w:rPr>
        <w:fldChar w:fldCharType="end"/>
      </w:r>
      <w:r>
        <w:rPr>
          <w:rFonts w:hint="eastAsia" w:ascii="仿宋" w:hAnsi="仿宋" w:eastAsia="仿宋"/>
          <w:sz w:val="21"/>
        </w:rPr>
        <w:t xml:space="preserve"> MCP生态图（来源：a16z）</w:t>
      </w:r>
    </w:p>
    <w:p w14:paraId="1CC47F8F">
      <w:pPr>
        <w:ind w:firstLine="562" w:firstLineChars="200"/>
        <w:rPr>
          <w:rFonts w:ascii="仿宋" w:hAnsi="仿宋" w:eastAsia="仿宋" w:cs="华文仿宋"/>
          <w:bCs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华文仿宋"/>
          <w:b/>
          <w:bCs w:val="0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在MCP Client</w:t>
      </w:r>
      <w:r>
        <w:rPr>
          <w:rFonts w:hint="eastAsia" w:ascii="仿宋" w:hAnsi="仿宋" w:eastAsia="仿宋" w:cs="华文仿宋"/>
          <w:b/>
          <w:bCs w:val="0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方面</w:t>
      </w:r>
      <w:r>
        <w:rPr>
          <w:rFonts w:hint="eastAsia" w:ascii="仿宋" w:hAnsi="仿宋" w:eastAsia="仿宋" w:cs="华文仿宋"/>
          <w:b/>
          <w:bCs w:val="0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华文仿宋"/>
          <w:b/>
          <w:bCs w:val="0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高质量客户端</w:t>
      </w:r>
      <w:r>
        <w:rPr>
          <w:rFonts w:hint="eastAsia" w:ascii="仿宋" w:hAnsi="仿宋" w:eastAsia="仿宋" w:cs="华文仿宋"/>
          <w:b/>
          <w:bCs w:val="0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主要集中在三个方向</w:t>
      </w:r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一是 Claude</w:t>
      </w:r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ChatGPT等大模型平台，以及Librechat等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AI对话平台</w:t>
      </w:r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；二是</w:t>
      </w:r>
      <w:r>
        <w:rPr>
          <w:rFonts w:hint="eastAsia" w:ascii="仿宋" w:hAnsi="仿宋" w:eastAsia="仿宋" w:cs="华文仿宋"/>
          <w:b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智能编程工具</w:t>
      </w:r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（如 Cursor、Cline），在AI 编程场景中，通过MCP在 IDE 里调用外部应用和系统的能力；三是</w:t>
      </w:r>
      <w:r>
        <w:rPr>
          <w:rFonts w:hint="eastAsia" w:ascii="仿宋" w:hAnsi="仿宋" w:eastAsia="仿宋" w:cs="华文仿宋"/>
          <w:b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任务自动化平台</w:t>
      </w:r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 xml:space="preserve">（如 </w:t>
      </w:r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Codename Goose</w:t>
      </w:r>
      <w:bookmarkStart w:id="0" w:name="_GoBack"/>
      <w:bookmarkEnd w:id="0"/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），以 MCP 为通用接口，帮用户自动化执行重复性任务，如数据处理、流程调度，以提升效率。</w:t>
      </w:r>
    </w:p>
    <w:p w14:paraId="01954BCF">
      <w:pPr>
        <w:ind w:firstLine="562" w:firstLineChars="200"/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华文仿宋"/>
          <w:b/>
          <w:bCs w:val="0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仿宋" w:hAnsi="仿宋" w:eastAsia="仿宋" w:cs="华文仿宋"/>
          <w:b/>
          <w:bCs w:val="0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MCP Server</w:t>
      </w:r>
      <w:r>
        <w:rPr>
          <w:rFonts w:hint="eastAsia" w:ascii="仿宋" w:hAnsi="仿宋" w:eastAsia="仿宋" w:cs="华文仿宋"/>
          <w:b/>
          <w:bCs w:val="0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方面，大量资源的涌现</w:t>
      </w:r>
      <w:r>
        <w:rPr>
          <w:rFonts w:hint="eastAsia" w:ascii="仿宋" w:hAnsi="仿宋" w:eastAsia="仿宋" w:cs="华文仿宋"/>
          <w:b/>
          <w:bCs w:val="0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为生态</w:t>
      </w:r>
      <w:r>
        <w:rPr>
          <w:rFonts w:hint="eastAsia" w:ascii="仿宋" w:hAnsi="仿宋" w:eastAsia="仿宋" w:cs="华文仿宋"/>
          <w:b/>
          <w:bCs w:val="0"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可持续发展</w:t>
      </w:r>
      <w:r>
        <w:rPr>
          <w:rFonts w:hint="eastAsia" w:ascii="仿宋" w:hAnsi="仿宋" w:eastAsia="仿宋" w:cs="华文仿宋"/>
          <w:b/>
          <w:bCs w:val="0"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提供了基础</w:t>
      </w:r>
      <w:r>
        <w:rPr>
          <w:rFonts w:hint="eastAsia" w:ascii="仿宋" w:hAnsi="仿宋" w:eastAsia="仿宋" w:cs="华文仿宋"/>
          <w:b w:val="0"/>
          <w:bCs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截至 2025 年 2 月， Hugging Face 社区已贡献超过 1000 个 MCP Server，覆盖数据库、图像处理、支付系统等多个场景。GitHub 上也涌现出大量适配项目，提升了 Agent 的可接入性与扩展性。</w:t>
      </w:r>
    </w:p>
    <w:p w14:paraId="1A8E6479">
      <w:pPr>
        <w:ind w:firstLine="562" w:firstLineChars="200"/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华文仿宋"/>
          <w:b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仿宋" w:hAnsi="仿宋" w:eastAsia="仿宋" w:cs="华文仿宋"/>
          <w:b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MCP市场平台</w:t>
      </w:r>
      <w:r>
        <w:rPr>
          <w:rFonts w:hint="eastAsia" w:ascii="仿宋" w:hAnsi="仿宋" w:eastAsia="仿宋" w:cs="华文仿宋"/>
          <w:b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方面，</w:t>
      </w:r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Mintlify、Smithery、MCP.so 等平台提供了 Server 的发布、发现与托管功能，降低了工具方与开发者的接入门槛，并初步催生了“Tool-as-a-Service”的商业模型。</w:t>
      </w:r>
    </w:p>
    <w:p w14:paraId="5BFE8C94">
      <w:pPr>
        <w:ind w:firstLine="562" w:firstLineChars="200"/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highlight w:val="none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华文仿宋"/>
          <w:b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在底层基础设施方面</w:t>
      </w:r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，Mintlify、Stainless、Speakeasy 等 Server 生成工具正在简化 MCP 兼容服务的开发流程，而 Cloudflare 和 Smithery 等托管方案则解决了部署、扩展和稳定性等运维挑战。同时，Toolbase 等连接管理平台也开始支持本地优先的密钥管理与 Agent 访问调度，</w:t>
      </w:r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highlight w:val="none"/>
          <w:lang w:bidi="ar"/>
          <w14:textFill>
            <w14:solidFill>
              <w14:schemeClr w14:val="tx1"/>
            </w14:solidFill>
          </w14:textFill>
        </w:rPr>
        <w:t>进一步提升整体生态的可控性与易用性。</w:t>
      </w:r>
    </w:p>
    <w:p w14:paraId="4D98078E">
      <w:pPr>
        <w:ind w:firstLine="560" w:firstLineChars="200"/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highlight w:val="none"/>
          <w:lang w:bidi="ar"/>
          <w14:textFill>
            <w14:solidFill>
              <w14:schemeClr w14:val="tx1"/>
            </w14:solidFill>
          </w14:textFill>
        </w:rPr>
      </w:pPr>
    </w:p>
    <w:p w14:paraId="0F724813">
      <w:pPr>
        <w:pStyle w:val="3"/>
        <w:spacing w:before="0" w:after="0" w:line="240" w:lineRule="auto"/>
        <w:rPr>
          <w:rFonts w:ascii="仿宋" w:hAnsi="仿宋" w:eastAsia="仿宋" w:cs="华文仿宋"/>
          <w:sz w:val="28"/>
        </w:rPr>
      </w:pPr>
      <w:r>
        <w:rPr>
          <w:rFonts w:hint="eastAsia" w:ascii="仿宋" w:hAnsi="仿宋" w:eastAsia="仿宋" w:cs="华文仿宋"/>
          <w:sz w:val="28"/>
        </w:rPr>
        <w:t>4、对未来发展的</w:t>
      </w:r>
      <w:r>
        <w:rPr>
          <w:rFonts w:hint="eastAsia" w:ascii="仿宋" w:hAnsi="仿宋" w:eastAsia="仿宋" w:cs="华文仿宋"/>
          <w:sz w:val="28"/>
          <w:lang w:val="en-US" w:eastAsia="zh-CN"/>
        </w:rPr>
        <w:t>一些</w:t>
      </w:r>
      <w:r>
        <w:rPr>
          <w:rFonts w:hint="eastAsia" w:ascii="仿宋" w:hAnsi="仿宋" w:eastAsia="仿宋" w:cs="华文仿宋"/>
          <w:sz w:val="28"/>
        </w:rPr>
        <w:t>判断</w:t>
      </w:r>
    </w:p>
    <w:p w14:paraId="27D8F805">
      <w:pPr>
        <w:ind w:firstLine="420"/>
        <w:rPr>
          <w:rFonts w:hint="eastAsia" w:ascii="仿宋" w:hAnsi="仿宋" w:eastAsia="仿宋" w:cs="华文仿宋"/>
          <w:b/>
          <w:bCs/>
          <w:sz w:val="28"/>
          <w:lang w:val="en-US" w:eastAsia="zh-CN"/>
        </w:rPr>
      </w:pPr>
      <w:r>
        <w:rPr>
          <w:rFonts w:hint="eastAsia" w:ascii="仿宋" w:hAnsi="仿宋" w:eastAsia="仿宋" w:cs="华文仿宋"/>
          <w:b/>
          <w:bCs/>
          <w:sz w:val="28"/>
        </w:rPr>
        <w:t>MCP 与 Agent 正在形成一种“双向进化”的生态共振关系。</w:t>
      </w:r>
      <w:r>
        <w:rPr>
          <w:rFonts w:hint="eastAsia" w:ascii="仿宋" w:hAnsi="仿宋" w:eastAsia="仿宋" w:cs="华文仿宋"/>
          <w:sz w:val="28"/>
        </w:rPr>
        <w:t>一方面，MCP 的标准化设计</w:t>
      </w:r>
      <w:r>
        <w:rPr>
          <w:rFonts w:hint="eastAsia" w:ascii="仿宋" w:hAnsi="仿宋" w:eastAsia="仿宋" w:cs="华文仿宋"/>
          <w:sz w:val="28"/>
          <w:lang w:eastAsia="zh-CN"/>
        </w:rPr>
        <w:t>，</w:t>
      </w:r>
      <w:r>
        <w:rPr>
          <w:rFonts w:hint="eastAsia" w:ascii="仿宋" w:hAnsi="仿宋" w:eastAsia="仿宋" w:cs="华文仿宋"/>
          <w:sz w:val="28"/>
        </w:rPr>
        <w:t>能力模块可复用、可组合降低了 Agent 开发的复杂度</w:t>
      </w:r>
      <w:r>
        <w:rPr>
          <w:rFonts w:hint="eastAsia" w:ascii="仿宋" w:hAnsi="仿宋" w:eastAsia="仿宋" w:cs="华文仿宋"/>
          <w:sz w:val="28"/>
          <w:lang w:eastAsia="zh-CN"/>
        </w:rPr>
        <w:t>；</w:t>
      </w:r>
      <w:r>
        <w:rPr>
          <w:rFonts w:hint="eastAsia" w:ascii="仿宋" w:hAnsi="仿宋" w:eastAsia="仿宋" w:cs="华文仿宋"/>
          <w:sz w:val="28"/>
        </w:rPr>
        <w:t>另一方面，Agent 的多样化需求也倒逼 MCP 协议</w:t>
      </w:r>
      <w:r>
        <w:rPr>
          <w:rFonts w:hint="eastAsia" w:ascii="仿宋" w:hAnsi="仿宋" w:eastAsia="仿宋" w:cs="华文仿宋"/>
          <w:sz w:val="28"/>
          <w:lang w:val="en-US" w:eastAsia="zh-CN"/>
        </w:rPr>
        <w:t>要</w:t>
      </w:r>
      <w:r>
        <w:rPr>
          <w:rFonts w:hint="eastAsia" w:ascii="仿宋" w:hAnsi="仿宋" w:eastAsia="仿宋" w:cs="华文仿宋"/>
          <w:sz w:val="28"/>
        </w:rPr>
        <w:t>持续迭代工具接口与权限策略，形成良性的生态循环。特别是在在企业级 Agent 场景中，MCP 既支持私有化部署、远程 Server 管理，又能通过权限控制体系应对企业对数据合规与安全的严格要求，显示出更高的落地适配性。</w:t>
      </w:r>
      <w:r>
        <w:rPr>
          <w:rFonts w:hint="eastAsia" w:ascii="仿宋" w:hAnsi="仿宋" w:eastAsia="仿宋" w:cs="华文仿宋"/>
          <w:b/>
          <w:bCs/>
          <w:sz w:val="28"/>
        </w:rPr>
        <w:t>但</w:t>
      </w:r>
      <w:r>
        <w:rPr>
          <w:rFonts w:hint="eastAsia" w:ascii="仿宋" w:hAnsi="仿宋" w:eastAsia="仿宋" w:cs="华文仿宋"/>
          <w:b/>
          <w:bCs/>
          <w:sz w:val="28"/>
          <w:lang w:val="en-US" w:eastAsia="zh-CN"/>
        </w:rPr>
        <w:t>MCP</w:t>
      </w:r>
      <w:r>
        <w:rPr>
          <w:rFonts w:hint="eastAsia" w:ascii="仿宋" w:hAnsi="仿宋" w:eastAsia="仿宋" w:cs="华文仿宋"/>
          <w:b/>
          <w:bCs/>
          <w:sz w:val="28"/>
        </w:rPr>
        <w:t>要真正成为 Agent 时代的主导协议标准，</w:t>
      </w:r>
      <w:r>
        <w:rPr>
          <w:rFonts w:hint="eastAsia" w:ascii="仿宋" w:hAnsi="仿宋" w:eastAsia="仿宋" w:cs="华文仿宋"/>
          <w:b/>
          <w:bCs/>
          <w:sz w:val="28"/>
          <w:lang w:val="en-US" w:eastAsia="zh-CN"/>
        </w:rPr>
        <w:t>预计持续改进的方向可能是：</w:t>
      </w:r>
    </w:p>
    <w:p w14:paraId="6224ED44">
      <w:pPr>
        <w:ind w:firstLine="420"/>
        <w:rPr>
          <w:rFonts w:hint="eastAsia" w:ascii="仿宋" w:hAnsi="仿宋" w:eastAsia="仿宋" w:cs="华文仿宋"/>
          <w:b/>
          <w:bCs/>
          <w:sz w:val="28"/>
          <w:lang w:val="en-US" w:eastAsia="zh-CN"/>
        </w:rPr>
      </w:pPr>
      <w:r>
        <w:rPr>
          <w:rFonts w:hint="eastAsia" w:ascii="仿宋" w:hAnsi="仿宋" w:eastAsia="仿宋" w:cs="华文仿宋"/>
          <w:b/>
          <w:bCs/>
          <w:sz w:val="28"/>
          <w:lang w:val="en-US" w:eastAsia="zh-CN"/>
        </w:rPr>
        <w:t>一是持续提升用户体验。</w:t>
      </w:r>
      <w:r>
        <w:rPr>
          <w:rFonts w:hint="eastAsia" w:ascii="仿宋" w:hAnsi="仿宋" w:eastAsia="仿宋" w:cs="华文仿宋"/>
          <w:sz w:val="28"/>
        </w:rPr>
        <w:t>例如，在远程 HTTP 模式方面，社区已在优化响应延迟和调用链路稳定性</w:t>
      </w:r>
      <w:r>
        <w:rPr>
          <w:rFonts w:hint="eastAsia" w:ascii="仿宋" w:hAnsi="仿宋" w:eastAsia="仿宋" w:cs="华文仿宋"/>
          <w:sz w:val="28"/>
          <w:lang w:eastAsia="zh-CN"/>
        </w:rPr>
        <w:t>，</w:t>
      </w:r>
      <w:r>
        <w:rPr>
          <w:rFonts w:hint="eastAsia" w:ascii="仿宋" w:hAnsi="仿宋" w:eastAsia="仿宋" w:cs="华文仿宋"/>
          <w:sz w:val="28"/>
        </w:rPr>
        <w:t xml:space="preserve">而在运行时组合性方面，MCP </w:t>
      </w:r>
      <w:r>
        <w:rPr>
          <w:rFonts w:hint="eastAsia" w:ascii="仿宋" w:hAnsi="仿宋" w:eastAsia="仿宋" w:cs="华文仿宋"/>
          <w:sz w:val="28"/>
          <w:lang w:val="en-US" w:eastAsia="zh-CN"/>
        </w:rPr>
        <w:t>可以考虑</w:t>
      </w:r>
      <w:r>
        <w:rPr>
          <w:rFonts w:hint="eastAsia" w:ascii="仿宋" w:hAnsi="仿宋" w:eastAsia="仿宋" w:cs="华文仿宋"/>
          <w:sz w:val="28"/>
        </w:rPr>
        <w:t>支持用户在应用运行过程中动态添加工具，借助大模型的接口理解能力，实现“即插即用”的能力拓展。</w:t>
      </w:r>
    </w:p>
    <w:p w14:paraId="0BC0CC4E">
      <w:pPr>
        <w:ind w:firstLine="420"/>
        <w:rPr>
          <w:rFonts w:hint="eastAsia" w:ascii="仿宋" w:hAnsi="仿宋" w:eastAsia="仿宋" w:cs="华文仿宋"/>
          <w:b w:val="0"/>
          <w:bCs w:val="0"/>
          <w:sz w:val="28"/>
        </w:rPr>
      </w:pPr>
      <w:r>
        <w:rPr>
          <w:rFonts w:hint="eastAsia" w:ascii="仿宋" w:hAnsi="仿宋" w:eastAsia="仿宋" w:cs="华文仿宋"/>
          <w:b/>
          <w:bCs/>
          <w:sz w:val="28"/>
          <w:lang w:val="en-US" w:eastAsia="zh-CN"/>
        </w:rPr>
        <w:t>二是增强多Agent通信场景支持。</w:t>
      </w:r>
      <w:r>
        <w:rPr>
          <w:rFonts w:hint="eastAsia" w:ascii="仿宋" w:hAnsi="仿宋" w:eastAsia="仿宋" w:cs="华文仿宋"/>
          <w:b w:val="0"/>
          <w:bCs w:val="0"/>
          <w:sz w:val="28"/>
          <w:lang w:val="en-US" w:eastAsia="zh-CN"/>
        </w:rPr>
        <w:t>MCP目前</w:t>
      </w:r>
      <w:r>
        <w:rPr>
          <w:rFonts w:hint="eastAsia" w:ascii="仿宋" w:hAnsi="仿宋" w:eastAsia="仿宋" w:cs="华文仿宋"/>
          <w:b w:val="0"/>
          <w:bCs w:val="0"/>
          <w:sz w:val="28"/>
        </w:rPr>
        <w:t>在“单</w:t>
      </w:r>
      <w:r>
        <w:rPr>
          <w:rFonts w:hint="eastAsia" w:ascii="仿宋" w:hAnsi="仿宋" w:eastAsia="仿宋" w:cs="华文仿宋"/>
          <w:b w:val="0"/>
          <w:bCs w:val="0"/>
          <w:sz w:val="28"/>
          <w:lang w:val="en-US" w:eastAsia="zh-CN"/>
        </w:rPr>
        <w:t>Agent</w:t>
      </w:r>
      <w:r>
        <w:rPr>
          <w:rFonts w:hint="eastAsia" w:ascii="仿宋" w:hAnsi="仿宋" w:eastAsia="仿宋" w:cs="华文仿宋"/>
          <w:b w:val="0"/>
          <w:bCs w:val="0"/>
          <w:sz w:val="28"/>
        </w:rPr>
        <w:t>调用</w:t>
      </w:r>
      <w:r>
        <w:rPr>
          <w:rFonts w:hint="eastAsia" w:ascii="仿宋" w:hAnsi="仿宋" w:eastAsia="仿宋" w:cs="华文仿宋"/>
          <w:b w:val="0"/>
          <w:bCs w:val="0"/>
          <w:sz w:val="28"/>
          <w:lang w:val="en-US" w:eastAsia="zh-CN"/>
        </w:rPr>
        <w:t>外部</w:t>
      </w:r>
      <w:r>
        <w:rPr>
          <w:rFonts w:hint="eastAsia" w:ascii="仿宋" w:hAnsi="仿宋" w:eastAsia="仿宋" w:cs="华文仿宋"/>
          <w:b w:val="0"/>
          <w:bCs w:val="0"/>
          <w:sz w:val="28"/>
        </w:rPr>
        <w:t>工具”方面建立清晰路径</w:t>
      </w:r>
      <w:r>
        <w:rPr>
          <w:rFonts w:hint="eastAsia" w:ascii="仿宋" w:hAnsi="仿宋" w:eastAsia="仿宋" w:cs="华文仿宋"/>
          <w:b w:val="0"/>
          <w:bCs w:val="0"/>
          <w:sz w:val="28"/>
          <w:lang w:eastAsia="zh-CN"/>
        </w:rPr>
        <w:t>，</w:t>
      </w:r>
      <w:r>
        <w:rPr>
          <w:rFonts w:hint="eastAsia" w:ascii="仿宋" w:hAnsi="仿宋" w:eastAsia="仿宋" w:cs="华文仿宋"/>
          <w:b w:val="0"/>
          <w:bCs w:val="0"/>
          <w:sz w:val="28"/>
        </w:rPr>
        <w:t xml:space="preserve">但在多 Agent </w:t>
      </w:r>
      <w:r>
        <w:rPr>
          <w:rFonts w:hint="eastAsia" w:ascii="仿宋" w:hAnsi="仿宋" w:eastAsia="仿宋" w:cs="华文仿宋"/>
          <w:b w:val="0"/>
          <w:bCs w:val="0"/>
          <w:sz w:val="28"/>
          <w:lang w:val="en-US" w:eastAsia="zh-CN"/>
        </w:rPr>
        <w:t>通信</w:t>
      </w:r>
      <w:r>
        <w:rPr>
          <w:rFonts w:hint="eastAsia" w:ascii="仿宋" w:hAnsi="仿宋" w:eastAsia="仿宋" w:cs="华文仿宋"/>
          <w:b w:val="0"/>
          <w:bCs w:val="0"/>
          <w:sz w:val="28"/>
        </w:rPr>
        <w:t>场景中支持仍较弱，例如Agent间缺乏状态同步、任务协同、身份认证等机制</w:t>
      </w:r>
      <w:r>
        <w:rPr>
          <w:rFonts w:hint="eastAsia" w:ascii="仿宋" w:hAnsi="仿宋" w:eastAsia="仿宋" w:cs="华文仿宋"/>
          <w:b w:val="0"/>
          <w:bCs w:val="0"/>
          <w:sz w:val="28"/>
          <w:lang w:eastAsia="zh-CN"/>
        </w:rPr>
        <w:t>，</w:t>
      </w:r>
      <w:r>
        <w:rPr>
          <w:rFonts w:hint="eastAsia" w:ascii="仿宋" w:hAnsi="仿宋" w:eastAsia="仿宋" w:cs="华文仿宋"/>
          <w:b w:val="0"/>
          <w:bCs w:val="0"/>
          <w:sz w:val="28"/>
        </w:rPr>
        <w:t xml:space="preserve"> 若能扩展</w:t>
      </w:r>
      <w:r>
        <w:rPr>
          <w:rFonts w:hint="eastAsia" w:ascii="仿宋" w:hAnsi="仿宋" w:eastAsia="仿宋" w:cs="华文仿宋"/>
          <w:b w:val="0"/>
          <w:bCs w:val="0"/>
          <w:sz w:val="28"/>
          <w:lang w:val="en-US" w:eastAsia="zh-CN"/>
        </w:rPr>
        <w:t>到支持Agent之间的</w:t>
      </w:r>
      <w:r>
        <w:rPr>
          <w:rFonts w:hint="eastAsia" w:ascii="仿宋" w:hAnsi="仿宋" w:eastAsia="仿宋" w:cs="华文仿宋"/>
          <w:b w:val="0"/>
          <w:bCs w:val="0"/>
          <w:sz w:val="28"/>
        </w:rPr>
        <w:t>通信，将显著提升其在</w:t>
      </w:r>
      <w:r>
        <w:rPr>
          <w:rFonts w:hint="eastAsia" w:ascii="仿宋" w:hAnsi="仿宋" w:eastAsia="仿宋" w:cs="华文仿宋"/>
          <w:b w:val="0"/>
          <w:bCs w:val="0"/>
          <w:sz w:val="28"/>
          <w:lang w:val="en-US" w:eastAsia="zh-CN"/>
        </w:rPr>
        <w:t>Agent应用</w:t>
      </w:r>
      <w:r>
        <w:rPr>
          <w:rFonts w:hint="eastAsia" w:ascii="仿宋" w:hAnsi="仿宋" w:eastAsia="仿宋" w:cs="华文仿宋"/>
          <w:b w:val="0"/>
          <w:bCs w:val="0"/>
          <w:sz w:val="28"/>
        </w:rPr>
        <w:t>中的</w:t>
      </w:r>
      <w:r>
        <w:rPr>
          <w:rFonts w:hint="eastAsia" w:ascii="仿宋" w:hAnsi="仿宋" w:eastAsia="仿宋" w:cs="华文仿宋"/>
          <w:b w:val="0"/>
          <w:bCs w:val="0"/>
          <w:sz w:val="28"/>
          <w:lang w:val="en-US" w:eastAsia="zh-CN"/>
        </w:rPr>
        <w:t>广泛</w:t>
      </w:r>
      <w:r>
        <w:rPr>
          <w:rFonts w:hint="eastAsia" w:ascii="仿宋" w:hAnsi="仿宋" w:eastAsia="仿宋" w:cs="华文仿宋"/>
          <w:b w:val="0"/>
          <w:bCs w:val="0"/>
          <w:sz w:val="28"/>
        </w:rPr>
        <w:t>适用性。</w:t>
      </w:r>
    </w:p>
    <w:p w14:paraId="1B5A9586">
      <w:pPr>
        <w:ind w:firstLine="420"/>
        <w:rPr>
          <w:rFonts w:ascii="仿宋" w:hAnsi="仿宋" w:eastAsia="仿宋" w:cs="华文仿宋"/>
          <w:bCs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华文仿宋"/>
          <w:b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三是吸引更多高</w:t>
      </w:r>
      <w:r>
        <w:rPr>
          <w:rFonts w:hint="eastAsia" w:ascii="仿宋" w:hAnsi="仿宋" w:eastAsia="仿宋" w:cs="华文仿宋"/>
          <w:b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质量参与者</w:t>
      </w:r>
      <w:r>
        <w:rPr>
          <w:rFonts w:hint="eastAsia" w:ascii="仿宋" w:hAnsi="仿宋" w:eastAsia="仿宋" w:cs="华文仿宋"/>
          <w:b/>
          <w:color w:val="000000" w:themeColor="text1"/>
          <w:kern w:val="0"/>
          <w:sz w:val="28"/>
          <w:lang w:eastAsia="zh-CN" w:bidi="ar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OpenAI 的正式接入无疑是 MCP 生态发展的标志性事件</w:t>
      </w:r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但Google、Microsoft、Meta 等头部海外大厂尚未公开采纳 MCP，</w:t>
      </w:r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他们以</w:t>
      </w:r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构建自有插件生态（如 Google 工具集成 API、Copilot 插件体系等）</w:t>
      </w:r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val="en-US" w:eastAsia="zh-CN" w:bidi="ar"/>
          <w14:textFill>
            <w14:solidFill>
              <w14:schemeClr w14:val="tx1"/>
            </w14:solidFill>
          </w14:textFill>
        </w:rPr>
        <w:t>为主。</w:t>
      </w:r>
      <w:r>
        <w:rPr>
          <w:rFonts w:hint="eastAsia" w:ascii="仿宋" w:hAnsi="仿宋" w:eastAsia="仿宋" w:cs="华文仿宋"/>
          <w:bCs/>
          <w:color w:val="000000" w:themeColor="text1"/>
          <w:kern w:val="0"/>
          <w:sz w:val="28"/>
          <w:lang w:bidi="ar"/>
          <w14:textFill>
            <w14:solidFill>
              <w14:schemeClr w14:val="tx1"/>
            </w14:solidFill>
          </w14:textFill>
        </w:rPr>
        <w:t>国内头部大模型厂商如阿里（通义千问）、百度（文心一言）等暂未接入 MCP，更多动作出现在地图、存储等“工具层”产品（如百度地图、阿里 Tablestore）的支持上。未来是否会有更多大模型平台与代表性 Server 提供者加入，将直接影响 MCP 是否具备从技术接口标准向生态主导协议转化的潜力。</w:t>
      </w:r>
    </w:p>
    <w:p w14:paraId="15E95061">
      <w:pPr>
        <w:ind w:firstLine="560" w:firstLineChars="200"/>
        <w:rPr>
          <w:rFonts w:hint="eastAsia" w:ascii="仿宋" w:hAnsi="仿宋" w:eastAsia="仿宋" w:cs="华文仿宋"/>
          <w:sz w:val="28"/>
        </w:rPr>
      </w:pPr>
      <w:r>
        <w:rPr>
          <w:rFonts w:hint="eastAsia" w:ascii="仿宋" w:hAnsi="仿宋" w:eastAsia="仿宋" w:cs="华文仿宋"/>
          <w:sz w:val="28"/>
        </w:rPr>
        <w:t>总的来看，MCP 在</w:t>
      </w:r>
      <w:r>
        <w:rPr>
          <w:rFonts w:hint="eastAsia" w:ascii="仿宋" w:hAnsi="仿宋" w:eastAsia="仿宋" w:cs="华文仿宋"/>
          <w:sz w:val="28"/>
          <w:lang w:val="en-US" w:eastAsia="zh-CN"/>
        </w:rPr>
        <w:t>成为</w:t>
      </w:r>
      <w:r>
        <w:rPr>
          <w:rFonts w:hint="eastAsia" w:ascii="仿宋" w:hAnsi="仿宋" w:eastAsia="仿宋" w:cs="华文仿宋"/>
          <w:sz w:val="28"/>
        </w:rPr>
        <w:t>“连接工具”</w:t>
      </w:r>
      <w:r>
        <w:rPr>
          <w:rFonts w:hint="eastAsia" w:ascii="仿宋" w:hAnsi="仿宋" w:eastAsia="仿宋" w:cs="华文仿宋"/>
          <w:sz w:val="28"/>
          <w:lang w:eastAsia="zh-CN"/>
        </w:rPr>
        <w:t>、</w:t>
      </w:r>
      <w:r>
        <w:rPr>
          <w:rFonts w:hint="eastAsia" w:ascii="仿宋" w:hAnsi="仿宋" w:eastAsia="仿宋" w:cs="华文仿宋"/>
          <w:sz w:val="28"/>
        </w:rPr>
        <w:t>Agent 时代的 USB 接口这一维度</w:t>
      </w:r>
      <w:r>
        <w:rPr>
          <w:rFonts w:hint="eastAsia" w:ascii="仿宋" w:hAnsi="仿宋" w:eastAsia="仿宋" w:cs="华文仿宋"/>
          <w:sz w:val="28"/>
          <w:lang w:eastAsia="zh-CN"/>
        </w:rPr>
        <w:t>，</w:t>
      </w:r>
      <w:r>
        <w:rPr>
          <w:rFonts w:hint="eastAsia" w:ascii="仿宋" w:hAnsi="仿宋" w:eastAsia="仿宋" w:cs="华文仿宋"/>
          <w:sz w:val="28"/>
          <w:lang w:val="en-US" w:eastAsia="zh-CN"/>
        </w:rPr>
        <w:t>有望初步</w:t>
      </w:r>
      <w:r>
        <w:rPr>
          <w:rFonts w:hint="eastAsia" w:ascii="仿宋" w:hAnsi="仿宋" w:eastAsia="仿宋" w:cs="华文仿宋"/>
          <w:sz w:val="28"/>
        </w:rPr>
        <w:t>建立标准地位，</w:t>
      </w:r>
      <w:r>
        <w:rPr>
          <w:rFonts w:hint="eastAsia" w:ascii="仿宋" w:hAnsi="仿宋" w:eastAsia="仿宋" w:cs="华文仿宋"/>
          <w:sz w:val="28"/>
          <w:lang w:val="en-US" w:eastAsia="zh-CN"/>
        </w:rPr>
        <w:t>但</w:t>
      </w:r>
      <w:r>
        <w:rPr>
          <w:rFonts w:hint="eastAsia" w:ascii="仿宋" w:hAnsi="仿宋" w:eastAsia="仿宋" w:cs="华文仿宋"/>
          <w:sz w:val="28"/>
        </w:rPr>
        <w:t>要</w:t>
      </w:r>
      <w:r>
        <w:rPr>
          <w:rFonts w:hint="eastAsia" w:ascii="仿宋" w:hAnsi="仿宋" w:eastAsia="仿宋" w:cs="华文仿宋"/>
          <w:sz w:val="28"/>
          <w:lang w:val="en-US" w:eastAsia="zh-CN"/>
        </w:rPr>
        <w:t>持续扩展并成为主导标准，可能还需要进一步提升体验，增强多Agent通信场景支持，以及进一步扩展生态圈等</w:t>
      </w:r>
      <w:r>
        <w:rPr>
          <w:rFonts w:hint="eastAsia" w:ascii="仿宋" w:hAnsi="仿宋" w:eastAsia="仿宋" w:cs="华文仿宋"/>
          <w:sz w:val="28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943B86"/>
    <w:multiLevelType w:val="singleLevel"/>
    <w:tmpl w:val="C6943B8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0967BBA"/>
    <w:multiLevelType w:val="singleLevel"/>
    <w:tmpl w:val="10967BBA"/>
    <w:lvl w:ilvl="0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D5DE0"/>
    <w:rsid w:val="00CA7EEA"/>
    <w:rsid w:val="07610E7C"/>
    <w:rsid w:val="0971327A"/>
    <w:rsid w:val="0C7967BD"/>
    <w:rsid w:val="25C73C5D"/>
    <w:rsid w:val="341D13D9"/>
    <w:rsid w:val="398F777C"/>
    <w:rsid w:val="47CB664E"/>
    <w:rsid w:val="4D5977D8"/>
    <w:rsid w:val="52A528B6"/>
    <w:rsid w:val="54685364"/>
    <w:rsid w:val="67B57CC9"/>
    <w:rsid w:val="727918F3"/>
    <w:rsid w:val="7EF5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2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Body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eastAsia="en-US"/>
    </w:rPr>
  </w:style>
  <w:style w:type="paragraph" w:styleId="10">
    <w:name w:val="Balloon Text"/>
    <w:basedOn w:val="1"/>
    <w:link w:val="25"/>
    <w:qFormat/>
    <w:uiPriority w:val="0"/>
    <w:rPr>
      <w:sz w:val="18"/>
      <w:szCs w:val="18"/>
    </w:rPr>
  </w:style>
  <w:style w:type="paragraph" w:styleId="11">
    <w:name w:val="footer"/>
    <w:basedOn w:val="1"/>
    <w:link w:val="2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4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Emphasis"/>
    <w:basedOn w:val="17"/>
    <w:qFormat/>
    <w:uiPriority w:val="0"/>
    <w:rPr>
      <w:i/>
    </w:rPr>
  </w:style>
  <w:style w:type="character" w:styleId="20">
    <w:name w:val="Hyperlink"/>
    <w:basedOn w:val="17"/>
    <w:qFormat/>
    <w:uiPriority w:val="0"/>
    <w:rPr>
      <w:color w:val="0000FF"/>
      <w:u w:val="single"/>
    </w:rPr>
  </w:style>
  <w:style w:type="character" w:styleId="21">
    <w:name w:val="HTML Code"/>
    <w:basedOn w:val="17"/>
    <w:qFormat/>
    <w:uiPriority w:val="0"/>
    <w:rPr>
      <w:rFonts w:ascii="Courier New" w:hAnsi="Courier New"/>
      <w:sz w:val="20"/>
    </w:rPr>
  </w:style>
  <w:style w:type="character" w:customStyle="1" w:styleId="22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23">
    <w:name w:val="页眉 Char"/>
    <w:basedOn w:val="17"/>
    <w:link w:val="1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4">
    <w:name w:val="页脚 Char"/>
    <w:basedOn w:val="17"/>
    <w:link w:val="11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5">
    <w:name w:val="批注框文本 Char"/>
    <w:basedOn w:val="17"/>
    <w:link w:val="10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2535</Words>
  <Characters>3187</Characters>
  <Lines>32</Lines>
  <Paragraphs>9</Paragraphs>
  <TotalTime>6</TotalTime>
  <ScaleCrop>false</ScaleCrop>
  <LinksUpToDate>false</LinksUpToDate>
  <CharactersWithSpaces>3349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2025-03-25T07:49:00Z</dcterms:created>
  <dc:creator>WQ_Z</dc:creator>
  <cp:lastModifiedBy>WQ_Z</cp:lastModifiedBy>
  <dcterms:modified xsi:type="dcterms:W3CDTF">2025-03-31T06:20:24Z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5865E99BBB2F42FB952B22A67535C120_13</vt:lpwstr>
  </property>
  <property fmtid="{D5CDD505-2E9C-101B-9397-08002B2CF9AE}" pid="4" name="KSOTemplateDocerSaveRecord">
    <vt:lpwstr>eyJoZGlkIjoiMTkzMTcwMmZhNTIxMmMwNjdiZDQ2ZGFkYjQyZGM0NWYiLCJ1c2VySWQiOiIxMTk4NTE2Nzc3In0=</vt:lpwstr>
  </property>
</Properties>
</file>