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9E5" w:rsidRDefault="000C79E5" w:rsidP="000C79E5">
      <w:pPr>
        <w:pStyle w:val="1"/>
        <w:keepNext/>
        <w:keepLines/>
        <w:tabs>
          <w:tab w:val="right" w:pos="8306"/>
        </w:tabs>
        <w:snapToGrid w:val="0"/>
        <w:spacing w:line="288" w:lineRule="auto"/>
        <w:ind w:firstLine="584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MWC2025</w:t>
      </w:r>
      <w:r>
        <w:rPr>
          <w:rFonts w:ascii="Times New Roman" w:hAnsi="Times New Roman"/>
          <w:sz w:val="28"/>
          <w:szCs w:val="28"/>
        </w:rPr>
        <w:t>观察之三：</w:t>
      </w:r>
      <w:r>
        <w:rPr>
          <w:rFonts w:ascii="Times New Roman" w:hAnsi="Times New Roman"/>
          <w:sz w:val="28"/>
          <w:szCs w:val="28"/>
        </w:rPr>
        <w:t>AI</w:t>
      </w:r>
      <w:r>
        <w:rPr>
          <w:rFonts w:ascii="Times New Roman" w:hAnsi="Times New Roman"/>
          <w:sz w:val="28"/>
          <w:szCs w:val="28"/>
        </w:rPr>
        <w:t>终端发展三大趋势及三大挑战</w:t>
      </w:r>
    </w:p>
    <w:p w:rsidR="000C79E5" w:rsidRDefault="000C79E5" w:rsidP="000C79E5">
      <w:pPr>
        <w:pStyle w:val="2"/>
        <w:keepLines w:val="0"/>
        <w:autoSpaceDE w:val="0"/>
        <w:snapToGrid w:val="0"/>
        <w:spacing w:beforeLines="50" w:before="156" w:afterLines="50" w:after="156" w:line="288" w:lineRule="auto"/>
        <w:ind w:firstLineChars="200" w:firstLine="562"/>
        <w:rPr>
          <w:rFonts w:ascii="Times New Roman" w:hAnsi="Times New Roman"/>
          <w:sz w:val="28"/>
          <w:szCs w:val="28"/>
        </w:rPr>
      </w:pPr>
      <w:bookmarkStart w:id="0" w:name="_Toc7273"/>
      <w:r>
        <w:rPr>
          <w:rFonts w:ascii="Times New Roman" w:hAnsi="Times New Roman" w:hint="eastAsia"/>
          <w:sz w:val="28"/>
          <w:szCs w:val="28"/>
        </w:rPr>
        <w:t>（一）终端概览</w:t>
      </w:r>
      <w:bookmarkEnd w:id="0"/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sz w:val="28"/>
          <w:szCs w:val="28"/>
        </w:rPr>
        <w:t>2025</w:t>
      </w:r>
      <w:r>
        <w:rPr>
          <w:rFonts w:ascii="Times New Roman" w:hAnsi="Times New Roman" w:cstheme="minorEastAsia" w:hint="eastAsia"/>
          <w:sz w:val="28"/>
          <w:szCs w:val="28"/>
        </w:rPr>
        <w:t>年</w:t>
      </w:r>
      <w:r>
        <w:rPr>
          <w:rFonts w:ascii="Times New Roman" w:hAnsi="Times New Roman" w:cstheme="minorEastAsia" w:hint="eastAsia"/>
          <w:sz w:val="28"/>
          <w:szCs w:val="28"/>
        </w:rPr>
        <w:t>6</w:t>
      </w:r>
      <w:r>
        <w:rPr>
          <w:rFonts w:ascii="Times New Roman" w:hAnsi="Times New Roman" w:cstheme="minorEastAsia" w:hint="eastAsia"/>
          <w:sz w:val="28"/>
          <w:szCs w:val="28"/>
        </w:rPr>
        <w:t>月</w:t>
      </w:r>
      <w:r>
        <w:rPr>
          <w:rFonts w:ascii="Times New Roman" w:hAnsi="Times New Roman" w:cstheme="minorEastAsia" w:hint="eastAsia"/>
          <w:sz w:val="28"/>
          <w:szCs w:val="28"/>
        </w:rPr>
        <w:t>18</w:t>
      </w:r>
      <w:r>
        <w:rPr>
          <w:rFonts w:ascii="Times New Roman" w:hAnsi="Times New Roman" w:cstheme="minorEastAsia" w:hint="eastAsia"/>
          <w:sz w:val="28"/>
          <w:szCs w:val="28"/>
        </w:rPr>
        <w:t>日</w:t>
      </w:r>
      <w:r>
        <w:rPr>
          <w:rFonts w:ascii="Times New Roman" w:hAnsi="Times New Roman" w:cstheme="minorEastAsia" w:hint="eastAsia"/>
          <w:sz w:val="28"/>
          <w:szCs w:val="28"/>
        </w:rPr>
        <w:t>~20</w:t>
      </w:r>
      <w:r>
        <w:rPr>
          <w:rFonts w:ascii="Times New Roman" w:hAnsi="Times New Roman" w:cstheme="minorEastAsia" w:hint="eastAsia"/>
          <w:sz w:val="28"/>
          <w:szCs w:val="28"/>
        </w:rPr>
        <w:t>日，</w:t>
      </w:r>
      <w:r>
        <w:rPr>
          <w:rFonts w:ascii="Times New Roman" w:hAnsi="Times New Roman" w:cstheme="minorEastAsia" w:hint="eastAsia"/>
          <w:sz w:val="28"/>
          <w:szCs w:val="28"/>
        </w:rPr>
        <w:t>MWC</w:t>
      </w:r>
      <w:r>
        <w:rPr>
          <w:rFonts w:ascii="Times New Roman" w:hAnsi="Times New Roman" w:cstheme="minorEastAsia" w:hint="eastAsia"/>
          <w:sz w:val="28"/>
          <w:szCs w:val="28"/>
        </w:rPr>
        <w:t>世界移动通信大会聚焦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智能终端，从技术架构、交互方式到终端形态，全面探讨了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如何通过边缘计算与下一代硬件，重塑</w:t>
      </w:r>
      <w:r>
        <w:rPr>
          <w:rFonts w:ascii="Times New Roman" w:hAnsi="Times New Roman" w:cstheme="minorEastAsia" w:hint="eastAsia"/>
          <w:sz w:val="28"/>
          <w:szCs w:val="28"/>
        </w:rPr>
        <w:t>PC</w:t>
      </w:r>
      <w:r>
        <w:rPr>
          <w:rFonts w:ascii="Times New Roman" w:hAnsi="Times New Roman" w:cstheme="minorEastAsia" w:hint="eastAsia"/>
          <w:sz w:val="28"/>
          <w:szCs w:val="28"/>
        </w:rPr>
        <w:t>、机器人、智能汽车与智能眼镜等终端的用户体验。</w:t>
      </w:r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b/>
          <w:bCs/>
          <w:sz w:val="28"/>
          <w:szCs w:val="28"/>
        </w:rPr>
        <w:t>AI</w:t>
      </w:r>
      <w:r>
        <w:rPr>
          <w:rFonts w:ascii="Times New Roman" w:hAnsi="Times New Roman" w:cstheme="minorEastAsia" w:hint="eastAsia"/>
          <w:b/>
          <w:bCs/>
          <w:sz w:val="28"/>
          <w:szCs w:val="28"/>
        </w:rPr>
        <w:t>终端在展会中占据了绝对“</w:t>
      </w:r>
      <w:r>
        <w:rPr>
          <w:rFonts w:ascii="Times New Roman" w:hAnsi="Times New Roman" w:cstheme="minorEastAsia" w:hint="eastAsia"/>
          <w:b/>
          <w:bCs/>
          <w:sz w:val="28"/>
          <w:szCs w:val="28"/>
        </w:rPr>
        <w:t>C</w:t>
      </w:r>
      <w:r>
        <w:rPr>
          <w:rFonts w:ascii="Times New Roman" w:hAnsi="Times New Roman" w:cstheme="minorEastAsia" w:hint="eastAsia"/>
          <w:b/>
          <w:bCs/>
          <w:sz w:val="28"/>
          <w:szCs w:val="28"/>
        </w:rPr>
        <w:t>位”。</w:t>
      </w:r>
      <w:r>
        <w:rPr>
          <w:rFonts w:ascii="Times New Roman" w:hAnsi="Times New Roman" w:cstheme="minorEastAsia" w:hint="eastAsia"/>
          <w:sz w:val="28"/>
          <w:szCs w:val="28"/>
        </w:rPr>
        <w:t>几乎所有参展企业都围绕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终端展示自己最新产品和解决方案。中国电信、中兴通讯、华为等领军企业均以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为主题搭建展台，大模型、智能体、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智算一体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机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“三件套”几乎无处不在，人形机器人、无人机等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融合应用吸引大量观众驻足体验。如中国电信的“智算慧万象</w:t>
      </w:r>
      <w:r>
        <w:rPr>
          <w:rFonts w:ascii="Times New Roman" w:hAnsi="Times New Roman" w:cstheme="minorEastAsia" w:hint="eastAsia"/>
          <w:sz w:val="28"/>
          <w:szCs w:val="28"/>
        </w:rPr>
        <w:t xml:space="preserve"> </w:t>
      </w:r>
      <w:r>
        <w:rPr>
          <w:rFonts w:ascii="Times New Roman" w:hAnsi="Times New Roman" w:cstheme="minorEastAsia" w:hint="eastAsia"/>
          <w:sz w:val="28"/>
          <w:szCs w:val="28"/>
        </w:rPr>
        <w:t>星辰启未来”展区，展示了儿童陪伴机器人、智能机器狗，</w:t>
      </w:r>
      <w:r>
        <w:rPr>
          <w:rFonts w:ascii="Times New Roman" w:hAnsi="Times New Roman" w:cstheme="minorEastAsia" w:hint="eastAsia"/>
          <w:sz w:val="28"/>
          <w:szCs w:val="28"/>
        </w:rPr>
        <w:t>AI+5G</w:t>
      </w:r>
      <w:r>
        <w:rPr>
          <w:rFonts w:ascii="Times New Roman" w:hAnsi="Times New Roman" w:cstheme="minorEastAsia" w:hint="eastAsia"/>
          <w:sz w:val="28"/>
          <w:szCs w:val="28"/>
        </w:rPr>
        <w:t>无人机等功能强大的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终端设备。</w:t>
      </w:r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</w:pPr>
      <w:r>
        <w:rPr>
          <w:rFonts w:ascii="Times New Roman" w:hAnsi="Times New Roman" w:cstheme="minorEastAsia" w:hint="eastAsia"/>
          <w:b/>
          <w:bCs/>
          <w:sz w:val="28"/>
          <w:szCs w:val="28"/>
        </w:rPr>
        <w:t>新型终端类型丰富且多元。</w:t>
      </w:r>
      <w:r>
        <w:rPr>
          <w:rFonts w:ascii="Times New Roman" w:hAnsi="Times New Roman" w:cstheme="minorEastAsia" w:hint="eastAsia"/>
          <w:sz w:val="28"/>
          <w:szCs w:val="28"/>
        </w:rPr>
        <w:t>展会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涵盖讯飞双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屏翻译机、裸眼</w:t>
      </w:r>
      <w:r>
        <w:rPr>
          <w:rFonts w:ascii="Times New Roman" w:hAnsi="Times New Roman" w:cstheme="minorEastAsia" w:hint="eastAsia"/>
          <w:sz w:val="28"/>
          <w:szCs w:val="28"/>
        </w:rPr>
        <w:t>3D</w:t>
      </w:r>
      <w:r>
        <w:rPr>
          <w:rFonts w:ascii="Times New Roman" w:hAnsi="Times New Roman" w:cstheme="minorEastAsia" w:hint="eastAsia"/>
          <w:sz w:val="28"/>
          <w:szCs w:val="28"/>
        </w:rPr>
        <w:t>游戏本、感音空气架子鼓、智能水杯、</w:t>
      </w:r>
      <w:r>
        <w:rPr>
          <w:rFonts w:ascii="Times New Roman" w:hAnsi="Times New Roman" w:cstheme="minorEastAsia" w:hint="eastAsia"/>
          <w:sz w:val="28"/>
          <w:szCs w:val="28"/>
        </w:rPr>
        <w:t>5G-A</w:t>
      </w:r>
      <w:r>
        <w:rPr>
          <w:rFonts w:ascii="Times New Roman" w:hAnsi="Times New Roman" w:cstheme="minorEastAsia" w:hint="eastAsia"/>
          <w:sz w:val="28"/>
          <w:szCs w:val="28"/>
        </w:rPr>
        <w:t>机器人等多种新型智能终端，构建起覆盖个人、家庭、办公、出行等多维度的智能生态体系，从根本上改变人机交互方式和用户体验。在消费侧，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大模型在终端设备上的集成度和重要性显著提升，如中兴通讯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自由屏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集成电视、超大</w:t>
      </w:r>
      <w:r>
        <w:rPr>
          <w:rFonts w:ascii="Times New Roman" w:hAnsi="Times New Roman" w:cstheme="minorEastAsia" w:hint="eastAsia"/>
          <w:sz w:val="28"/>
          <w:szCs w:val="28"/>
        </w:rPr>
        <w:t>PAD</w:t>
      </w:r>
      <w:r>
        <w:rPr>
          <w:rFonts w:ascii="Times New Roman" w:hAnsi="Times New Roman" w:cstheme="minorEastAsia" w:hint="eastAsia"/>
          <w:sz w:val="28"/>
          <w:szCs w:val="28"/>
        </w:rPr>
        <w:t>、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云电脑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等多元功能，多模态感知系统支持语音唤醒、手势识别、人脸识别等交互方式。在产业侧，终端与</w:t>
      </w:r>
      <w:r>
        <w:rPr>
          <w:rFonts w:ascii="Times New Roman" w:hAnsi="Times New Roman" w:cstheme="minorEastAsia" w:hint="eastAsia"/>
          <w:sz w:val="28"/>
          <w:szCs w:val="28"/>
        </w:rPr>
        <w:t>5G-A/6G</w:t>
      </w:r>
      <w:r>
        <w:rPr>
          <w:rFonts w:ascii="Times New Roman" w:hAnsi="Times New Roman" w:cstheme="minorEastAsia" w:hint="eastAsia"/>
          <w:sz w:val="28"/>
          <w:szCs w:val="28"/>
        </w:rPr>
        <w:t>、量子、低空通信等新兴技术的融合应用加速，开启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万物智联新时代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。如乐聚、中国移动、华为在展会上联合发布《</w:t>
      </w:r>
      <w:r>
        <w:rPr>
          <w:rFonts w:ascii="Times New Roman" w:hAnsi="Times New Roman" w:cstheme="minorEastAsia" w:hint="eastAsia"/>
          <w:sz w:val="28"/>
          <w:szCs w:val="28"/>
        </w:rPr>
        <w:t>5G-A</w:t>
      </w:r>
      <w:r>
        <w:rPr>
          <w:rFonts w:ascii="Times New Roman" w:hAnsi="Times New Roman" w:cstheme="minorEastAsia" w:hint="eastAsia"/>
          <w:sz w:val="28"/>
          <w:szCs w:val="28"/>
        </w:rPr>
        <w:t>赋能信息消费“新三样”白皮书》，推动人形机器人从泛在连接向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全域智联升级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。</w:t>
      </w:r>
    </w:p>
    <w:p w:rsidR="000C79E5" w:rsidRDefault="000C79E5" w:rsidP="000C79E5">
      <w:pPr>
        <w:pStyle w:val="2"/>
        <w:keepLines w:val="0"/>
        <w:autoSpaceDE w:val="0"/>
        <w:snapToGrid w:val="0"/>
        <w:spacing w:beforeLines="50" w:before="156" w:afterLines="50" w:after="156" w:line="288" w:lineRule="auto"/>
        <w:ind w:firstLineChars="200" w:firstLine="562"/>
        <w:rPr>
          <w:rFonts w:ascii="Times New Roman" w:hAnsi="Times New Roman"/>
          <w:sz w:val="28"/>
          <w:szCs w:val="28"/>
        </w:rPr>
      </w:pPr>
      <w:bookmarkStart w:id="1" w:name="_Toc13496"/>
      <w:r>
        <w:rPr>
          <w:rFonts w:ascii="Times New Roman" w:hAnsi="Times New Roman" w:hint="eastAsia"/>
          <w:sz w:val="28"/>
          <w:szCs w:val="28"/>
        </w:rPr>
        <w:t>（二）发展趋势</w:t>
      </w:r>
      <w:bookmarkEnd w:id="1"/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b/>
          <w:bCs/>
          <w:sz w:val="28"/>
          <w:szCs w:val="28"/>
        </w:rPr>
        <w:t>技术架构：</w:t>
      </w:r>
      <w:proofErr w:type="gramStart"/>
      <w:r>
        <w:rPr>
          <w:rFonts w:ascii="Times New Roman" w:hAnsi="Times New Roman" w:cstheme="minorEastAsia" w:hint="eastAsia"/>
          <w:b/>
          <w:bCs/>
          <w:sz w:val="28"/>
          <w:szCs w:val="28"/>
        </w:rPr>
        <w:t>端网云走向</w:t>
      </w:r>
      <w:proofErr w:type="gramEnd"/>
      <w:r>
        <w:rPr>
          <w:rFonts w:ascii="Times New Roman" w:hAnsi="Times New Roman" w:cstheme="minorEastAsia" w:hint="eastAsia"/>
          <w:b/>
          <w:bCs/>
          <w:sz w:val="28"/>
          <w:szCs w:val="28"/>
        </w:rPr>
        <w:t>深度协同。</w:t>
      </w:r>
      <w:r>
        <w:rPr>
          <w:rFonts w:ascii="Times New Roman" w:hAnsi="Times New Roman" w:cstheme="minorEastAsia" w:hint="eastAsia"/>
          <w:sz w:val="28"/>
          <w:szCs w:val="28"/>
        </w:rPr>
        <w:t>终端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侧作为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交互入口与轻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量算力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节点，网络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侧作为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智能调度与传输中枢，云端作为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重载算力与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模型训练中心，通过终端、网络、云端的三方协同重构了智能终端数据交互逻辑。如中国电信在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端网云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协同标准上，重新定义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终端智能等级，推动终端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能力开放，打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造端网云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协同能力底座，引领构建</w:t>
      </w:r>
      <w:r>
        <w:rPr>
          <w:rFonts w:ascii="Times New Roman" w:hAnsi="Times New Roman" w:cstheme="minorEastAsia" w:hint="eastAsia"/>
          <w:sz w:val="28"/>
          <w:szCs w:val="28"/>
        </w:rPr>
        <w:t>AI+</w:t>
      </w:r>
      <w:r>
        <w:rPr>
          <w:rFonts w:ascii="Times New Roman" w:hAnsi="Times New Roman" w:cstheme="minorEastAsia" w:hint="eastAsia"/>
          <w:sz w:val="28"/>
          <w:szCs w:val="28"/>
        </w:rPr>
        <w:t>新生态；同时展出了“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家智屏”，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端侧聚焦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感知与轻量化控制，边缘层承</w:t>
      </w:r>
      <w:r>
        <w:rPr>
          <w:rFonts w:ascii="Times New Roman" w:hAnsi="Times New Roman" w:cstheme="minorEastAsia" w:hint="eastAsia"/>
          <w:sz w:val="28"/>
          <w:szCs w:val="28"/>
        </w:rPr>
        <w:lastRenderedPageBreak/>
        <w:t>担近场实时分析，云端统筹深度决策与生态联动，三者通过</w:t>
      </w:r>
      <w:r>
        <w:rPr>
          <w:rFonts w:ascii="Times New Roman" w:hAnsi="Times New Roman" w:cstheme="minorEastAsia" w:hint="eastAsia"/>
          <w:sz w:val="28"/>
          <w:szCs w:val="28"/>
        </w:rPr>
        <w:t>5G-A</w:t>
      </w:r>
      <w:r>
        <w:rPr>
          <w:rFonts w:ascii="Times New Roman" w:hAnsi="Times New Roman" w:cstheme="minorEastAsia" w:hint="eastAsia"/>
          <w:sz w:val="28"/>
          <w:szCs w:val="28"/>
        </w:rPr>
        <w:t>网络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与算力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调度平台无缝衔接。</w:t>
      </w:r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b/>
          <w:bCs/>
          <w:sz w:val="28"/>
          <w:szCs w:val="28"/>
        </w:rPr>
        <w:t>交互方式：智能体自然交互成为创新交互模式。</w:t>
      </w:r>
      <w:r>
        <w:rPr>
          <w:rFonts w:ascii="Times New Roman" w:hAnsi="Times New Roman" w:cstheme="minorEastAsia" w:hint="eastAsia"/>
          <w:sz w:val="28"/>
          <w:szCs w:val="28"/>
        </w:rPr>
        <w:t>荣耀、阿里云、联想等企业密集发布智能体</w:t>
      </w:r>
      <w:r>
        <w:rPr>
          <w:rFonts w:ascii="Times New Roman" w:hAnsi="Times New Roman" w:cstheme="minorEastAsia" w:hint="eastAsia"/>
          <w:sz w:val="28"/>
          <w:szCs w:val="28"/>
        </w:rPr>
        <w:t>+</w:t>
      </w:r>
      <w:r>
        <w:rPr>
          <w:rFonts w:ascii="Times New Roman" w:hAnsi="Times New Roman" w:cstheme="minorEastAsia" w:hint="eastAsia"/>
          <w:sz w:val="28"/>
          <w:szCs w:val="28"/>
        </w:rPr>
        <w:t>终端战略，用户通过自然语言即可完成复杂任务操作，推动移动终端交互模式从“以</w:t>
      </w:r>
      <w:r>
        <w:rPr>
          <w:rFonts w:ascii="Times New Roman" w:hAnsi="Times New Roman" w:cstheme="minorEastAsia" w:hint="eastAsia"/>
          <w:sz w:val="28"/>
          <w:szCs w:val="28"/>
        </w:rPr>
        <w:t>APP</w:t>
      </w:r>
      <w:r>
        <w:rPr>
          <w:rFonts w:ascii="Times New Roman" w:hAnsi="Times New Roman" w:cstheme="minorEastAsia" w:hint="eastAsia"/>
          <w:sz w:val="28"/>
          <w:szCs w:val="28"/>
        </w:rPr>
        <w:t>为中心”向“以智能体为中心”转变。例如，中兴通讯的“</w:t>
      </w:r>
      <w:r>
        <w:rPr>
          <w:rFonts w:ascii="Times New Roman" w:hAnsi="Times New Roman" w:cstheme="minorEastAsia" w:hint="eastAsia"/>
          <w:sz w:val="28"/>
          <w:szCs w:val="28"/>
        </w:rPr>
        <w:t>AI Together</w:t>
      </w:r>
      <w:r>
        <w:rPr>
          <w:rFonts w:ascii="Times New Roman" w:hAnsi="Times New Roman" w:cstheme="minorEastAsia" w:hint="eastAsia"/>
          <w:sz w:val="28"/>
          <w:szCs w:val="28"/>
        </w:rPr>
        <w:t>”系统可自动调用星云、豆包、</w:t>
      </w:r>
      <w:proofErr w:type="spellStart"/>
      <w:r>
        <w:rPr>
          <w:rFonts w:ascii="Times New Roman" w:hAnsi="Times New Roman" w:cstheme="minorEastAsia" w:hint="eastAsia"/>
          <w:sz w:val="28"/>
          <w:szCs w:val="28"/>
        </w:rPr>
        <w:t>DeepSeek</w:t>
      </w:r>
      <w:proofErr w:type="spellEnd"/>
      <w:r>
        <w:rPr>
          <w:rFonts w:ascii="Times New Roman" w:hAnsi="Times New Roman" w:cstheme="minorEastAsia" w:hint="eastAsia"/>
          <w:sz w:val="28"/>
          <w:szCs w:val="28"/>
        </w:rPr>
        <w:t>等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专家模型，根据任务类型智能分配处理模块，智能终端正成为用户意图的“直接延伸”，一句“帮我订机票并同步至日历”即可跨越多个应用自动执行，彻底解除了传统图形界面的操作束缚。</w:t>
      </w:r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等线" w:eastAsia="等线" w:hAnsi="等线" w:cs="等线"/>
          <w:color w:val="000000"/>
          <w:sz w:val="28"/>
        </w:rPr>
      </w:pPr>
      <w:r>
        <w:rPr>
          <w:rFonts w:ascii="Times New Roman" w:hAnsi="Times New Roman" w:cstheme="minorEastAsia" w:hint="eastAsia"/>
          <w:b/>
          <w:bCs/>
          <w:sz w:val="28"/>
          <w:szCs w:val="28"/>
        </w:rPr>
        <w:t>终端形态：终端智能趋向泛终端形态。</w:t>
      </w:r>
      <w:r>
        <w:rPr>
          <w:rFonts w:ascii="Times New Roman" w:hAnsi="Times New Roman" w:cstheme="minorEastAsia" w:hint="eastAsia"/>
          <w:sz w:val="28"/>
          <w:szCs w:val="28"/>
        </w:rPr>
        <w:t>智能终端正突破单一手机物理形态，形成了无人机、智能眼镜、人形机器人、智能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汽车等泛终端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矩阵，未来终端将不再追求“全能”，而是以专业化、垂直化的形态渗透至生活全维度。如中国电信展示了系留式无人机、</w:t>
      </w:r>
      <w:r>
        <w:rPr>
          <w:rFonts w:ascii="Times New Roman" w:hAnsi="Times New Roman" w:cstheme="minorEastAsia" w:hint="eastAsia"/>
          <w:sz w:val="28"/>
          <w:szCs w:val="28"/>
        </w:rPr>
        <w:t>M350</w:t>
      </w:r>
      <w:r>
        <w:rPr>
          <w:rFonts w:ascii="Times New Roman" w:hAnsi="Times New Roman" w:cstheme="minorEastAsia" w:hint="eastAsia"/>
          <w:sz w:val="28"/>
          <w:szCs w:val="28"/>
        </w:rPr>
        <w:t>多旋翼无人机等城市级低空终端。中国移动搭载了九天大模型的智能眼镜，可以实现翻译、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提词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、智能导航等功能。阿里云</w:t>
      </w:r>
      <w:r>
        <w:rPr>
          <w:rFonts w:ascii="Times New Roman" w:hAnsi="Times New Roman" w:cstheme="minorEastAsia" w:hint="eastAsia"/>
          <w:sz w:val="28"/>
          <w:szCs w:val="28"/>
        </w:rPr>
        <w:t>Mobile-Agent</w:t>
      </w:r>
      <w:r>
        <w:rPr>
          <w:rFonts w:ascii="Times New Roman" w:hAnsi="Times New Roman" w:cstheme="minorEastAsia" w:hint="eastAsia"/>
          <w:sz w:val="28"/>
          <w:szCs w:val="28"/>
        </w:rPr>
        <w:t>则落地比亚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迪车机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系统，用户通过语音即可联动阿里生态</w:t>
      </w:r>
      <w:r>
        <w:rPr>
          <w:rFonts w:ascii="Times New Roman" w:hAnsi="Times New Roman" w:cstheme="minorEastAsia" w:hint="eastAsia"/>
          <w:sz w:val="28"/>
          <w:szCs w:val="28"/>
        </w:rPr>
        <w:t>App</w:t>
      </w:r>
      <w:r>
        <w:rPr>
          <w:rFonts w:ascii="Times New Roman" w:hAnsi="Times New Roman" w:cstheme="minorEastAsia" w:hint="eastAsia"/>
          <w:sz w:val="28"/>
          <w:szCs w:val="28"/>
        </w:rPr>
        <w:t>，实现座舱内“一句话操控”。</w:t>
      </w:r>
    </w:p>
    <w:p w:rsidR="000C79E5" w:rsidRDefault="000C79E5" w:rsidP="000C79E5">
      <w:pPr>
        <w:pStyle w:val="2"/>
        <w:keepLines w:val="0"/>
        <w:autoSpaceDE w:val="0"/>
        <w:snapToGrid w:val="0"/>
        <w:spacing w:beforeLines="50" w:before="156" w:afterLines="50" w:after="156" w:line="288" w:lineRule="auto"/>
        <w:ind w:firstLineChars="200" w:firstLine="562"/>
        <w:rPr>
          <w:rFonts w:ascii="Times New Roman" w:hAnsi="Times New Roman"/>
          <w:sz w:val="28"/>
          <w:szCs w:val="28"/>
        </w:rPr>
      </w:pPr>
      <w:bookmarkStart w:id="2" w:name="_Toc20981"/>
      <w:r>
        <w:rPr>
          <w:rFonts w:ascii="Times New Roman" w:hAnsi="Times New Roman" w:hint="eastAsia"/>
          <w:sz w:val="28"/>
          <w:szCs w:val="28"/>
        </w:rPr>
        <w:t>（三）面临挑战</w:t>
      </w:r>
      <w:bookmarkEnd w:id="2"/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proofErr w:type="gramStart"/>
      <w:r>
        <w:rPr>
          <w:rFonts w:ascii="Times New Roman" w:hAnsi="Times New Roman" w:cstheme="minorEastAsia" w:hint="eastAsia"/>
          <w:b/>
          <w:bCs/>
          <w:sz w:val="28"/>
          <w:szCs w:val="28"/>
        </w:rPr>
        <w:t>算力能耗</w:t>
      </w:r>
      <w:proofErr w:type="gramEnd"/>
      <w:r>
        <w:rPr>
          <w:rFonts w:ascii="Times New Roman" w:hAnsi="Times New Roman" w:cstheme="minorEastAsia" w:hint="eastAsia"/>
          <w:b/>
          <w:bCs/>
          <w:sz w:val="28"/>
          <w:szCs w:val="28"/>
        </w:rPr>
        <w:t>大，硬件成本高。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大模型本地化运行对终端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的算力和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存储有较高要求，当前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终端设备算力有望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达到</w:t>
      </w:r>
      <w:r>
        <w:rPr>
          <w:rFonts w:ascii="Times New Roman" w:hAnsi="Times New Roman" w:cstheme="minorEastAsia" w:hint="eastAsia"/>
          <w:sz w:val="28"/>
          <w:szCs w:val="28"/>
        </w:rPr>
        <w:t>50-100TOPS</w:t>
      </w:r>
      <w:r>
        <w:rPr>
          <w:rFonts w:ascii="Times New Roman" w:hAnsi="Times New Roman" w:cstheme="minorEastAsia" w:hint="eastAsia"/>
          <w:sz w:val="28"/>
          <w:szCs w:val="28"/>
        </w:rPr>
        <w:t>，但与云端相比差距仍较大。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并且算力提升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下终端运行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模型功耗大幅度增加并产生大量热量，对终端散热功能要求进一步提高，随之带来高性能硬件的成本增加。以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手机为例，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终端发展将带来大量核心硬件升级，如主板、散热、电池等。</w:t>
      </w:r>
    </w:p>
    <w:p w:rsidR="000C79E5" w:rsidRDefault="000C79E5" w:rsidP="000C79E5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b/>
          <w:bCs/>
          <w:sz w:val="28"/>
          <w:szCs w:val="28"/>
        </w:rPr>
        <w:t>缺乏统一标准，场景适配差。</w:t>
      </w:r>
      <w:r>
        <w:rPr>
          <w:rFonts w:ascii="Times New Roman" w:hAnsi="Times New Roman" w:cstheme="minorEastAsia" w:hint="eastAsia"/>
          <w:sz w:val="28"/>
          <w:szCs w:val="28"/>
        </w:rPr>
        <w:t>当前不同终端、模型与应用之间仍然存在大量技术孤岛，彼此缺乏高效协同。如各类芯片、传感器等组合差异大，模型的算法、框架、接口等标准不统一，互不兼容，设备迁移成本高，导致用户体验参差不齐，开发者难以面向统一平台优化应用。未来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终端产业需定义统一的模型接口、模型格式、通信协议、数据交换协议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和算力调度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标准等，以实现跨厂商、跨平台的兼容，降</w:t>
      </w:r>
      <w:r>
        <w:rPr>
          <w:rFonts w:ascii="Times New Roman" w:hAnsi="Times New Roman" w:cstheme="minorEastAsia" w:hint="eastAsia"/>
          <w:sz w:val="28"/>
          <w:szCs w:val="28"/>
        </w:rPr>
        <w:lastRenderedPageBreak/>
        <w:t>低模型迁移成本，实现数据互通。</w:t>
      </w:r>
    </w:p>
    <w:p w:rsidR="006D71E4" w:rsidRDefault="000C79E5" w:rsidP="00E7634D">
      <w:pPr>
        <w:ind w:firstLine="420"/>
      </w:pPr>
      <w:bookmarkStart w:id="3" w:name="_GoBack"/>
      <w:bookmarkEnd w:id="3"/>
      <w:r>
        <w:rPr>
          <w:rFonts w:ascii="Times New Roman" w:hAnsi="Times New Roman" w:cstheme="minorEastAsia" w:hint="eastAsia"/>
          <w:b/>
          <w:bCs/>
          <w:sz w:val="28"/>
          <w:szCs w:val="28"/>
        </w:rPr>
        <w:t>敏感数据多，泄露风险高。</w:t>
      </w:r>
      <w:r>
        <w:rPr>
          <w:rFonts w:ascii="Times New Roman" w:hAnsi="Times New Roman" w:cstheme="minorEastAsia" w:hint="eastAsia"/>
          <w:sz w:val="28"/>
          <w:szCs w:val="28"/>
        </w:rPr>
        <w:t>一是数据过度收集，为实现个性化体验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终端可实时收集用户的语音、手势、表情等敏感数据，甚至可以通过智能体模拟人类操作习惯，获取支付信息、位置等隐私数据。二是当前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终端多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采用端云协同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模式，终端、大模型、</w:t>
      </w:r>
      <w:r>
        <w:rPr>
          <w:rFonts w:ascii="Times New Roman" w:hAnsi="Times New Roman" w:cstheme="minorEastAsia" w:hint="eastAsia"/>
          <w:sz w:val="28"/>
          <w:szCs w:val="28"/>
        </w:rPr>
        <w:t>APP</w:t>
      </w:r>
      <w:r>
        <w:rPr>
          <w:rFonts w:ascii="Times New Roman" w:hAnsi="Times New Roman" w:cstheme="minorEastAsia" w:hint="eastAsia"/>
          <w:sz w:val="28"/>
          <w:szCs w:val="28"/>
        </w:rPr>
        <w:t>及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云服务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均涉及到用户数据的处理及使用，数据链延长导致数据泄露和被攻击风险增加，一旦终端数据被恶意修改、污染或注入扰动，将严重影响模型及应用的准确性与可用性。</w:t>
      </w:r>
    </w:p>
    <w:sectPr w:rsidR="006D7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9E5"/>
    <w:rsid w:val="000C79E5"/>
    <w:rsid w:val="006D71E4"/>
    <w:rsid w:val="00E7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1BB6"/>
  <w15:chartTrackingRefBased/>
  <w15:docId w15:val="{B45B7EB4-EF9C-4517-8CC8-8A6AE8A4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79E5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0C79E5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0C79E5"/>
    <w:pPr>
      <w:keepNext/>
      <w:keepLines/>
      <w:spacing w:line="412" w:lineRule="auto"/>
      <w:outlineLvl w:val="1"/>
    </w:pPr>
    <w:rPr>
      <w:rFonts w:ascii="Arial" w:eastAsia="黑体" w:hAnsi="Arial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C79E5"/>
    <w:rPr>
      <w:rFonts w:ascii="宋体" w:eastAsia="宋体" w:hAnsi="宋体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9"/>
    <w:qFormat/>
    <w:rsid w:val="000C79E5"/>
    <w:rPr>
      <w:rFonts w:ascii="Arial" w:eastAsia="黑体" w:hAnsi="Arial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peiyd</dc:creator>
  <cp:keywords/>
  <dc:description/>
  <cp:lastModifiedBy>peiyd</cp:lastModifiedBy>
  <cp:revision>2</cp:revision>
  <dcterms:created xsi:type="dcterms:W3CDTF">2025-06-26T01:11:00Z</dcterms:created>
  <dcterms:modified xsi:type="dcterms:W3CDTF">2025-06-26T01:12:00Z</dcterms:modified>
</cp:coreProperties>
</file>