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47A848">
      <w:pPr>
        <w:ind w:firstLine="723"/>
        <w:jc w:val="center"/>
        <w:rPr>
          <w:rFonts w:hint="eastAsia"/>
          <w:b/>
          <w:bCs/>
          <w:sz w:val="36"/>
          <w:szCs w:val="28"/>
        </w:rPr>
      </w:pPr>
      <w:bookmarkStart w:id="0" w:name="_GoBack"/>
      <w:r>
        <w:rPr>
          <w:rFonts w:hint="eastAsia"/>
          <w:b/>
          <w:bCs/>
          <w:sz w:val="36"/>
          <w:szCs w:val="28"/>
        </w:rPr>
        <w:t>WAIC 2025 三大风向观察</w:t>
      </w:r>
    </w:p>
    <w:bookmarkEnd w:id="0"/>
    <w:p w14:paraId="3DD3C67A">
      <w:pPr>
        <w:ind w:firstLine="560"/>
        <w:rPr>
          <w:rFonts w:hint="eastAsia"/>
        </w:rPr>
      </w:pPr>
      <w:r>
        <w:rPr>
          <w:rFonts w:hint="eastAsia"/>
        </w:rPr>
        <w:t>2025年7月26日，WAIC在上海正式开幕，作为全球AI领域规模最大、专业度最高、影响力最强的盛会，是AI战略、科技、产业的重要风向标：</w:t>
      </w:r>
    </w:p>
    <w:p w14:paraId="60D219C2">
      <w:pPr>
        <w:pStyle w:val="30"/>
        <w:numPr>
          <w:ilvl w:val="0"/>
          <w:numId w:val="1"/>
        </w:numPr>
        <w:ind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战略风向：智能时代、AI公共产品、中国时间</w:t>
      </w:r>
    </w:p>
    <w:p w14:paraId="05C387E7">
      <w:pPr>
        <w:ind w:firstLine="562"/>
        <w:rPr>
          <w:rFonts w:hint="eastAsia"/>
        </w:rPr>
      </w:pPr>
      <w:r>
        <w:rPr>
          <w:rFonts w:hint="eastAsia"/>
          <w:b/>
          <w:bCs/>
        </w:rPr>
        <w:t>全球进入智能时代，治理与发展齐推进。</w:t>
      </w:r>
      <w:r>
        <w:rPr>
          <w:rFonts w:hint="eastAsia"/>
        </w:rPr>
        <w:t>大会主题从“以共商促共享，以善治促善智”演变为“智能时代，同球共济”，正式宣告全球进入智能时代，从“共享”、“善治”到“共济”则揭示，全球需以更加协调一致的行动推动AI产业发展和智能化转型。会议论坛架构从“1+3+10+X”演变为“1+1+2+10+N”，提升全球治理会议为高级别，产业发展取代发展安全成为全体会议，重点话题聚焦基础设施、科学智能、智能终端、赋能新型工业化等产业化落地议题，区别于上一年的伦理、模型、算力等单纯AI发展层面，表明AI技术创新规模化产业化落地进入加速阶段。</w:t>
      </w:r>
    </w:p>
    <w:p w14:paraId="0091687C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AI上升为国际公共产品，负责任的大国角色日益彰显。</w:t>
      </w:r>
      <w:r>
        <w:rPr>
          <w:rFonts w:hint="eastAsia"/>
        </w:rPr>
        <w:t>本次WAIC大会上国务院总理李强围绕如何把握人工智能公共产品属性、推进人工智能发展和治理，提出更加注重普及普惠、更加注重创新合作、更加注重共同治理的建议，提出我国愿共享发展经验和技术产品、愿同各国联合开展技术攻关、愿向国际社会提供更多中国方案，并倡议成立世界人工智能合作组织，充分展现了作为负责的大国在全球人工智能治理中的智慧与担当。</w:t>
      </w:r>
    </w:p>
    <w:p w14:paraId="03FEB568">
      <w:pPr>
        <w:ind w:firstLine="562"/>
        <w:rPr>
          <w:rFonts w:hint="eastAsia"/>
        </w:rPr>
      </w:pPr>
      <w:r>
        <w:rPr>
          <w:rFonts w:hint="eastAsia"/>
          <w:b/>
          <w:bCs/>
        </w:rPr>
        <w:t>从理念到行动，全球AI合作进入中国倡议时间。</w:t>
      </w:r>
      <w:r>
        <w:rPr>
          <w:rFonts w:hint="eastAsia"/>
        </w:rPr>
        <w:t>主论坛发布《全球人工智能治理行动计划》，从去年的治理宣言演变为今年的治理行动计划</w:t>
      </w:r>
      <w:r>
        <w:rPr>
          <w:rFonts w:hint="eastAsia"/>
          <w:b/>
          <w:bCs/>
        </w:rPr>
        <w:t>，</w:t>
      </w:r>
      <w:r>
        <w:rPr>
          <w:rFonts w:hint="eastAsia"/>
        </w:rPr>
        <w:t>标志着全球人工智能治理从确立原则、凝聚共识的宣言阶段，进入需要采取切实有效行动、协力推进发展与治理的新阶段；发布《国际人工智能开源合作倡议》，通过开源汇聚全球AI创新合力，促进AI国际公共产品发展普及；发布《中国智·惠世界（2025）》，从AI中国蓝本转为聚焦“AI国际合作多元成果”，中国AI促进全球可持续发展。</w:t>
      </w:r>
    </w:p>
    <w:p w14:paraId="7844A533">
      <w:pPr>
        <w:ind w:firstLine="56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二、科技风向：AI全球开源、AI科学融合、AI反哺数学</w:t>
      </w:r>
    </w:p>
    <w:p w14:paraId="0B961A1C">
      <w:pPr>
        <w:ind w:firstLine="562"/>
        <w:rPr>
          <w:rFonts w:hint="eastAsia"/>
        </w:rPr>
      </w:pPr>
      <w:r>
        <w:rPr>
          <w:rFonts w:hint="eastAsia"/>
          <w:b/>
          <w:bCs/>
        </w:rPr>
        <w:t>AI普惠之问高度关注AI开源和打破技术垄断。</w:t>
      </w:r>
      <w:r>
        <w:rPr>
          <w:rFonts w:hint="eastAsia"/>
        </w:rPr>
        <w:t>国务院总理李强在开幕式上表示，AI 应当成为造福人类的国际公共产品，要更加注重普及、普惠，避免成为少数国家、少数企业的专属游戏。MiniMax创始人闫俊杰等多名嘉宾提出AI领先模型的开源生态和打破AI技术垄断是有效实现AI普遍增强社会生产力的有效保障。</w:t>
      </w:r>
    </w:p>
    <w:p w14:paraId="18745A6C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AI科学之问意在推动AI与科学发现的深度融合。</w:t>
      </w:r>
      <w:r>
        <w:rPr>
          <w:rFonts w:hint="eastAsia"/>
        </w:rPr>
        <w:t>杰弗里·辛顿等多名嘉宾提出探索人工智能与人类科学家的智慧协同，在保证AI安全前提下共同突破现有科学范式。主要包括AI与人类科学家的科研协作协同、量子计算与经典计算的协同、探索利用AI处理全息数据实现生命科学的前沿突破和探讨AI建模复杂物理关系等主题 。</w:t>
      </w:r>
    </w:p>
    <w:p w14:paraId="42BDA831">
      <w:pPr>
        <w:ind w:firstLine="562"/>
        <w:rPr>
          <w:rFonts w:hint="eastAsia"/>
        </w:rPr>
      </w:pPr>
      <w:r>
        <w:rPr>
          <w:rFonts w:hint="eastAsia"/>
          <w:b/>
          <w:bCs/>
        </w:rPr>
        <w:t>数学之问旨在重塑AI理论根基探索推理边界。多</w:t>
      </w:r>
      <w:r>
        <w:rPr>
          <w:rFonts w:hint="eastAsia"/>
        </w:rPr>
        <w:t>名嘉宾认为AI不仅要利用数学，更要反哺数学，为数学提供未被发现的命题，为自然科学生成可被验证的假说，并在自身架构上探索更深层次的推理边界。另外，还针对生命科学、物理学等领域存在的数据表示方法迥异、多模态数据难以融合等痛点，探讨如何实现跨学科科学数据模态的表示对齐与系统性整合，催生跨领域数学表达。</w:t>
      </w:r>
    </w:p>
    <w:p w14:paraId="45849D5F">
      <w:pPr>
        <w:pStyle w:val="30"/>
        <w:ind w:left="42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三、产业风向：模型产业生态、Agent场景化落地、AI终端普及</w:t>
      </w:r>
    </w:p>
    <w:p w14:paraId="61578550">
      <w:pPr>
        <w:pStyle w:val="30"/>
        <w:ind w:left="420" w:firstLine="562"/>
        <w:rPr>
          <w:rFonts w:hint="eastAsia"/>
        </w:rPr>
      </w:pPr>
      <w:r>
        <w:rPr>
          <w:rFonts w:hint="eastAsia"/>
          <w:b/>
          <w:bCs/>
        </w:rPr>
        <w:t>大模型重心转向行业生态打造。</w:t>
      </w:r>
      <w:r>
        <w:rPr>
          <w:rFonts w:hint="eastAsia"/>
        </w:rPr>
        <w:t>在“模型+行业落地”方面，WAIC 2025展示的40个大型语言模型凸显“行业实际转型”的作用，揭示了中国AI大模型发展已从单纯追求模型参数规模的“模型竞赛”阶段，转向更深层次的“生态构建”阶段。一方面强调“全球团结”和国际合作 ，另一方面更着重讨论“国产异构计算协同”和“自立自强”战略 ，以应对外部技术限制，实现自主可控。</w:t>
      </w:r>
    </w:p>
    <w:p w14:paraId="75A23204">
      <w:pPr>
        <w:pStyle w:val="30"/>
        <w:ind w:left="420" w:firstLine="562"/>
        <w:rPr>
          <w:rFonts w:hint="eastAsia"/>
        </w:rPr>
      </w:pPr>
      <w:r>
        <w:rPr>
          <w:rFonts w:hint="eastAsia"/>
          <w:b/>
          <w:bCs/>
        </w:rPr>
        <w:t>具身智能加快“场景化落地”。</w:t>
      </w:r>
      <w:r>
        <w:rPr>
          <w:rFonts w:hint="eastAsia"/>
        </w:rPr>
        <w:t xml:space="preserve">“具身智能产业”呈现爆发式增长，参展机器人公司数量激增至80多家，智能机器人展品达到60个 ，具身智能已从实验室研究快速进入“场景化落地”和“规模化商业化”阶段。中国企业正积极推动智能机器人的量产和生态系统主导权，降低成本并解决工程化落地难题。   </w:t>
      </w:r>
    </w:p>
    <w:p w14:paraId="1BC68E94">
      <w:pPr>
        <w:pStyle w:val="30"/>
        <w:ind w:left="420" w:firstLine="562"/>
        <w:rPr>
          <w:rFonts w:hint="eastAsia"/>
        </w:rPr>
      </w:pPr>
      <w:r>
        <w:rPr>
          <w:rFonts w:hint="eastAsia"/>
          <w:b/>
          <w:bCs/>
        </w:rPr>
        <w:t>“百镜大战”加速智能终端普及。</w:t>
      </w:r>
      <w:r>
        <w:rPr>
          <w:rFonts w:hint="eastAsia"/>
        </w:rPr>
        <w:t>智能终端以AI智能眼镜为代表“终端产业”，正从“小众尝鲜”迈向“大众普及”，2025年将迎来“百镜大战”，国内外巨头如小米、三星等纷纷入局 ，技术演进聚焦于“场景化融合”和“自然交互”，使终端设备更智能地理解用户意图，无缝融入日常生活，成为数字生活的核心枢纽。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646A37">
    <w:pPr>
      <w:pStyle w:val="11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19DC36">
    <w:pPr>
      <w:pStyle w:val="11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F65743">
    <w:pPr>
      <w:pStyle w:val="11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560"/>
      </w:pPr>
      <w:r>
        <w:separator/>
      </w:r>
    </w:p>
  </w:footnote>
  <w:footnote w:type="continuationSeparator" w:id="1">
    <w:p>
      <w:pPr>
        <w:spacing w:line="36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F61460">
    <w:pPr>
      <w:pStyle w:val="12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B50B14">
    <w:pPr>
      <w:pStyle w:val="12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D16E04">
    <w:pPr>
      <w:pStyle w:val="12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DC7010"/>
    <w:multiLevelType w:val="multilevel"/>
    <w:tmpl w:val="6CDC7010"/>
    <w:lvl w:ilvl="0" w:tentative="0">
      <w:start w:val="1"/>
      <w:numFmt w:val="japaneseCounting"/>
      <w:lvlText w:val="%1、"/>
      <w:lvlJc w:val="left"/>
      <w:pPr>
        <w:ind w:left="9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80" w:hanging="440"/>
      </w:pPr>
    </w:lvl>
    <w:lvl w:ilvl="2" w:tentative="0">
      <w:start w:val="1"/>
      <w:numFmt w:val="lowerRoman"/>
      <w:lvlText w:val="%3."/>
      <w:lvlJc w:val="right"/>
      <w:pPr>
        <w:ind w:left="1520" w:hanging="440"/>
      </w:pPr>
    </w:lvl>
    <w:lvl w:ilvl="3" w:tentative="0">
      <w:start w:val="1"/>
      <w:numFmt w:val="decimal"/>
      <w:lvlText w:val="%4."/>
      <w:lvlJc w:val="left"/>
      <w:pPr>
        <w:ind w:left="1960" w:hanging="440"/>
      </w:pPr>
    </w:lvl>
    <w:lvl w:ilvl="4" w:tentative="0">
      <w:start w:val="1"/>
      <w:numFmt w:val="lowerLetter"/>
      <w:lvlText w:val="%5)"/>
      <w:lvlJc w:val="left"/>
      <w:pPr>
        <w:ind w:left="2400" w:hanging="440"/>
      </w:pPr>
    </w:lvl>
    <w:lvl w:ilvl="5" w:tentative="0">
      <w:start w:val="1"/>
      <w:numFmt w:val="lowerRoman"/>
      <w:lvlText w:val="%6."/>
      <w:lvlJc w:val="right"/>
      <w:pPr>
        <w:ind w:left="2840" w:hanging="440"/>
      </w:pPr>
    </w:lvl>
    <w:lvl w:ilvl="6" w:tentative="0">
      <w:start w:val="1"/>
      <w:numFmt w:val="decimal"/>
      <w:lvlText w:val="%7."/>
      <w:lvlJc w:val="left"/>
      <w:pPr>
        <w:ind w:left="3280" w:hanging="440"/>
      </w:pPr>
    </w:lvl>
    <w:lvl w:ilvl="7" w:tentative="0">
      <w:start w:val="1"/>
      <w:numFmt w:val="lowerLetter"/>
      <w:lvlText w:val="%8)"/>
      <w:lvlJc w:val="left"/>
      <w:pPr>
        <w:ind w:left="3720" w:hanging="440"/>
      </w:pPr>
    </w:lvl>
    <w:lvl w:ilvl="8" w:tentative="0">
      <w:start w:val="1"/>
      <w:numFmt w:val="lowerRoman"/>
      <w:lvlText w:val="%9."/>
      <w:lvlJc w:val="right"/>
      <w:pPr>
        <w:ind w:left="41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238"/>
    <w:rsid w:val="00103110"/>
    <w:rsid w:val="00107131"/>
    <w:rsid w:val="0020143C"/>
    <w:rsid w:val="0021030C"/>
    <w:rsid w:val="00253A49"/>
    <w:rsid w:val="002C538F"/>
    <w:rsid w:val="00341A5B"/>
    <w:rsid w:val="00345DF0"/>
    <w:rsid w:val="0047350B"/>
    <w:rsid w:val="004E141C"/>
    <w:rsid w:val="005B01B0"/>
    <w:rsid w:val="005D0673"/>
    <w:rsid w:val="005D1BD7"/>
    <w:rsid w:val="005D2539"/>
    <w:rsid w:val="00613AD4"/>
    <w:rsid w:val="00634F27"/>
    <w:rsid w:val="00637EF2"/>
    <w:rsid w:val="00644230"/>
    <w:rsid w:val="00662DA1"/>
    <w:rsid w:val="00666204"/>
    <w:rsid w:val="006F01D0"/>
    <w:rsid w:val="007C761E"/>
    <w:rsid w:val="00857BD6"/>
    <w:rsid w:val="00873DA3"/>
    <w:rsid w:val="00881016"/>
    <w:rsid w:val="00893230"/>
    <w:rsid w:val="008A3397"/>
    <w:rsid w:val="009073BD"/>
    <w:rsid w:val="009B3CAF"/>
    <w:rsid w:val="009D7C41"/>
    <w:rsid w:val="00A80691"/>
    <w:rsid w:val="00A929EE"/>
    <w:rsid w:val="00B05085"/>
    <w:rsid w:val="00B06503"/>
    <w:rsid w:val="00BC4CF2"/>
    <w:rsid w:val="00BC7CC8"/>
    <w:rsid w:val="00C14E86"/>
    <w:rsid w:val="00C82000"/>
    <w:rsid w:val="00CD5990"/>
    <w:rsid w:val="00D1480E"/>
    <w:rsid w:val="00D1621B"/>
    <w:rsid w:val="00D40AB6"/>
    <w:rsid w:val="00DB3238"/>
    <w:rsid w:val="00E110AA"/>
    <w:rsid w:val="00E61037"/>
    <w:rsid w:val="00EC0182"/>
    <w:rsid w:val="00EC2249"/>
    <w:rsid w:val="00F2644E"/>
    <w:rsid w:val="00F42228"/>
    <w:rsid w:val="00F441C7"/>
    <w:rsid w:val="00F44575"/>
    <w:rsid w:val="00F70B5F"/>
    <w:rsid w:val="46294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eastAsia="仿宋" w:asciiTheme="minorHAnsi" w:hAnsiTheme="minorHAnsi" w:cstheme="minorBidi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ind w:firstLine="200" w:firstLineChars="20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rFonts w:eastAsia="仿宋"/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rFonts w:eastAsia="仿宋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1663</Words>
  <Characters>1753</Characters>
  <Lines>12</Lines>
  <Paragraphs>3</Paragraphs>
  <TotalTime>493</TotalTime>
  <ScaleCrop>false</ScaleCrop>
  <LinksUpToDate>false</LinksUpToDate>
  <CharactersWithSpaces>1765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2025-07-26T02:38:00Z</dcterms:created>
  <dc:creator>baolin ai</dc:creator>
  <cp:lastModifiedBy>五岳古泉</cp:lastModifiedBy>
  <dcterms:modified xsi:type="dcterms:W3CDTF">2025-07-26T13:49:57Z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F44B093C860F4447A8DFD7B22F9AA1D9_13</vt:lpwstr>
  </property>
</Properties>
</file>