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FE11221">
      <w:pPr>
        <w:pStyle w:val="style0"/>
        <w:jc w:val="center"/>
        <w:rPr>
          <w:rFonts w:ascii="微软雅黑" w:eastAsia="微软雅黑" w:hAnsi="微软雅黑" w:hint="default"/>
          <w:b/>
          <w:bCs/>
          <w:sz w:val="32"/>
          <w:szCs w:val="32"/>
          <w:lang w:val="en-US" w:eastAsia="zh-CN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WAIC 2025：</w:t>
      </w:r>
      <w:r>
        <w:rPr>
          <w:rFonts w:ascii="微软雅黑" w:eastAsia="微软雅黑" w:hAnsi="微软雅黑" w:hint="eastAsia"/>
          <w:b/>
          <w:bCs/>
          <w:sz w:val="32"/>
          <w:szCs w:val="32"/>
          <w:lang w:val="en-US" w:eastAsia="zh-CN"/>
        </w:rPr>
        <w:t>AI芯片与终端新趋势</w:t>
      </w:r>
    </w:p>
    <w:p w14:paraId="3986BFAE">
      <w:pPr>
        <w:pStyle w:val="style0"/>
        <w:rPr>
          <w:rFonts w:ascii="微软雅黑" w:eastAsia="微软雅黑" w:hAnsi="微软雅黑"/>
          <w:sz w:val="28"/>
          <w:szCs w:val="28"/>
        </w:rPr>
      </w:pPr>
    </w:p>
    <w:p w14:paraId="18FFF7BB">
      <w:pPr>
        <w:pStyle w:val="style0"/>
        <w:ind w:firstLine="560" w:firstLineChars="20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7月26日，2025世界人工智能大会（WAIC）在上海拉开序幕</w:t>
      </w:r>
      <w:r>
        <w:rPr>
          <w:rFonts w:ascii="微软雅黑" w:eastAsia="微软雅黑" w:hAnsi="微软雅黑" w:hint="eastAsia"/>
          <w:sz w:val="28"/>
          <w:szCs w:val="28"/>
          <w:lang w:eastAsia="zh-CN"/>
        </w:rPr>
        <w:t>。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从大会发布可以预见，系统级创新的</w:t>
      </w:r>
      <w:r>
        <w:rPr>
          <w:rFonts w:ascii="微软雅黑" w:eastAsia="微软雅黑" w:hAnsi="微软雅黑" w:hint="eastAsia"/>
          <w:sz w:val="28"/>
          <w:szCs w:val="28"/>
        </w:rPr>
        <w:t>自主算力“引擎”与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软硬协同</w:t>
      </w:r>
      <w:r>
        <w:rPr>
          <w:rFonts w:ascii="微软雅黑" w:eastAsia="微软雅黑" w:hAnsi="微软雅黑" w:hint="eastAsia"/>
          <w:sz w:val="28"/>
          <w:szCs w:val="28"/>
        </w:rPr>
        <w:t>的智能“新物种”</w:t>
      </w:r>
      <w:r>
        <w:rPr>
          <w:rFonts w:ascii="微软雅黑" w:eastAsia="微软雅黑" w:hAnsi="微软雅黑" w:hint="eastAsia"/>
          <w:sz w:val="28"/>
          <w:szCs w:val="28"/>
          <w:lang w:eastAsia="zh-CN"/>
        </w:rPr>
        <w:t>，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正推动AI</w:t>
      </w:r>
      <w:bookmarkStart w:id="0" w:name="_GoBack"/>
      <w:bookmarkEnd w:id="0"/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从数字世界逐步迈入物理世界并深度融合，全面</w:t>
      </w:r>
      <w:r>
        <w:rPr>
          <w:rFonts w:ascii="微软雅黑" w:eastAsia="微软雅黑" w:hAnsi="微软雅黑" w:hint="eastAsia"/>
          <w:sz w:val="28"/>
          <w:szCs w:val="28"/>
        </w:rPr>
        <w:t>重塑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社会生产与生活场景</w:t>
      </w:r>
      <w:r>
        <w:rPr>
          <w:rFonts w:ascii="微软雅黑" w:eastAsia="微软雅黑" w:hAnsi="微软雅黑" w:hint="eastAsia"/>
          <w:sz w:val="28"/>
          <w:szCs w:val="28"/>
        </w:rPr>
        <w:t>。</w:t>
      </w:r>
    </w:p>
    <w:p w14:paraId="2ECF77EF">
      <w:pPr>
        <w:pStyle w:val="style0"/>
        <w:rPr>
          <w:rFonts w:ascii="微软雅黑" w:eastAsia="微软雅黑" w:hAnsi="微软雅黑" w:hint="default"/>
          <w:b/>
          <w:bCs/>
          <w:sz w:val="28"/>
          <w:szCs w:val="28"/>
          <w:lang w:val="en-US" w:eastAsia="zh-CN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趋势一：不止于“芯”，</w:t>
      </w:r>
      <w:r>
        <w:rPr>
          <w:rFonts w:ascii="微软雅黑" w:eastAsia="微软雅黑" w:hAnsi="微软雅黑" w:hint="eastAsia"/>
          <w:b/>
          <w:bCs/>
          <w:sz w:val="28"/>
          <w:szCs w:val="28"/>
          <w:lang w:val="en-US" w:eastAsia="zh-CN"/>
        </w:rPr>
        <w:t>超节点技术带来系统级创新，实现自主可控</w:t>
      </w:r>
    </w:p>
    <w:p w14:paraId="5C0D8055">
      <w:pPr>
        <w:pStyle w:val="style0"/>
        <w:ind w:firstLine="560" w:firstLineChars="20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过去谈论芯片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主要</w:t>
      </w:r>
      <w:r>
        <w:rPr>
          <w:rFonts w:ascii="微软雅黑" w:eastAsia="微软雅黑" w:hAnsi="微软雅黑" w:hint="eastAsia"/>
          <w:sz w:val="28"/>
          <w:szCs w:val="28"/>
        </w:rPr>
        <w:t>看单点性能</w:t>
      </w:r>
      <w:r>
        <w:rPr>
          <w:rFonts w:ascii="微软雅黑" w:eastAsia="微软雅黑" w:hAnsi="微软雅黑" w:hint="eastAsia"/>
          <w:sz w:val="28"/>
          <w:szCs w:val="28"/>
          <w:lang w:eastAsia="zh-CN"/>
        </w:rPr>
        <w:t>，</w:t>
      </w:r>
      <w:r>
        <w:rPr>
          <w:rFonts w:ascii="微软雅黑" w:eastAsia="微软雅黑" w:hAnsi="微软雅黑" w:hint="eastAsia"/>
          <w:sz w:val="28"/>
          <w:szCs w:val="28"/>
        </w:rPr>
        <w:t>但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在</w:t>
      </w:r>
      <w:r>
        <w:rPr>
          <w:rFonts w:ascii="微软雅黑" w:eastAsia="微软雅黑" w:hAnsi="微软雅黑" w:hint="eastAsia"/>
          <w:sz w:val="28"/>
          <w:szCs w:val="28"/>
        </w:rPr>
        <w:t>WAIC 2025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上我们发现，</w:t>
      </w:r>
      <w:r>
        <w:rPr>
          <w:rFonts w:ascii="微软雅黑" w:eastAsia="微软雅黑" w:hAnsi="微软雅黑" w:hint="eastAsia"/>
          <w:sz w:val="28"/>
          <w:szCs w:val="28"/>
        </w:rPr>
        <w:t>真正的角力场已升级为“系统制胜”。以华为昇腾384超节点为例，并非简单堆砌芯片，而是通过高速总线技术将数百个计算单元融合成单一“超级服务器”，让集群“像一台计算机一样工作”</w:t>
      </w:r>
      <w:r>
        <w:rPr>
          <w:rFonts w:ascii="微软雅黑" w:eastAsia="微软雅黑" w:hAnsi="微软雅黑" w:hint="eastAsia"/>
          <w:sz w:val="28"/>
          <w:szCs w:val="28"/>
          <w:lang w:eastAsia="zh-CN"/>
        </w:rPr>
        <w:t>，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实现</w:t>
      </w:r>
      <w:r>
        <w:rPr>
          <w:rFonts w:ascii="微软雅黑" w:eastAsia="微软雅黑" w:hAnsi="微软雅黑" w:hint="eastAsia"/>
          <w:sz w:val="28"/>
          <w:szCs w:val="28"/>
        </w:rPr>
        <w:t>训练大模型时性能比传统集群提升超2.5倍。系统级创新，正超越单点性能，成为算力核心驱动力。</w:t>
      </w:r>
    </w:p>
    <w:p w14:paraId="25C16C59">
      <w:pPr>
        <w:pStyle w:val="style0"/>
        <w:ind w:firstLine="560" w:firstLineChars="20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同时</w:t>
      </w:r>
      <w:r>
        <w:rPr>
          <w:rFonts w:ascii="微软雅黑" w:eastAsia="微软雅黑" w:hAnsi="微软雅黑" w:hint="default"/>
          <w:sz w:val="28"/>
          <w:szCs w:val="28"/>
          <w:lang w:val="en-US"/>
        </w:rPr>
        <w:t>，</w:t>
      </w:r>
      <w:r>
        <w:rPr>
          <w:rFonts w:ascii="微软雅黑" w:eastAsia="微软雅黑" w:hAnsi="微软雅黑" w:hint="eastAsia"/>
          <w:sz w:val="28"/>
          <w:szCs w:val="28"/>
        </w:rPr>
        <w:t>算丰信息联合多家厂商打造的“Shanghai Cube”全栈国产算力柜，沐曦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首次展出全链路技术方案，</w:t>
      </w:r>
      <w:r>
        <w:rPr>
          <w:rFonts w:ascii="微软雅黑" w:eastAsia="微软雅黑" w:hAnsi="微软雅黑" w:hint="eastAsia"/>
          <w:sz w:val="28"/>
          <w:szCs w:val="28"/>
        </w:rPr>
        <w:t>基于国产供应链设计和制造，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覆盖从芯片、板卡、服务器到超节点的完整产品线</w:t>
      </w:r>
      <w:r>
        <w:rPr>
          <w:rFonts w:ascii="微软雅黑" w:eastAsia="微软雅黑" w:hAnsi="微软雅黑" w:hint="eastAsia"/>
          <w:sz w:val="28"/>
          <w:szCs w:val="28"/>
          <w:lang w:eastAsia="zh-CN"/>
        </w:rPr>
        <w:t>，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再</w:t>
      </w:r>
      <w:r>
        <w:rPr>
          <w:rFonts w:ascii="微软雅黑" w:eastAsia="微软雅黑" w:hAnsi="微软雅黑" w:hint="eastAsia"/>
          <w:sz w:val="28"/>
          <w:szCs w:val="28"/>
        </w:rPr>
        <w:t>到阶跃星辰牵头成立的“模芯生态创新联盟”</w:t>
      </w:r>
      <w:r>
        <w:rPr>
          <w:rFonts w:ascii="微软雅黑" w:eastAsia="微软雅黑" w:hAnsi="微软雅黑" w:hint="eastAsia"/>
          <w:sz w:val="28"/>
          <w:szCs w:val="28"/>
          <w:lang w:eastAsia="zh-CN"/>
        </w:rPr>
        <w:t>，</w:t>
      </w:r>
      <w:r>
        <w:rPr>
          <w:rFonts w:ascii="微软雅黑" w:eastAsia="微软雅黑" w:hAnsi="微软雅黑" w:hint="eastAsia"/>
          <w:sz w:val="28"/>
          <w:szCs w:val="28"/>
        </w:rPr>
        <w:t>一个从硬件到软件、从芯片到模型的全链路自主生态正加速形成。</w:t>
      </w:r>
    </w:p>
    <w:p w14:paraId="7C260E4A">
      <w:pPr>
        <w:pStyle w:val="style0"/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趋势二：AI“附体”，智能终端从“</w:t>
      </w:r>
      <w:r>
        <w:rPr>
          <w:rFonts w:ascii="微软雅黑" w:eastAsia="微软雅黑" w:hAnsi="微软雅黑" w:hint="eastAsia"/>
          <w:b/>
          <w:bCs/>
          <w:sz w:val="28"/>
          <w:szCs w:val="28"/>
          <w:lang w:val="en-US" w:eastAsia="zh-CN"/>
        </w:rPr>
        <w:t>演示工具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”进化为“</w:t>
      </w:r>
      <w:r>
        <w:rPr>
          <w:rFonts w:ascii="微软雅黑" w:eastAsia="微软雅黑" w:hAnsi="微软雅黑" w:hint="eastAsia"/>
          <w:b/>
          <w:bCs/>
          <w:sz w:val="28"/>
          <w:szCs w:val="28"/>
          <w:lang w:val="en-US" w:eastAsia="zh-CN"/>
        </w:rPr>
        <w:t>场景入口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”</w:t>
      </w:r>
    </w:p>
    <w:p w14:paraId="DE5203B2">
      <w:pPr>
        <w:pStyle w:val="style0"/>
        <w:ind w:firstLine="560" w:firstLineChars="20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强大的算力引擎，最终要驱动实体世界的变革。今年，AI终端正以前所未有的速度，完成从“概念演示”到“场景落地”的进化。</w:t>
      </w:r>
    </w:p>
    <w:p w14:paraId="8ED597BA">
      <w:pPr>
        <w:pStyle w:val="style0"/>
        <w:ind w:firstLine="560" w:firstLineChars="20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人形机器人：从“秀舞技”到“找工作”。</w:t>
      </w:r>
      <w:r>
        <w:rPr>
          <w:rFonts w:ascii="微软雅黑" w:eastAsia="微软雅黑" w:hAnsi="微软雅黑" w:hint="eastAsia"/>
          <w:sz w:val="28"/>
          <w:szCs w:val="28"/>
        </w:rPr>
        <w:t>如果说去年的机器人在秀舞技，今年则在“找工作”。星动纪元L7人形机器人，既能跳高难度街舞，也能在流水线上精准分拣包裹。这背后是其VLA大模型“大脑”的加持，让机器人能快速学习新技能，真正具备走进工厂、服务生活的能力。</w:t>
      </w:r>
    </w:p>
    <w:p w14:paraId="75EEC3BB">
      <w:pPr>
        <w:pStyle w:val="style0"/>
        <w:ind w:firstLine="560" w:firstLineChars="20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AI眼镜：戴上一个“生态”。</w:t>
      </w:r>
      <w:r>
        <w:rPr>
          <w:rFonts w:ascii="微软雅黑" w:eastAsia="微软雅黑" w:hAnsi="微软雅黑" w:hint="eastAsia"/>
          <w:sz w:val="28"/>
          <w:szCs w:val="28"/>
        </w:rPr>
        <w:t>AI眼镜不再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只是终端本身</w:t>
      </w:r>
      <w:r>
        <w:rPr>
          <w:rFonts w:ascii="微软雅黑" w:eastAsia="微软雅黑" w:hAnsi="微软雅黑" w:hint="eastAsia"/>
          <w:sz w:val="28"/>
          <w:szCs w:val="28"/>
        </w:rPr>
        <w:t>，而是巨头争夺的“下一个交互入口”。阿里巴巴的夸克AI眼镜深度融合自家生态：内置通义千问，能用高德导航、支付宝付款、淘宝比价。它不再是硬件，而是将庞大数字生态无缝融入你视野的“感官中枢”。</w:t>
      </w:r>
    </w:p>
    <w:p w14:paraId="5D77BA2B">
      <w:pPr>
        <w:pStyle w:val="style0"/>
        <w:ind w:firstLine="560" w:firstLineChars="20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AI PC：你的专属“第二大脑”。</w:t>
      </w:r>
      <w:r>
        <w:rPr>
          <w:rFonts w:ascii="微软雅黑" w:eastAsia="微软雅黑" w:hAnsi="微软雅黑" w:hint="eastAsia"/>
          <w:sz w:val="28"/>
          <w:szCs w:val="28"/>
        </w:rPr>
        <w:t>传统的PC也在被AI重塑</w:t>
      </w:r>
      <w:r>
        <w:rPr>
          <w:rFonts w:ascii="微软雅黑" w:eastAsia="微软雅黑" w:hAnsi="微软雅黑" w:hint="eastAsia"/>
          <w:sz w:val="28"/>
          <w:szCs w:val="28"/>
          <w:lang w:eastAsia="zh-CN"/>
        </w:rPr>
        <w:t>，</w:t>
      </w:r>
      <w:r>
        <w:rPr>
          <w:rFonts w:ascii="微软雅黑" w:eastAsia="微软雅黑" w:hAnsi="微软雅黑" w:hint="eastAsia"/>
          <w:sz w:val="28"/>
          <w:szCs w:val="28"/>
        </w:rPr>
        <w:t>联想等厂商以“混合式AI”架构破局，将云端AI的强大与端侧AI的私密、高效相结合。你的数据安全留存本地，同时拥有一个懂你的AI助手如联想“天禧”智能体，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使</w:t>
      </w:r>
      <w:r>
        <w:rPr>
          <w:rFonts w:ascii="微软雅黑" w:eastAsia="微软雅黑" w:hAnsi="微软雅黑" w:hint="eastAsia"/>
          <w:sz w:val="28"/>
          <w:szCs w:val="28"/>
        </w:rPr>
        <w:t>电脑成为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用户</w:t>
      </w:r>
      <w:r>
        <w:rPr>
          <w:rFonts w:ascii="微软雅黑" w:eastAsia="微软雅黑" w:hAnsi="微软雅黑" w:hint="eastAsia"/>
          <w:sz w:val="28"/>
          <w:szCs w:val="28"/>
        </w:rPr>
        <w:t>专属“第二大脑”。</w:t>
      </w:r>
    </w:p>
    <w:p w14:paraId="78B553BB">
      <w:pPr>
        <w:pStyle w:val="style0"/>
        <w:ind w:firstLine="560" w:firstLineChars="20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从自主可控的算力系统，到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嵌入生产</w:t>
      </w:r>
      <w:r>
        <w:rPr>
          <w:rFonts w:ascii="微软雅黑" w:eastAsia="微软雅黑" w:hAnsi="微软雅黑" w:hint="eastAsia"/>
          <w:sz w:val="28"/>
          <w:szCs w:val="28"/>
        </w:rPr>
        <w:t>的人形机器人，再到生态加持的AI眼镜，WAIC 2025清晰地描绘了AI的未来</w:t>
      </w:r>
      <w:r>
        <w:rPr>
          <w:rFonts w:ascii="微软雅黑" w:eastAsia="微软雅黑" w:hAnsi="微软雅黑" w:hint="eastAsia"/>
          <w:sz w:val="28"/>
          <w:szCs w:val="28"/>
          <w:lang w:eastAsia="zh-CN"/>
        </w:rPr>
        <w:t>，</w:t>
      </w:r>
      <w:r>
        <w:rPr>
          <w:rFonts w:ascii="微软雅黑" w:eastAsia="微软雅黑" w:hAnsi="微软雅黑" w:hint="eastAsia"/>
          <w:sz w:val="28"/>
          <w:szCs w:val="28"/>
          <w:lang w:val="en-US" w:eastAsia="zh-CN"/>
        </w:rPr>
        <w:t>实现</w:t>
      </w:r>
      <w:r>
        <w:rPr>
          <w:rFonts w:ascii="微软雅黑" w:eastAsia="微软雅黑" w:hAnsi="微软雅黑" w:hint="eastAsia"/>
          <w:sz w:val="28"/>
          <w:szCs w:val="28"/>
        </w:rPr>
        <w:t>从芯片到模型，再到终端应用全链路的垂直整合。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一个由自主技术驱动、与物理世界深度融合的智能新时代，正加速到来。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等线"/>
    <w:panose1 w:val="020106000300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 Light"/>
    <w:panose1 w:val="02010600030001010101"/>
    <w:charset w:val="86"/>
    <w:family w:val="auto"/>
    <w:pitch w:val="default"/>
    <w:sig w:usb0="A00002BF" w:usb1="38CF7CFA" w:usb2="00000016" w:usb3="00000000" w:csb0="0004000F" w:csb1="00000000"/>
  </w:font>
  <w:font w:name="微软雅黑">
    <w:altName w:val="微软雅黑"/>
    <w:panose1 w:val="020b0503020002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等线" w:cs="宋体" w:eastAsia="等线" w:hAnsi="等线"/>
      <w:kern w:val="2"/>
      <w:sz w:val="21"/>
      <w:szCs w:val="22"/>
      <w:lang w:val="en-US" w:bidi="ar-SA" w:eastAsia="zh-C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80"/>
      <w:outlineLvl w:val="0"/>
    </w:pPr>
    <w:rPr>
      <w:rFonts w:ascii="等线 Light" w:cs="宋体" w:eastAsia="等线 Light" w:hAnsi="等线 Light"/>
      <w:color w:val="104862"/>
      <w:sz w:val="48"/>
      <w:szCs w:val="4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等线 Light" w:cs="宋体" w:eastAsia="等线 Light" w:hAnsi="等线 Light"/>
      <w:color w:val="104862"/>
      <w:sz w:val="40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ascii="等线 Light" w:cs="宋体" w:eastAsia="等线 Light" w:hAnsi="等线 Light"/>
      <w:color w:val="104862"/>
      <w:sz w:val="32"/>
      <w:szCs w:val="32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/>
      <w:color w:val="104862"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/>
      <w:color w:val="104862"/>
      <w:sz w:val="24"/>
      <w:szCs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/>
      <w:b/>
      <w:bCs/>
      <w:color w:val="104862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/>
      <w:b/>
      <w:bCs/>
      <w:color w:val="595959"/>
      <w14:textFill>
        <w14:solidFill>
          <w14:srgbClr w14:val="595959"/>
        </w14:solidFill>
      </w14:textFill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/>
      <w:color w:val="595959"/>
      <w14:textFill>
        <w14:solidFill>
          <w14:srgbClr w14:val="595959"/>
        </w14:solidFill>
      </w14:textFill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等线 Light"/>
      <w:color w:val="595959"/>
      <w14:textFill>
        <w14:solidFill>
          <w14:srgbClr w14:val="595959"/>
        </w14:solidFill>
      </w14:textFill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113"/>
    <w:qFormat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112"/>
    <w:qFormat/>
    <w:uiPriority w:val="99"/>
    <w:pP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style74">
    <w:name w:val="Subtitle"/>
    <w:basedOn w:val="style0"/>
    <w:next w:val="style0"/>
    <w:link w:val="style4107"/>
    <w:qFormat/>
    <w:uiPriority w:val="11"/>
    <w:pPr>
      <w:spacing w:after="160"/>
      <w:jc w:val="center"/>
    </w:pPr>
    <w:rPr>
      <w:rFonts w:ascii="等线 Light" w:cs="宋体" w:eastAsia="等线 Light" w:hAnsi="等线 Light"/>
      <w:color w:val="595959"/>
      <w:spacing w:val="15"/>
      <w:sz w:val="28"/>
      <w:szCs w:val="28"/>
      <w14:textFill>
        <w14:solidFill>
          <w14:srgbClr w14:val="595959"/>
        </w14:solidFill>
      </w14:textFill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/>
      <w:jc w:val="center"/>
      <w:contextualSpacing/>
    </w:pPr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customStyle="1" w:styleId="style4097">
    <w:name w:val="标题 1 字符"/>
    <w:basedOn w:val="style65"/>
    <w:next w:val="style4097"/>
    <w:link w:val="style1"/>
    <w:qFormat/>
    <w:uiPriority w:val="9"/>
    <w:rPr>
      <w:rFonts w:ascii="等线 Light" w:cs="宋体" w:eastAsia="等线 Light" w:hAnsi="等线 Light"/>
      <w:color w:val="104862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qFormat/>
    <w:uiPriority w:val="9"/>
    <w:rPr>
      <w:rFonts w:ascii="等线 Light" w:cs="宋体" w:eastAsia="等线 Light" w:hAnsi="等线 Light"/>
      <w:color w:val="104862"/>
      <w:sz w:val="40"/>
      <w:szCs w:val="40"/>
    </w:rPr>
  </w:style>
  <w:style w:type="character" w:customStyle="1" w:styleId="style4099">
    <w:name w:val="标题 3 字符"/>
    <w:basedOn w:val="style65"/>
    <w:next w:val="style4099"/>
    <w:link w:val="style3"/>
    <w:qFormat/>
    <w:uiPriority w:val="9"/>
    <w:rPr>
      <w:rFonts w:ascii="等线 Light" w:cs="宋体" w:eastAsia="等线 Light" w:hAnsi="等线 Light"/>
      <w:color w:val="104862"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qFormat/>
    <w:uiPriority w:val="9"/>
    <w:rPr>
      <w:rFonts w:cs="宋体"/>
      <w:color w:val="104862"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qFormat/>
    <w:uiPriority w:val="9"/>
    <w:rPr>
      <w:rFonts w:cs="宋体"/>
      <w:color w:val="104862"/>
      <w:sz w:val="24"/>
      <w:szCs w:val="24"/>
    </w:rPr>
  </w:style>
  <w:style w:type="character" w:customStyle="1" w:styleId="style4102">
    <w:name w:val="标题 6 字符"/>
    <w:basedOn w:val="style65"/>
    <w:next w:val="style4102"/>
    <w:link w:val="style6"/>
    <w:qFormat/>
    <w:uiPriority w:val="9"/>
    <w:rPr>
      <w:rFonts w:cs="宋体"/>
      <w:b/>
      <w:bCs/>
      <w:color w:val="104862"/>
    </w:rPr>
  </w:style>
  <w:style w:type="character" w:customStyle="1" w:styleId="style4103">
    <w:name w:val="标题 7 字符"/>
    <w:basedOn w:val="style65"/>
    <w:next w:val="style4103"/>
    <w:link w:val="style7"/>
    <w:qFormat/>
    <w:uiPriority w:val="9"/>
    <w:rPr>
      <w:rFonts w:cs="宋体"/>
      <w:b/>
      <w:bCs/>
      <w:color w:val="595959"/>
      <w14:textFill>
        <w14:solidFill>
          <w14:srgbClr w14:val="595959"/>
        </w14:solidFill>
      </w14:textFill>
    </w:rPr>
  </w:style>
  <w:style w:type="character" w:customStyle="1" w:styleId="style4104">
    <w:name w:val="标题 8 字符"/>
    <w:basedOn w:val="style65"/>
    <w:next w:val="style4104"/>
    <w:link w:val="style8"/>
    <w:qFormat/>
    <w:uiPriority w:val="9"/>
    <w:rPr>
      <w:rFonts w:cs="宋体"/>
      <w:color w:val="595959"/>
      <w14:textFill>
        <w14:solidFill>
          <w14:srgbClr w14:val="595959"/>
        </w14:solidFill>
      </w14:textFill>
    </w:rPr>
  </w:style>
  <w:style w:type="character" w:customStyle="1" w:styleId="style4105">
    <w:name w:val="标题 9 字符"/>
    <w:basedOn w:val="style65"/>
    <w:next w:val="style4105"/>
    <w:link w:val="style9"/>
    <w:qFormat/>
    <w:uiPriority w:val="9"/>
    <w:rPr>
      <w:rFonts w:cs="宋体" w:eastAsia="等线 Light"/>
      <w:color w:val="595959"/>
      <w14:textFill>
        <w14:solidFill>
          <w14:srgbClr w14:val="595959"/>
        </w14:solidFill>
      </w14:textFill>
    </w:rPr>
  </w:style>
  <w:style w:type="character" w:customStyle="1" w:styleId="style4106">
    <w:name w:val="标题 字符"/>
    <w:basedOn w:val="style65"/>
    <w:next w:val="style4106"/>
    <w:link w:val="style62"/>
    <w:qFormat/>
    <w:uiPriority w:val="10"/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customStyle="1" w:styleId="style4107">
    <w:name w:val="副标题 字符"/>
    <w:basedOn w:val="style65"/>
    <w:next w:val="style4107"/>
    <w:link w:val="style74"/>
    <w:qFormat/>
    <w:uiPriority w:val="11"/>
    <w:rPr>
      <w:rFonts w:ascii="等线 Light" w:cs="宋体" w:eastAsia="等线 Light" w:hAnsi="等线 Light"/>
      <w:color w:val="595959"/>
      <w:spacing w:val="15"/>
      <w:sz w:val="28"/>
      <w:szCs w:val="28"/>
      <w14:textFill>
        <w14:solidFill>
          <w14:srgbClr w14:val="595959"/>
        </w14:solidFill>
      </w14:textFill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/>
      <w:jc w:val="center"/>
    </w:pPr>
    <w:rPr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08">
    <w:name w:val="引用 字符"/>
    <w:basedOn w:val="style65"/>
    <w:next w:val="style4108"/>
    <w:link w:val="style180"/>
    <w:qFormat/>
    <w:uiPriority w:val="29"/>
    <w:rPr>
      <w:i/>
      <w:iCs/>
      <w:color w:val="404040"/>
      <w14:textFill>
        <w14:solidFill>
          <w14:srgbClr w14:val="3f3f3f"/>
        </w14:solidFill>
      </w14:textFill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9">
    <w:name w:val="Intense Emphasis_dc589846-e867-48df-9b68-9dac3ea5c537"/>
    <w:basedOn w:val="style65"/>
    <w:next w:val="style4109"/>
    <w:qFormat/>
    <w:uiPriority w:val="21"/>
    <w:rPr>
      <w:i/>
      <w:iCs/>
      <w:color w:val="104862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style4110">
    <w:name w:val="明显引用 字符"/>
    <w:basedOn w:val="style65"/>
    <w:next w:val="style4110"/>
    <w:link w:val="style181"/>
    <w:qFormat/>
    <w:uiPriority w:val="30"/>
    <w:rPr>
      <w:i/>
      <w:iCs/>
      <w:color w:val="104862"/>
    </w:rPr>
  </w:style>
  <w:style w:type="character" w:customStyle="1" w:styleId="style4111">
    <w:name w:val="Intense Reference_d656ec54-b127-4797-8fc5-337429194f15"/>
    <w:basedOn w:val="style65"/>
    <w:next w:val="style4111"/>
    <w:qFormat/>
    <w:uiPriority w:val="32"/>
    <w:rPr>
      <w:b/>
      <w:bCs/>
      <w:smallCaps/>
      <w:color w:val="104862"/>
      <w:spacing w:val="5"/>
    </w:rPr>
  </w:style>
  <w:style w:type="character" w:customStyle="1" w:styleId="style4112">
    <w:name w:val="页眉 字符"/>
    <w:basedOn w:val="style65"/>
    <w:next w:val="style4112"/>
    <w:link w:val="style31"/>
    <w:qFormat/>
    <w:uiPriority w:val="99"/>
    <w:rPr>
      <w:sz w:val="18"/>
      <w:szCs w:val="18"/>
    </w:rPr>
  </w:style>
  <w:style w:type="character" w:customStyle="1" w:styleId="style4113">
    <w:name w:val="页脚 字符"/>
    <w:basedOn w:val="style65"/>
    <w:next w:val="style4113"/>
    <w:link w:val="style32"/>
    <w:qFormat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Words>969</Words>
  <Pages>2</Pages>
  <Characters>1028</Characters>
  <Application>WPS Office</Application>
  <DocSecurity>0</DocSecurity>
  <Paragraphs>12</Paragraphs>
  <ScaleCrop>false</ScaleCrop>
  <LinksUpToDate>false</LinksUpToDate>
  <CharactersWithSpaces>1033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2025-07-26T16:18:00Z</dcterms:created>
  <dc:creator>彤 毛</dc:creator>
  <lastModifiedBy>ALT-AL10</lastModifiedBy>
  <dcterms:modified xsi:type="dcterms:W3CDTF">2025-07-27T03:22:07Z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eyJoZGlkIjoiZmViNDc3NmU2ODQyNjE0MGMyYTYwODFmZWJiODFmNWMiLCJ1c2VySWQiOiIyNzA2ODE5MjkifQ==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4e344212c90f4702a337968770545dd3_23</vt:lpwstr>
  </property>
</Properties>
</file>