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19A7F">
      <w:pPr>
        <w:pStyle w:val="2"/>
        <w:jc w:val="center"/>
        <w:rPr>
          <w:rFonts w:hint="eastAsia"/>
        </w:rPr>
      </w:pPr>
      <w:bookmarkStart w:id="0" w:name="esim商用提速从终端创新到产业变革的深度解析"/>
      <w:r>
        <w:rPr>
          <w:rFonts w:hint="eastAsia"/>
          <w:lang w:val="en-US" w:eastAsia="zh-CN"/>
        </w:rPr>
        <w:t>从苹果17系列发布看</w:t>
      </w:r>
      <w:r>
        <w:rPr>
          <w:rFonts w:hint="eastAsia"/>
        </w:rPr>
        <w:t>eSIM商用提速：从终端创新到产业变革的深度解析</w:t>
      </w:r>
    </w:p>
    <w:p w14:paraId="5870E475">
      <w:pPr>
        <w:pStyle w:val="25"/>
        <w:rPr>
          <w:rFonts w:hint="eastAsia"/>
        </w:rPr>
      </w:pPr>
      <w:r>
        <w:rPr>
          <w:rFonts w:hint="eastAsia"/>
          <w:b/>
          <w:bCs/>
        </w:rPr>
        <w:t>摘要</w:t>
      </w:r>
      <w:r>
        <w:rPr>
          <w:rFonts w:hint="eastAsia"/>
        </w:rPr>
        <w:t>：9月10日苹果发布iPhone 17系列，其中iPhone 17 Air取消实体SIM卡槽，全面采用eSIM技术，成为苹果史上最薄机型。中国联通</w:t>
      </w:r>
      <w:r>
        <w:rPr>
          <w:rFonts w:hint="eastAsia"/>
          <w:lang w:val="en-US" w:eastAsia="zh-CN"/>
        </w:rPr>
        <w:t>已</w:t>
      </w:r>
      <w:r>
        <w:rPr>
          <w:rFonts w:hint="eastAsia"/>
        </w:rPr>
        <w:t>启动</w:t>
      </w:r>
      <w:r>
        <w:rPr>
          <w:rFonts w:hint="eastAsia"/>
          <w:lang w:val="en-US" w:eastAsia="zh-CN"/>
        </w:rPr>
        <w:t>相关支持</w:t>
      </w:r>
      <w:r>
        <w:rPr>
          <w:rFonts w:hint="eastAsia"/>
        </w:rPr>
        <w:t>，</w:t>
      </w:r>
      <w:r>
        <w:rPr>
          <w:rFonts w:hint="eastAsia"/>
          <w:lang w:val="en-US" w:eastAsia="zh-CN"/>
        </w:rPr>
        <w:t>中国电信和中国移动也提交了商用申请，获批后将快速开放服务，</w:t>
      </w:r>
      <w:r>
        <w:rPr>
          <w:rFonts w:hint="eastAsia"/>
        </w:rPr>
        <w:t>标志着eSIM从单点突破</w:t>
      </w:r>
      <w:r>
        <w:rPr>
          <w:rFonts w:hint="eastAsia"/>
          <w:lang w:val="en-US" w:eastAsia="zh-CN"/>
        </w:rPr>
        <w:t>转向</w:t>
      </w:r>
      <w:r>
        <w:rPr>
          <w:rFonts w:hint="eastAsia"/>
        </w:rPr>
        <w:t>全产业链协同推进</w:t>
      </w:r>
      <w:r>
        <w:t>。</w:t>
      </w:r>
    </w:p>
    <w:p w14:paraId="23538B16">
      <w:pPr>
        <w:pStyle w:val="4"/>
        <w:rPr>
          <w:rFonts w:hint="eastAsia"/>
        </w:rPr>
      </w:pPr>
      <w:bookmarkStart w:id="1" w:name="一背景终端与网络双轮驱动esim商用进入快车道"/>
      <w:r>
        <w:rPr>
          <w:rFonts w:hint="eastAsia"/>
        </w:rPr>
        <w:t>一、</w:t>
      </w:r>
      <w:r>
        <w:rPr>
          <w:rFonts w:hint="eastAsia" w:ascii="宋体" w:hAnsi="宋体" w:eastAsia="宋体" w:cs="宋体"/>
        </w:rPr>
        <w:t>eSIM</w:t>
      </w:r>
      <w:r>
        <w:rPr>
          <w:rFonts w:hint="eastAsia"/>
        </w:rPr>
        <w:t>核心技术与产业价值</w:t>
      </w:r>
    </w:p>
    <w:p w14:paraId="71437243">
      <w:pPr>
        <w:pStyle w:val="25"/>
        <w:rPr>
          <w:rFonts w:hint="eastAsia" w:eastAsia="宋体"/>
          <w:lang w:eastAsia="zh-CN"/>
        </w:rPr>
      </w:pPr>
      <w:r>
        <w:rPr>
          <w:rFonts w:hint="eastAsia"/>
        </w:rPr>
        <w:t>eSIM</w:t>
      </w:r>
      <w:r>
        <w:rPr>
          <w:rFonts w:hint="eastAsia"/>
          <w:lang w:eastAsia="zh-CN"/>
        </w:rPr>
        <w:t>是</w:t>
      </w:r>
      <w:r>
        <w:rPr>
          <w:rFonts w:hint="eastAsia"/>
        </w:rPr>
        <w:t>一种远程SIM配置技术，无需物理卡槽</w:t>
      </w:r>
      <w:r>
        <w:rPr>
          <w:rFonts w:hint="eastAsia"/>
          <w:lang w:eastAsia="zh-CN"/>
        </w:rPr>
        <w:t>，</w:t>
      </w:r>
      <w:r>
        <w:rPr>
          <w:rFonts w:hint="eastAsia"/>
        </w:rPr>
        <w:t>将传统SIM卡功能以电子化形式直接嵌入</w:t>
      </w:r>
      <w:r>
        <w:rPr>
          <w:rFonts w:hint="eastAsia"/>
          <w:lang w:val="en-US" w:eastAsia="zh-CN"/>
        </w:rPr>
        <w:t>终端主芯片</w:t>
      </w:r>
      <w:r>
        <w:rPr>
          <w:rFonts w:hint="eastAsia"/>
        </w:rPr>
        <w:t>，</w:t>
      </w:r>
      <w:r>
        <w:rPr>
          <w:rFonts w:hint="eastAsia"/>
          <w:lang w:val="en-US" w:eastAsia="zh-CN"/>
        </w:rPr>
        <w:t>具备以下</w:t>
      </w:r>
      <w:r>
        <w:rPr>
          <w:rFonts w:hint="eastAsia"/>
        </w:rPr>
        <w:t>核心价值</w:t>
      </w:r>
      <w:r>
        <w:rPr>
          <w:rFonts w:hint="eastAsia"/>
          <w:lang w:eastAsia="zh-CN"/>
        </w:rPr>
        <w:t>：</w:t>
      </w:r>
    </w:p>
    <w:p w14:paraId="71F55CD0">
      <w:pPr>
        <w:numPr>
          <w:ilvl w:val="0"/>
          <w:numId w:val="2"/>
        </w:numPr>
        <w:ind w:left="420" w:leftChars="0" w:hanging="420" w:firstLineChars="0"/>
        <w:rPr>
          <w:rFonts w:hint="eastAsia"/>
        </w:rPr>
      </w:pPr>
      <w:r>
        <w:rPr>
          <w:rFonts w:hint="eastAsia"/>
          <w:b/>
          <w:bCs/>
        </w:rPr>
        <w:t>赋能终端创新</w:t>
      </w:r>
      <w:r>
        <w:rPr>
          <w:rFonts w:hint="eastAsia"/>
        </w:rPr>
        <w:t>：移除物理卡槽可节省30%空间，</w:t>
      </w:r>
      <w:r>
        <w:rPr>
          <w:rFonts w:hint="eastAsia"/>
          <w:lang w:val="en-US" w:eastAsia="zh-CN"/>
        </w:rPr>
        <w:t>可</w:t>
      </w:r>
      <w:r>
        <w:rPr>
          <w:rFonts w:hint="eastAsia"/>
        </w:rPr>
        <w:t>优化电池容量、散热模组或集成新传感器</w:t>
      </w:r>
      <w:r>
        <w:rPr>
          <w:rFonts w:hint="eastAsia"/>
          <w:lang w:eastAsia="zh-CN"/>
        </w:rPr>
        <w:t>，</w:t>
      </w:r>
      <w:r>
        <w:rPr>
          <w:rFonts w:hint="eastAsia"/>
        </w:rPr>
        <w:t>显著提升设备防水、防尘等级和结构一体性，</w:t>
      </w:r>
      <w:r>
        <w:rPr>
          <w:rFonts w:hint="eastAsia"/>
          <w:b/>
          <w:bCs/>
        </w:rPr>
        <w:t>是实现“无孔化”手机设计的第一步</w:t>
      </w:r>
      <w:r>
        <w:t>。</w:t>
      </w:r>
    </w:p>
    <w:p w14:paraId="0623CA83">
      <w:pPr>
        <w:numPr>
          <w:ilvl w:val="0"/>
          <w:numId w:val="2"/>
        </w:numPr>
        <w:ind w:left="420" w:leftChars="0" w:hanging="420" w:firstLineChars="0"/>
        <w:rPr>
          <w:rFonts w:hint="eastAsia"/>
        </w:rPr>
      </w:pPr>
      <w:r>
        <w:rPr>
          <w:rFonts w:hint="eastAsia"/>
          <w:b/>
          <w:bCs/>
        </w:rPr>
        <w:t>优化用户体验</w:t>
      </w:r>
      <w:r>
        <w:rPr>
          <w:rFonts w:hint="eastAsia"/>
        </w:rPr>
        <w:t>：用户可线上完成运营商签约、激活、转网，流程极大简化。“一号多终端”和便捷的国际漫游套餐订阅功能</w:t>
      </w:r>
      <w:r>
        <w:rPr>
          <w:rFonts w:hint="eastAsia"/>
          <w:lang w:val="en-US" w:eastAsia="zh-CN"/>
        </w:rPr>
        <w:t>也将</w:t>
      </w:r>
      <w:r>
        <w:rPr>
          <w:rFonts w:hint="eastAsia"/>
        </w:rPr>
        <w:t>显著提升通信服务灵活性与便捷性</w:t>
      </w:r>
      <w:r>
        <w:t>。</w:t>
      </w:r>
    </w:p>
    <w:p w14:paraId="108CA8D1">
      <w:pPr>
        <w:numPr>
          <w:ilvl w:val="0"/>
          <w:numId w:val="2"/>
        </w:numPr>
        <w:ind w:left="420" w:leftChars="0" w:hanging="420" w:firstLineChars="0"/>
        <w:rPr>
          <w:rFonts w:hint="eastAsia"/>
        </w:rPr>
      </w:pPr>
      <w:r>
        <w:rPr>
          <w:rFonts w:hint="eastAsia"/>
          <w:b/>
          <w:bCs/>
        </w:rPr>
        <w:t>驱动产业升级</w:t>
      </w:r>
      <w:r>
        <w:rPr>
          <w:rFonts w:hint="eastAsia"/>
        </w:rPr>
        <w:t>：eSIM</w:t>
      </w:r>
      <w:r>
        <w:rPr>
          <w:rFonts w:hint="eastAsia"/>
          <w:lang w:val="en-US" w:eastAsia="zh-CN"/>
        </w:rPr>
        <w:t>广泛用于</w:t>
      </w:r>
      <w:r>
        <w:rPr>
          <w:rFonts w:hint="eastAsia"/>
        </w:rPr>
        <w:t>物联网领域，是实现海量设备低成本、高效率管理的关键技术</w:t>
      </w:r>
      <w:r>
        <w:rPr>
          <w:rFonts w:hint="eastAsia"/>
          <w:lang w:eastAsia="zh-CN"/>
        </w:rPr>
        <w:t>，</w:t>
      </w:r>
      <w:r>
        <w:rPr>
          <w:rFonts w:hint="eastAsia"/>
        </w:rPr>
        <w:t>其远程配置能力为车联网、工业互联网、智能穿戴等场景的规模部署奠定坚实基础</w:t>
      </w:r>
      <w:r>
        <w:t>。</w:t>
      </w:r>
    </w:p>
    <w:p w14:paraId="7DF95309">
      <w:pPr>
        <w:pStyle w:val="4"/>
        <w:numPr>
          <w:ilvl w:val="0"/>
          <w:numId w:val="3"/>
        </w:numPr>
        <w:rPr>
          <w:rFonts w:hint="eastAsia"/>
        </w:rPr>
      </w:pPr>
      <w:r>
        <w:rPr>
          <w:rFonts w:hint="eastAsia"/>
        </w:rPr>
        <w:t>终端与网络双轮驱动，</w:t>
      </w:r>
      <w:r>
        <w:rPr>
          <w:rFonts w:hint="eastAsia" w:ascii="宋体" w:hAnsi="宋体" w:cs="宋体"/>
        </w:rPr>
        <w:t>eSIM</w:t>
      </w:r>
      <w:r>
        <w:rPr>
          <w:rFonts w:hint="eastAsia"/>
        </w:rPr>
        <w:t>商用进入快车道</w:t>
      </w:r>
    </w:p>
    <w:p w14:paraId="7A9F9C2A">
      <w:pPr>
        <w:pStyle w:val="25"/>
        <w:rPr>
          <w:rFonts w:hint="eastAsia"/>
        </w:rPr>
      </w:pPr>
      <w:r>
        <w:rPr>
          <w:rFonts w:hint="eastAsia"/>
        </w:rPr>
        <w:t>长期以来，eSIM</w:t>
      </w:r>
      <w:r>
        <w:rPr>
          <w:rFonts w:hint="eastAsia"/>
          <w:lang w:val="en-US" w:eastAsia="zh-CN"/>
        </w:rPr>
        <w:t>全球</w:t>
      </w:r>
      <w:r>
        <w:rPr>
          <w:rFonts w:hint="eastAsia"/>
        </w:rPr>
        <w:t>推广主要由苹果等终端厂商主导。从iPhone14系列在美国市场率先取消实体SIM卡槽，到iPhone17为实现极致轻薄而彻底转向eSIM方案，终端侧技术创新持续</w:t>
      </w:r>
      <w:r>
        <w:rPr>
          <w:rFonts w:hint="eastAsia"/>
          <w:lang w:val="en-US" w:eastAsia="zh-CN"/>
        </w:rPr>
        <w:t>驱动</w:t>
      </w:r>
      <w:r>
        <w:rPr>
          <w:rFonts w:hint="eastAsia"/>
        </w:rPr>
        <w:t>传统SIM卡形态变革</w:t>
      </w:r>
      <w:r>
        <w:t>。</w:t>
      </w:r>
      <w:r>
        <w:rPr>
          <w:rFonts w:hint="eastAsia"/>
          <w:lang w:val="en-US" w:eastAsia="zh-CN"/>
        </w:rPr>
        <w:t>国内市场</w:t>
      </w:r>
      <w:r>
        <w:rPr>
          <w:rFonts w:hint="eastAsia"/>
        </w:rPr>
        <w:t>关键变量</w:t>
      </w:r>
      <w:r>
        <w:rPr>
          <w:rFonts w:hint="eastAsia"/>
          <w:lang w:val="en-US" w:eastAsia="zh-CN"/>
        </w:rPr>
        <w:t>则源于</w:t>
      </w:r>
      <w:r>
        <w:rPr>
          <w:rFonts w:hint="eastAsia"/>
        </w:rPr>
        <w:t>网络侧积极响应。</w:t>
      </w:r>
      <w:r>
        <w:rPr>
          <w:rFonts w:hint="eastAsia"/>
          <w:lang w:val="en-US" w:eastAsia="zh-CN"/>
        </w:rPr>
        <w:t>我国</w:t>
      </w:r>
      <w:r>
        <w:rPr>
          <w:rFonts w:hint="eastAsia"/>
        </w:rPr>
        <w:t>三大运营商打破市场观望态势</w:t>
      </w:r>
      <w:r>
        <w:rPr>
          <w:rFonts w:hint="eastAsia"/>
          <w:lang w:eastAsia="zh-CN"/>
        </w:rPr>
        <w:t>，</w:t>
      </w:r>
      <w:r>
        <w:rPr>
          <w:rFonts w:hint="eastAsia"/>
        </w:rPr>
        <w:t>重启并加速布局eSIM业务，标志着我国eSIM商用进入实质性提速阶段。目前，中国联通已在北京、天津等25个省市重启相关业务；中国移动正进行全国系统优化；中国电信则全面准备就绪，待工信部批复后即可向用户开放服务</w:t>
      </w:r>
      <w:r>
        <w:t>。</w:t>
      </w:r>
    </w:p>
    <w:p w14:paraId="5836E8D9">
      <w:pPr>
        <w:pStyle w:val="3"/>
        <w:rPr>
          <w:rFonts w:hint="eastAsia"/>
        </w:rPr>
      </w:pPr>
      <w:r>
        <w:rPr>
          <w:rFonts w:hint="eastAsia"/>
        </w:rPr>
        <w:t>终端持续创新与网络全面支持形成强大双轮驱动力，“无卡槽手机”时代正由概念变为现实。业界普遍预计，</w:t>
      </w:r>
      <w:r>
        <w:rPr>
          <w:rFonts w:hint="eastAsia"/>
          <w:b/>
          <w:bCs/>
        </w:rPr>
        <w:t>2025年下半年将成为国内eSIM业务在智能手机领域全面铺开的关键转折点，届时市场将迎来首个eSIM旗舰机型爆发期</w:t>
      </w:r>
      <w:r>
        <w:rPr>
          <w:b/>
          <w:bCs/>
        </w:rPr>
        <w:t>。</w:t>
      </w:r>
    </w:p>
    <w:bookmarkEnd w:id="1"/>
    <w:p w14:paraId="4D8FB4C2">
      <w:pPr>
        <w:pStyle w:val="4"/>
        <w:rPr>
          <w:rFonts w:hint="eastAsia"/>
        </w:rPr>
      </w:pPr>
      <w:bookmarkStart w:id="2" w:name="二全球市场格局与经验借鉴"/>
      <w:r>
        <w:rPr>
          <w:rFonts w:hint="eastAsia"/>
          <w:lang w:val="en-US" w:eastAsia="zh-CN"/>
        </w:rPr>
        <w:t>三</w:t>
      </w:r>
      <w:r>
        <w:rPr>
          <w:rFonts w:hint="eastAsia"/>
        </w:rPr>
        <w:t>、全球市场格局与经验借鉴</w:t>
      </w:r>
    </w:p>
    <w:p w14:paraId="1D164DD8">
      <w:pPr>
        <w:pStyle w:val="25"/>
        <w:rPr>
          <w:rFonts w:hint="eastAsia" w:eastAsia="宋体"/>
          <w:lang w:eastAsia="zh-CN"/>
        </w:rPr>
      </w:pPr>
      <w:r>
        <w:rPr>
          <w:rFonts w:hint="eastAsia"/>
        </w:rPr>
        <w:t>截至2024年6月，全球提供eSIM</w:t>
      </w:r>
      <w:r>
        <w:rPr>
          <w:rFonts w:hint="eastAsia"/>
          <w:lang w:val="en-US" w:eastAsia="zh-CN"/>
        </w:rPr>
        <w:t>终端</w:t>
      </w:r>
      <w:r>
        <w:rPr>
          <w:rFonts w:hint="eastAsia"/>
        </w:rPr>
        <w:t>服务的国家地区已增至123个，运营商数量达441家</w:t>
      </w:r>
      <w:r>
        <w:t>。</w:t>
      </w:r>
      <w:r>
        <w:rPr>
          <w:rFonts w:hint="eastAsia"/>
        </w:rPr>
        <w:t>全球eSIM市场经过近十年发展，已从技术验证迈向规模落地，</w:t>
      </w:r>
      <w:r>
        <w:rPr>
          <w:rFonts w:hint="eastAsia"/>
          <w:lang w:val="en-US" w:eastAsia="zh-CN"/>
        </w:rPr>
        <w:t>从手机终端扩散至汽车、物联设备等泛终端体系，</w:t>
      </w:r>
      <w:r>
        <w:rPr>
          <w:rFonts w:hint="eastAsia"/>
        </w:rPr>
        <w:t>形成多元化发展路径</w:t>
      </w:r>
      <w:r>
        <w:rPr>
          <w:rFonts w:hint="eastAsia"/>
          <w:lang w:eastAsia="zh-CN"/>
        </w:rPr>
        <w:t>：</w:t>
      </w:r>
    </w:p>
    <w:p w14:paraId="7BB5295D">
      <w:pPr>
        <w:numPr>
          <w:ilvl w:val="0"/>
          <w:numId w:val="4"/>
        </w:numPr>
        <w:rPr>
          <w:rFonts w:hint="eastAsia"/>
        </w:rPr>
      </w:pPr>
      <w:r>
        <w:rPr>
          <w:rFonts w:hint="eastAsia"/>
          <w:b/>
          <w:bCs/>
        </w:rPr>
        <w:t>美国模式（</w:t>
      </w:r>
      <w:r>
        <w:rPr>
          <w:rFonts w:hint="eastAsia"/>
          <w:b/>
          <w:bCs/>
          <w:lang w:val="en-US" w:eastAsia="zh-CN"/>
        </w:rPr>
        <w:t>头部企业</w:t>
      </w:r>
      <w:r>
        <w:rPr>
          <w:rFonts w:hint="eastAsia"/>
          <w:b/>
          <w:bCs/>
        </w:rPr>
        <w:t>驱动）</w:t>
      </w:r>
      <w:r>
        <w:rPr>
          <w:rFonts w:hint="eastAsia"/>
        </w:rPr>
        <w:t>：自2018年苹果在iPhoneXS系列中引入eSIM后，2022年美版iPhone14系列全面取消实体SIM卡槽</w:t>
      </w:r>
      <w:r>
        <w:rPr>
          <w:rFonts w:hint="eastAsia"/>
          <w:lang w:eastAsia="zh-CN"/>
        </w:rPr>
        <w:t>，</w:t>
      </w:r>
      <w:r>
        <w:rPr>
          <w:rFonts w:hint="eastAsia"/>
        </w:rPr>
        <w:t>极大</w:t>
      </w:r>
      <w:r>
        <w:rPr>
          <w:rFonts w:hint="eastAsia"/>
          <w:lang w:val="en-US" w:eastAsia="zh-CN"/>
        </w:rPr>
        <w:t>推动</w:t>
      </w:r>
      <w:r>
        <w:rPr>
          <w:rFonts w:hint="eastAsia"/>
        </w:rPr>
        <w:t>运营商全面支持</w:t>
      </w:r>
      <w:r>
        <w:rPr>
          <w:rFonts w:hint="eastAsia"/>
          <w:lang w:eastAsia="zh-CN"/>
        </w:rPr>
        <w:t>，</w:t>
      </w:r>
      <w:r>
        <w:rPr>
          <w:rFonts w:hint="eastAsia"/>
        </w:rPr>
        <w:t>直接促使美国eSIM用户渗透率从2020年的12%飙升至2024年的38%。AT&amp;T、T-Mobile等运营商也顺势推出“多终端共享套餐”和便捷的“国际eSIM漫游包”，通过资费优惠和服务创新，成功将终端优势转化为市场优势</w:t>
      </w:r>
      <w:r>
        <w:t>。</w:t>
      </w:r>
    </w:p>
    <w:p w14:paraId="7000C314">
      <w:pPr>
        <w:numPr>
          <w:ilvl w:val="0"/>
          <w:numId w:val="4"/>
        </w:numPr>
        <w:rPr>
          <w:rFonts w:hint="eastAsia"/>
        </w:rPr>
      </w:pPr>
      <w:r>
        <w:rPr>
          <w:rFonts w:hint="eastAsia"/>
          <w:b/>
          <w:bCs/>
        </w:rPr>
        <w:t>欧洲模式（政策强制牵引）</w:t>
      </w:r>
      <w:r>
        <w:rPr>
          <w:rFonts w:hint="eastAsia"/>
        </w:rPr>
        <w:t>：欧盟2018年3月强制要求所有新注册车辆必须搭载基于eSIM的“eCall”自动紧急呼叫系统</w:t>
      </w:r>
      <w:r>
        <w:rPr>
          <w:rFonts w:hint="eastAsia"/>
          <w:lang w:eastAsia="zh-CN"/>
        </w:rPr>
        <w:t>，</w:t>
      </w:r>
      <w:r>
        <w:rPr>
          <w:rFonts w:hint="eastAsia"/>
          <w:lang w:val="en-US" w:eastAsia="zh-CN"/>
        </w:rPr>
        <w:t>促使</w:t>
      </w:r>
      <w:r>
        <w:rPr>
          <w:rFonts w:hint="eastAsia"/>
        </w:rPr>
        <w:t>eSIM成为车联网发展的关键突破口，直接推动欧洲车载eSIM出货量从2018年的120万激增至2023年的1100万。宝马、大众等车企与德国电信、沃达丰等运营商深度合作，成功打造以行业应用为核心的商业闭环</w:t>
      </w:r>
      <w:r>
        <w:t>。</w:t>
      </w:r>
    </w:p>
    <w:p w14:paraId="49C0B4B9">
      <w:pPr>
        <w:numPr>
          <w:ilvl w:val="0"/>
          <w:numId w:val="4"/>
        </w:numPr>
        <w:rPr>
          <w:rFonts w:hint="eastAsia"/>
        </w:rPr>
      </w:pPr>
      <w:r>
        <w:rPr>
          <w:rFonts w:hint="eastAsia"/>
          <w:b/>
          <w:bCs/>
        </w:rPr>
        <w:t>日韩模式（物联网先行）</w:t>
      </w:r>
      <w:r>
        <w:rPr>
          <w:rFonts w:hint="eastAsia"/>
        </w:rPr>
        <w:t>：与欧美不同，日本和韩国将eSIM定位为物联网产业升级的核心基础设施。日本NTTDoCoMo早在2014年便启动“eSIM</w:t>
      </w:r>
      <w:r>
        <w:t>for</w:t>
      </w:r>
      <w:r>
        <w:rPr>
          <w:rFonts w:hint="eastAsia"/>
        </w:rPr>
        <w:t>IoT”计划，其管理平台2017年接入设备数破1000万，主要</w:t>
      </w:r>
      <w:r>
        <w:rPr>
          <w:rFonts w:hint="eastAsia"/>
          <w:lang w:val="en-US" w:eastAsia="zh-CN"/>
        </w:rPr>
        <w:t>用于</w:t>
      </w:r>
      <w:r>
        <w:rPr>
          <w:rFonts w:hint="eastAsia"/>
        </w:rPr>
        <w:t>智能表计、工业传感器等领域。韩国则以“5G+eSIM”融合为特色，2023年其物联网设备eSIM渗透率高达47%</w:t>
      </w:r>
      <w:r>
        <w:t>。</w:t>
      </w:r>
      <w:bookmarkEnd w:id="2"/>
      <w:bookmarkStart w:id="3" w:name="三esim的核心技术价值与产业赋能"/>
    </w:p>
    <w:bookmarkEnd w:id="3"/>
    <w:p w14:paraId="53F1192C">
      <w:pPr>
        <w:pStyle w:val="4"/>
        <w:rPr>
          <w:rFonts w:hint="eastAsia"/>
        </w:rPr>
      </w:pPr>
      <w:bookmarkStart w:id="4" w:name="四全面商用面临的多维度挑战"/>
      <w:r>
        <w:rPr>
          <w:rFonts w:hint="eastAsia"/>
        </w:rPr>
        <w:t>四、全面商用</w:t>
      </w:r>
      <w:r>
        <w:rPr>
          <w:rFonts w:hint="eastAsia"/>
          <w:lang w:val="en-US" w:eastAsia="zh-CN"/>
        </w:rPr>
        <w:t>的机遇与</w:t>
      </w:r>
      <w:r>
        <w:rPr>
          <w:rFonts w:hint="eastAsia"/>
        </w:rPr>
        <w:t>挑战</w:t>
      </w:r>
    </w:p>
    <w:p w14:paraId="635F92BC">
      <w:pPr>
        <w:pStyle w:val="25"/>
        <w:rPr>
          <w:rFonts w:hint="eastAsia"/>
        </w:rPr>
      </w:pPr>
      <w:r>
        <w:rPr>
          <w:rFonts w:hint="eastAsia"/>
        </w:rPr>
        <w:t>eSIM普及不仅是技术更迭，更是一场涉及监管、市场、用户及产业链的系统性变革，挑战与机遇并存</w:t>
      </w:r>
      <w:bookmarkStart w:id="6" w:name="_GoBack"/>
      <w:bookmarkEnd w:id="6"/>
      <w:r>
        <w:t>。</w:t>
      </w:r>
    </w:p>
    <w:p w14:paraId="648D29C2">
      <w:pPr>
        <w:numPr>
          <w:ilvl w:val="0"/>
          <w:numId w:val="4"/>
        </w:numPr>
        <w:rPr>
          <w:rFonts w:hint="eastAsia"/>
        </w:rPr>
      </w:pPr>
      <w:r>
        <w:rPr>
          <w:rFonts w:hint="eastAsia"/>
          <w:b/>
          <w:bCs/>
        </w:rPr>
        <w:t>监管体系与安全挑战</w:t>
      </w:r>
      <w:r>
        <w:rPr>
          <w:rFonts w:hint="eastAsia"/>
        </w:rPr>
        <w:t>：eSIM将</w:t>
      </w:r>
      <w:r>
        <w:rPr>
          <w:rFonts w:hint="eastAsia"/>
          <w:lang w:val="en-US" w:eastAsia="zh-CN"/>
        </w:rPr>
        <w:t>实体</w:t>
      </w:r>
      <w:r>
        <w:rPr>
          <w:rFonts w:hint="eastAsia"/>
        </w:rPr>
        <w:t>卡承载实名制信任根</w:t>
      </w:r>
      <w:r>
        <w:rPr>
          <w:rFonts w:hint="eastAsia"/>
          <w:lang w:val="en-US" w:eastAsia="zh-CN"/>
        </w:rPr>
        <w:t>模式</w:t>
      </w:r>
      <w:r>
        <w:rPr>
          <w:rFonts w:hint="eastAsia"/>
        </w:rPr>
        <w:t>转</w:t>
      </w:r>
      <w:r>
        <w:rPr>
          <w:rFonts w:hint="eastAsia"/>
          <w:lang w:val="en-US" w:eastAsia="zh-CN"/>
        </w:rPr>
        <w:t>为</w:t>
      </w:r>
      <w:r>
        <w:rPr>
          <w:rFonts w:hint="eastAsia"/>
        </w:rPr>
        <w:t>数字化远程配置，对安全监管提出了更高要求</w:t>
      </w:r>
      <w:r>
        <w:rPr>
          <w:rFonts w:hint="eastAsia"/>
          <w:lang w:eastAsia="zh-CN"/>
        </w:rPr>
        <w:t>，</w:t>
      </w:r>
      <w:r>
        <w:rPr>
          <w:rFonts w:hint="eastAsia"/>
          <w:lang w:val="en-US" w:eastAsia="zh-CN"/>
        </w:rPr>
        <w:t>需</w:t>
      </w:r>
      <w:r>
        <w:rPr>
          <w:rFonts w:hint="eastAsia"/>
        </w:rPr>
        <w:t>防范利用其便捷开卡特性进行电信诈骗等违法活动。因此，建立更严密的线上实名认证体系，如“人脸识别+身份证信息”双重验证机制，将成保障安全推广的必要前提</w:t>
      </w:r>
      <w:r>
        <w:t>。</w:t>
      </w:r>
    </w:p>
    <w:p w14:paraId="1687F429">
      <w:pPr>
        <w:numPr>
          <w:ilvl w:val="0"/>
          <w:numId w:val="4"/>
        </w:numPr>
        <w:rPr>
          <w:rFonts w:hint="eastAsia"/>
        </w:rPr>
      </w:pPr>
      <w:r>
        <w:rPr>
          <w:rFonts w:hint="eastAsia"/>
          <w:b/>
          <w:bCs/>
        </w:rPr>
        <w:t>市场竞争与运营商转型</w:t>
      </w:r>
      <w:r>
        <w:rPr>
          <w:rFonts w:hint="eastAsia"/>
        </w:rPr>
        <w:t>：eSIM降低</w:t>
      </w:r>
      <w:r>
        <w:rPr>
          <w:rFonts w:hint="eastAsia"/>
          <w:lang w:eastAsia="zh-CN"/>
        </w:rPr>
        <w:t>了</w:t>
      </w:r>
      <w:r>
        <w:rPr>
          <w:rFonts w:hint="eastAsia"/>
        </w:rPr>
        <w:t>用户转网门槛，将加剧运营商之间的竞争</w:t>
      </w:r>
      <w:r>
        <w:rPr>
          <w:rFonts w:hint="eastAsia"/>
          <w:lang w:eastAsia="zh-CN"/>
        </w:rPr>
        <w:t>，</w:t>
      </w:r>
      <w:r>
        <w:rPr>
          <w:rFonts w:hint="eastAsia"/>
        </w:rPr>
        <w:t>倒逼运营商必须从单纯的连接提供商，向</w:t>
      </w:r>
      <w:r>
        <w:rPr>
          <w:rFonts w:hint="eastAsia"/>
          <w:lang w:val="en-US" w:eastAsia="zh-CN"/>
        </w:rPr>
        <w:t>提供优质资源和创新</w:t>
      </w:r>
      <w:r>
        <w:rPr>
          <w:rFonts w:hint="eastAsia"/>
        </w:rPr>
        <w:t>服务的综合服务商转型，通过构建差异化优势留存用户</w:t>
      </w:r>
      <w:r>
        <w:t>。</w:t>
      </w:r>
    </w:p>
    <w:p w14:paraId="78AE85F5">
      <w:pPr>
        <w:numPr>
          <w:ilvl w:val="0"/>
          <w:numId w:val="4"/>
        </w:numPr>
        <w:rPr>
          <w:rFonts w:hint="eastAsia"/>
        </w:rPr>
      </w:pPr>
      <w:r>
        <w:rPr>
          <w:rFonts w:hint="eastAsia"/>
          <w:b/>
          <w:bCs/>
        </w:rPr>
        <w:t>用户迁移与社会适应性</w:t>
      </w:r>
      <w:r>
        <w:rPr>
          <w:rFonts w:hint="eastAsia"/>
        </w:rPr>
        <w:t>：对于已习惯实体卡操作逻辑的中老年用户群体需提供清晰指引和必要过渡方案。当设备出现故障或遗失时，如何快速安全地将eSIM号码恢复至备用设备，是亟待优化的服务流程，直接影响用户使用安全感</w:t>
      </w:r>
      <w:r>
        <w:t>。</w:t>
      </w:r>
    </w:p>
    <w:p w14:paraId="5A5609A1">
      <w:pPr>
        <w:numPr>
          <w:ilvl w:val="0"/>
          <w:numId w:val="4"/>
        </w:numPr>
        <w:rPr>
          <w:rFonts w:hint="eastAsia"/>
        </w:rPr>
      </w:pPr>
      <w:r>
        <w:rPr>
          <w:rFonts w:hint="eastAsia"/>
          <w:b/>
          <w:bCs/>
        </w:rPr>
        <w:t>产业链结构性冲击</w:t>
      </w:r>
      <w:r>
        <w:rPr>
          <w:rFonts w:hint="eastAsia"/>
        </w:rPr>
        <w:t>：eSIM的普及将直接冲击传统SIM卡产业链。SIM卡供应商、卡座连接器厂商的业务将面临萎缩，而线下营业厅的补卡、换卡等传统业务也将受到影响，相关产业和岗位面临转型压力</w:t>
      </w:r>
      <w:r>
        <w:t>。</w:t>
      </w:r>
    </w:p>
    <w:bookmarkEnd w:id="4"/>
    <w:p w14:paraId="31BC489F">
      <w:pPr>
        <w:pStyle w:val="4"/>
        <w:rPr>
          <w:rFonts w:hint="eastAsia"/>
        </w:rPr>
      </w:pPr>
      <w:bookmarkStart w:id="5" w:name="五未来趋势预测与展望"/>
      <w:r>
        <w:rPr>
          <w:rFonts w:hint="eastAsia"/>
        </w:rPr>
        <w:t>五、未来趋势预测与展望</w:t>
      </w:r>
    </w:p>
    <w:p w14:paraId="1F3ABB27">
      <w:pPr>
        <w:pStyle w:val="25"/>
        <w:rPr>
          <w:rFonts w:hint="eastAsia"/>
        </w:rPr>
      </w:pPr>
      <w:r>
        <w:rPr>
          <w:rFonts w:hint="eastAsia"/>
        </w:rPr>
        <w:t>随着技术与市场的成熟，eSIM将驱动通信和终端产业进入新发展阶段</w:t>
      </w:r>
      <w:r>
        <w:t>。</w:t>
      </w:r>
    </w:p>
    <w:p w14:paraId="54BCD703">
      <w:pPr>
        <w:numPr>
          <w:ilvl w:val="0"/>
          <w:numId w:val="4"/>
        </w:numPr>
        <w:rPr>
          <w:rFonts w:hint="eastAsia"/>
        </w:rPr>
      </w:pPr>
      <w:r>
        <w:rPr>
          <w:rFonts w:hint="eastAsia"/>
          <w:b/>
          <w:bCs/>
          <w:lang w:val="en-US" w:eastAsia="zh-CN"/>
        </w:rPr>
        <w:t>市场全面渗透</w:t>
      </w:r>
      <w:r>
        <w:rPr>
          <w:rFonts w:hint="eastAsia"/>
        </w:rPr>
        <w:t>：eSIM将成为旗舰机型（尤其是苹果、华为高端系列）的标配。到2028年前后，随着技术成本降低，eSIM将逐步下放至中低端机型，物理SIM卡或将淡出主流消费市场</w:t>
      </w:r>
      <w:r>
        <w:t>。</w:t>
      </w:r>
    </w:p>
    <w:p w14:paraId="2B2A9445">
      <w:pPr>
        <w:numPr>
          <w:ilvl w:val="0"/>
          <w:numId w:val="4"/>
        </w:numPr>
        <w:rPr>
          <w:rFonts w:hint="eastAsia"/>
        </w:rPr>
      </w:pPr>
      <w:r>
        <w:rPr>
          <w:rFonts w:hint="eastAsia"/>
          <w:b/>
          <w:bCs/>
        </w:rPr>
        <w:t>终端形态演进</w:t>
      </w:r>
      <w:r>
        <w:rPr>
          <w:rFonts w:hint="eastAsia"/>
        </w:rPr>
        <w:t>：eSIM是实现“无孔化”手机的第一步。未来，充电接口、物理按键也可能被无线充电和压感技术取代，推动终端向完全一体化、全无线化演进</w:t>
      </w:r>
      <w:r>
        <w:t>。</w:t>
      </w:r>
    </w:p>
    <w:p w14:paraId="5200F9E7">
      <w:pPr>
        <w:numPr>
          <w:ilvl w:val="0"/>
          <w:numId w:val="4"/>
        </w:numPr>
        <w:rPr>
          <w:rFonts w:hint="eastAsia"/>
        </w:rPr>
      </w:pPr>
      <w:r>
        <w:rPr>
          <w:rFonts w:hint="eastAsia"/>
          <w:b/>
          <w:bCs/>
        </w:rPr>
        <w:t>生态边界拓展</w:t>
      </w:r>
      <w:r>
        <w:rPr>
          <w:rFonts w:hint="eastAsia"/>
        </w:rPr>
        <w:t>：eSIM将成为万物互联的标准化连接基础。汽车、AR/VR眼镜、智能家居等更多设备将具备独立的蜂窝网络连接能力，真正构建起以用户为中心的“一账号、多终端、全场景”无缝智能生态</w:t>
      </w:r>
      <w:r>
        <w:t>。</w:t>
      </w:r>
      <w:bookmarkEnd w:id="0"/>
      <w:bookmarkEnd w:id="5"/>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Malgun Gothic">
    <w:panose1 w:val="020B0503020000020004"/>
    <w:charset w:val="81"/>
    <w:family w:val="swiss"/>
    <w:pitch w:val="default"/>
    <w:sig w:usb0="9000002F" w:usb1="29D77CFB" w:usb2="00000012" w:usb3="00000000" w:csb0="00080001"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D98BF"/>
    <w:multiLevelType w:val="singleLevel"/>
    <w:tmpl w:val="806D98BF"/>
    <w:lvl w:ilvl="0" w:tentative="0">
      <w:start w:val="2"/>
      <w:numFmt w:val="chineseCounting"/>
      <w:suff w:val="space"/>
      <w:lvlText w:val="%1、"/>
      <w:lvlJc w:val="left"/>
      <w:rPr>
        <w:rFonts w:hint="eastAsia"/>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172BFDCD"/>
    <w:multiLevelType w:val="singleLevel"/>
    <w:tmpl w:val="172BFDCD"/>
    <w:lvl w:ilvl="0" w:tentative="0">
      <w:start w:val="1"/>
      <w:numFmt w:val="bullet"/>
      <w:lvlText w:val=""/>
      <w:lvlJc w:val="left"/>
      <w:pPr>
        <w:ind w:left="420" w:hanging="420"/>
      </w:pPr>
      <w:rPr>
        <w:rFonts w:hint="default" w:ascii="Wingdings" w:hAnsi="Wingdings"/>
      </w:rPr>
    </w:lvl>
  </w:abstractNum>
  <w:abstractNum w:abstractNumId="3">
    <w:nsid w:val="790466EB"/>
    <w:multiLevelType w:val="multilevel"/>
    <w:tmpl w:val="790466EB"/>
    <w:lvl w:ilvl="0" w:tentative="0">
      <w:start w:val="1"/>
      <w:numFmt w:val="decimal"/>
      <w:pStyle w:val="91"/>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F78"/>
    <w:rsid w:val="00003387"/>
    <w:rsid w:val="00027694"/>
    <w:rsid w:val="000A743A"/>
    <w:rsid w:val="000C27F9"/>
    <w:rsid w:val="00136634"/>
    <w:rsid w:val="00182EDA"/>
    <w:rsid w:val="001A7774"/>
    <w:rsid w:val="001B66C0"/>
    <w:rsid w:val="00206405"/>
    <w:rsid w:val="00231864"/>
    <w:rsid w:val="002626E9"/>
    <w:rsid w:val="00271A13"/>
    <w:rsid w:val="0029278F"/>
    <w:rsid w:val="002A420E"/>
    <w:rsid w:val="002B2E55"/>
    <w:rsid w:val="00327677"/>
    <w:rsid w:val="00392F51"/>
    <w:rsid w:val="003A346B"/>
    <w:rsid w:val="00424B51"/>
    <w:rsid w:val="004526FB"/>
    <w:rsid w:val="004601ED"/>
    <w:rsid w:val="004879B8"/>
    <w:rsid w:val="00497F78"/>
    <w:rsid w:val="004E09C9"/>
    <w:rsid w:val="004F018A"/>
    <w:rsid w:val="004F0239"/>
    <w:rsid w:val="00505200"/>
    <w:rsid w:val="00521EE4"/>
    <w:rsid w:val="00544B24"/>
    <w:rsid w:val="005B3599"/>
    <w:rsid w:val="005F5298"/>
    <w:rsid w:val="005F774F"/>
    <w:rsid w:val="00664B4B"/>
    <w:rsid w:val="006E1716"/>
    <w:rsid w:val="00702621"/>
    <w:rsid w:val="007369D3"/>
    <w:rsid w:val="00753392"/>
    <w:rsid w:val="00755548"/>
    <w:rsid w:val="00776CDA"/>
    <w:rsid w:val="007802D4"/>
    <w:rsid w:val="007B6486"/>
    <w:rsid w:val="007D1E94"/>
    <w:rsid w:val="007F75DF"/>
    <w:rsid w:val="008268AB"/>
    <w:rsid w:val="00830747"/>
    <w:rsid w:val="00837331"/>
    <w:rsid w:val="00871AFB"/>
    <w:rsid w:val="008D4A02"/>
    <w:rsid w:val="008F44BB"/>
    <w:rsid w:val="00913E47"/>
    <w:rsid w:val="0093242A"/>
    <w:rsid w:val="0095386E"/>
    <w:rsid w:val="00970FCD"/>
    <w:rsid w:val="00A04758"/>
    <w:rsid w:val="00A94463"/>
    <w:rsid w:val="00A97FE0"/>
    <w:rsid w:val="00AB2F71"/>
    <w:rsid w:val="00AD316B"/>
    <w:rsid w:val="00AF6AD2"/>
    <w:rsid w:val="00B32A5C"/>
    <w:rsid w:val="00B413D7"/>
    <w:rsid w:val="00BA78DF"/>
    <w:rsid w:val="00BD0A40"/>
    <w:rsid w:val="00BF2A36"/>
    <w:rsid w:val="00BF70CF"/>
    <w:rsid w:val="00C146A5"/>
    <w:rsid w:val="00C40986"/>
    <w:rsid w:val="00DA471D"/>
    <w:rsid w:val="00E07383"/>
    <w:rsid w:val="00E115CF"/>
    <w:rsid w:val="00E939BA"/>
    <w:rsid w:val="00E95BAA"/>
    <w:rsid w:val="00EE4BAF"/>
    <w:rsid w:val="00F04A7E"/>
    <w:rsid w:val="00F23510"/>
    <w:rsid w:val="00F82131"/>
    <w:rsid w:val="00FA2676"/>
    <w:rsid w:val="00FE454F"/>
    <w:rsid w:val="0EEC3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ind w:firstLine="420"/>
    </w:pPr>
    <w:rPr>
      <w:rFonts w:ascii="宋体" w:hAnsi="宋体" w:eastAsia="宋体" w:cstheme="minorBidi"/>
      <w:kern w:val="2"/>
      <w:sz w:val="24"/>
      <w:szCs w:val="24"/>
      <w:lang w:val="en-US" w:eastAsia="zh-CN" w:bidi="ar-SA"/>
      <w14:ligatures w14:val="standardContextual"/>
    </w:rPr>
  </w:style>
  <w:style w:type="paragraph" w:styleId="2">
    <w:name w:val="heading 1"/>
    <w:basedOn w:val="1"/>
    <w:next w:val="3"/>
    <w:link w:val="33"/>
    <w:qFormat/>
    <w:uiPriority w:val="9"/>
    <w:pPr>
      <w:keepNext/>
      <w:keepLines/>
      <w:spacing w:before="360" w:after="80"/>
      <w:ind w:firstLine="0"/>
      <w:outlineLvl w:val="0"/>
    </w:pPr>
    <w:rPr>
      <w:rFonts w:cstheme="majorBidi"/>
      <w:b/>
      <w:bCs/>
      <w:sz w:val="28"/>
      <w:szCs w:val="28"/>
    </w:rPr>
  </w:style>
  <w:style w:type="paragraph" w:styleId="4">
    <w:name w:val="heading 2"/>
    <w:basedOn w:val="1"/>
    <w:next w:val="3"/>
    <w:link w:val="34"/>
    <w:unhideWhenUsed/>
    <w:qFormat/>
    <w:uiPriority w:val="9"/>
    <w:pPr>
      <w:keepNext/>
      <w:keepLines/>
      <w:spacing w:before="160" w:after="80"/>
      <w:ind w:firstLine="0"/>
      <w:outlineLvl w:val="1"/>
    </w:pPr>
    <w:rPr>
      <w:rFonts w:asciiTheme="majorHAnsi" w:hAnsiTheme="majorHAnsi" w:cstheme="majorBidi"/>
      <w:b/>
      <w:szCs w:val="32"/>
    </w:rPr>
  </w:style>
  <w:style w:type="paragraph" w:styleId="5">
    <w:name w:val="heading 3"/>
    <w:basedOn w:val="1"/>
    <w:next w:val="3"/>
    <w:link w:val="35"/>
    <w:unhideWhenUsed/>
    <w:qFormat/>
    <w:uiPriority w:val="9"/>
    <w:pPr>
      <w:keepNext/>
      <w:keepLines/>
      <w:spacing w:before="160" w:after="80"/>
      <w:ind w:firstLine="0"/>
      <w:outlineLvl w:val="2"/>
    </w:pPr>
    <w:rPr>
      <w:rFonts w:ascii="Malgun Gothic" w:hAnsi="Malgun Gothic" w:cstheme="majorBidi"/>
      <w:b/>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89"/>
    <w:qFormat/>
    <w:uiPriority w:val="0"/>
    <w:pPr>
      <w:spacing w:before="180" w:after="180"/>
    </w:pPr>
  </w:style>
  <w:style w:type="paragraph" w:styleId="12">
    <w:name w:val="caption"/>
    <w:basedOn w:val="1"/>
    <w:link w:val="23"/>
    <w:qFormat/>
    <w:uiPriority w:val="0"/>
    <w:pPr>
      <w:spacing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link w:val="87"/>
    <w:uiPriority w:val="0"/>
    <w:pPr>
      <w:tabs>
        <w:tab w:val="center" w:pos="4153"/>
        <w:tab w:val="right" w:pos="8306"/>
      </w:tabs>
      <w:snapToGrid w:val="0"/>
      <w:spacing w:line="240" w:lineRule="auto"/>
    </w:pPr>
    <w:rPr>
      <w:sz w:val="18"/>
      <w:szCs w:val="18"/>
    </w:rPr>
  </w:style>
  <w:style w:type="paragraph" w:styleId="17">
    <w:name w:val="header"/>
    <w:basedOn w:val="1"/>
    <w:link w:val="86"/>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8"/>
    <w:qFormat/>
    <w:uiPriority w:val="11"/>
    <w:pPr>
      <w:ind w:firstLine="420"/>
    </w:pPr>
    <w:rPr>
      <w:spacing w:val="15"/>
      <w:sz w:val="28"/>
      <w:szCs w:val="28"/>
    </w:rPr>
  </w:style>
  <w:style w:type="paragraph" w:styleId="19">
    <w:name w:val="footnote text"/>
    <w:basedOn w:val="1"/>
    <w:unhideWhenUsed/>
    <w:qFormat/>
    <w:uiPriority w:val="9"/>
  </w:style>
  <w:style w:type="character" w:styleId="22">
    <w:name w:val="Hyperlink"/>
    <w:basedOn w:val="23"/>
    <w:uiPriority w:val="0"/>
    <w:rPr>
      <w:color w:val="156082" w:themeColor="accent1"/>
      <w14:textFill>
        <w14:solidFill>
          <w14:schemeClr w14:val="accent1"/>
        </w14:solidFill>
      </w14:textFill>
    </w:rPr>
  </w:style>
  <w:style w:type="character" w:customStyle="1" w:styleId="23">
    <w:name w:val="题注 字符"/>
    <w:basedOn w:val="21"/>
    <w:link w:val="12"/>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1"/>
    <w:link w:val="15"/>
    <w:qFormat/>
    <w:uiPriority w:val="10"/>
    <w:rPr>
      <w:rFonts w:asciiTheme="majorHAnsi" w:hAnsiTheme="majorHAnsi" w:eastAsiaTheme="majorEastAsia" w:cstheme="majorBidi"/>
      <w:sz w:val="56"/>
      <w:szCs w:val="56"/>
    </w:rPr>
  </w:style>
  <w:style w:type="character" w:customStyle="1" w:styleId="28">
    <w:name w:val="副标题 字符"/>
    <w:basedOn w:val="2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标题 1 字符"/>
    <w:basedOn w:val="21"/>
    <w:link w:val="2"/>
    <w:qFormat/>
    <w:uiPriority w:val="9"/>
    <w:rPr>
      <w:rFonts w:ascii="宋体" w:hAnsi="宋体" w:eastAsia="宋体" w:cstheme="majorBidi"/>
      <w:b/>
      <w:bCs/>
      <w:kern w:val="2"/>
      <w:sz w:val="28"/>
      <w:szCs w:val="28"/>
      <w:lang w:eastAsia="zh-CN"/>
      <w14:ligatures w14:val="standardContextual"/>
    </w:rPr>
  </w:style>
  <w:style w:type="character" w:customStyle="1" w:styleId="34">
    <w:name w:val="标题 2 字符"/>
    <w:basedOn w:val="21"/>
    <w:link w:val="4"/>
    <w:qFormat/>
    <w:uiPriority w:val="9"/>
    <w:rPr>
      <w:rFonts w:eastAsia="宋体" w:asciiTheme="majorHAnsi" w:hAnsiTheme="majorHAnsi" w:cstheme="majorBidi"/>
      <w:b/>
      <w:kern w:val="2"/>
      <w:szCs w:val="32"/>
      <w:lang w:eastAsia="zh-CN"/>
      <w14:ligatures w14:val="standardContextual"/>
    </w:rPr>
  </w:style>
  <w:style w:type="character" w:customStyle="1" w:styleId="35">
    <w:name w:val="标题 3 字符"/>
    <w:basedOn w:val="21"/>
    <w:link w:val="5"/>
    <w:qFormat/>
    <w:uiPriority w:val="9"/>
    <w:rPr>
      <w:rFonts w:ascii="Malgun Gothic" w:hAnsi="Malgun Gothic" w:eastAsia="宋体" w:cstheme="majorBidi"/>
      <w:b/>
      <w:kern w:val="2"/>
      <w:szCs w:val="28"/>
      <w:lang w:eastAsia="zh-CN"/>
      <w14:ligatures w14:val="standardContextual"/>
    </w:rPr>
  </w:style>
  <w:style w:type="character" w:customStyle="1" w:styleId="36">
    <w:name w:val="标题 4 字符"/>
    <w:basedOn w:val="21"/>
    <w:link w:val="6"/>
    <w:semiHidden/>
    <w:qFormat/>
    <w:uiPriority w:val="9"/>
    <w:rPr>
      <w:rFonts w:eastAsiaTheme="majorEastAsia" w:cstheme="majorBidi"/>
      <w:i/>
      <w:iCs/>
      <w:color w:val="104862" w:themeColor="accent1" w:themeShade="BF"/>
    </w:rPr>
  </w:style>
  <w:style w:type="character" w:customStyle="1" w:styleId="37">
    <w:name w:val="标题 5 字符"/>
    <w:basedOn w:val="21"/>
    <w:link w:val="7"/>
    <w:semiHidden/>
    <w:qFormat/>
    <w:uiPriority w:val="9"/>
    <w:rPr>
      <w:rFonts w:eastAsiaTheme="majorEastAsia" w:cstheme="majorBidi"/>
      <w:color w:val="104862" w:themeColor="accent1" w:themeShade="BF"/>
    </w:rPr>
  </w:style>
  <w:style w:type="character" w:customStyle="1" w:styleId="38">
    <w:name w:val="标题 6 字符"/>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标题 7 字符"/>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标题 8 字符"/>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标题 9 字符"/>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olor w:val="104862" w:themeColor="accent1" w:themeShade="BF"/>
    </w:rPr>
  </w:style>
  <w:style w:type="character" w:customStyle="1" w:styleId="54">
    <w:name w:val="KeywordTok"/>
    <w:basedOn w:val="50"/>
    <w:qFormat/>
    <w:uiPriority w:val="0"/>
    <w:rPr>
      <w:rFonts w:ascii="Consolas" w:hAnsi="Consolas"/>
      <w:b/>
      <w:color w:val="007020"/>
      <w:sz w:val="22"/>
    </w:rPr>
  </w:style>
  <w:style w:type="character" w:customStyle="1" w:styleId="55">
    <w:name w:val="DataTypeTok"/>
    <w:basedOn w:val="50"/>
    <w:qFormat/>
    <w:uiPriority w:val="0"/>
    <w:rPr>
      <w:rFonts w:ascii="Consolas" w:hAnsi="Consolas"/>
      <w:color w:val="902000"/>
      <w:sz w:val="22"/>
    </w:rPr>
  </w:style>
  <w:style w:type="character" w:customStyle="1" w:styleId="56">
    <w:name w:val="DecValTok"/>
    <w:basedOn w:val="50"/>
    <w:qFormat/>
    <w:uiPriority w:val="0"/>
    <w:rPr>
      <w:rFonts w:ascii="Consolas" w:hAnsi="Consolas"/>
      <w:color w:val="40A070"/>
      <w:sz w:val="22"/>
    </w:rPr>
  </w:style>
  <w:style w:type="character" w:customStyle="1" w:styleId="57">
    <w:name w:val="BaseNTok"/>
    <w:basedOn w:val="50"/>
    <w:uiPriority w:val="0"/>
    <w:rPr>
      <w:rFonts w:ascii="Consolas" w:hAnsi="Consolas"/>
      <w:color w:val="40A070"/>
      <w:sz w:val="22"/>
    </w:rPr>
  </w:style>
  <w:style w:type="character" w:customStyle="1" w:styleId="58">
    <w:name w:val="FloatTok"/>
    <w:basedOn w:val="50"/>
    <w:qFormat/>
    <w:uiPriority w:val="0"/>
    <w:rPr>
      <w:rFonts w:ascii="Consolas" w:hAnsi="Consolas"/>
      <w:color w:val="40A070"/>
      <w:sz w:val="22"/>
    </w:rPr>
  </w:style>
  <w:style w:type="character" w:customStyle="1" w:styleId="59">
    <w:name w:val="ConstantTok"/>
    <w:basedOn w:val="50"/>
    <w:qFormat/>
    <w:uiPriority w:val="0"/>
    <w:rPr>
      <w:rFonts w:ascii="Consolas" w:hAnsi="Consolas"/>
      <w:color w:val="880000"/>
      <w:sz w:val="22"/>
    </w:rPr>
  </w:style>
  <w:style w:type="character" w:customStyle="1" w:styleId="60">
    <w:name w:val="CharTok"/>
    <w:basedOn w:val="50"/>
    <w:qFormat/>
    <w:uiPriority w:val="0"/>
    <w:rPr>
      <w:rFonts w:ascii="Consolas" w:hAnsi="Consolas"/>
      <w:color w:val="4070A0"/>
      <w:sz w:val="22"/>
    </w:rPr>
  </w:style>
  <w:style w:type="character" w:customStyle="1" w:styleId="61">
    <w:name w:val="SpecialCharTok"/>
    <w:basedOn w:val="50"/>
    <w:uiPriority w:val="0"/>
    <w:rPr>
      <w:rFonts w:ascii="Consolas" w:hAnsi="Consolas"/>
      <w:color w:val="4070A0"/>
      <w:sz w:val="22"/>
    </w:rPr>
  </w:style>
  <w:style w:type="character" w:customStyle="1" w:styleId="62">
    <w:name w:val="StringTok"/>
    <w:basedOn w:val="50"/>
    <w:qFormat/>
    <w:uiPriority w:val="0"/>
    <w:rPr>
      <w:rFonts w:ascii="Consolas" w:hAnsi="Consolas"/>
      <w:color w:val="4070A0"/>
      <w:sz w:val="22"/>
    </w:rPr>
  </w:style>
  <w:style w:type="character" w:customStyle="1" w:styleId="63">
    <w:name w:val="VerbatimStringTok"/>
    <w:basedOn w:val="50"/>
    <w:qFormat/>
    <w:uiPriority w:val="0"/>
    <w:rPr>
      <w:rFonts w:ascii="Consolas" w:hAnsi="Consolas"/>
      <w:color w:val="4070A0"/>
      <w:sz w:val="22"/>
    </w:rPr>
  </w:style>
  <w:style w:type="character" w:customStyle="1" w:styleId="64">
    <w:name w:val="SpecialStringTok"/>
    <w:basedOn w:val="50"/>
    <w:qFormat/>
    <w:uiPriority w:val="0"/>
    <w:rPr>
      <w:rFonts w:ascii="Consolas" w:hAnsi="Consolas"/>
      <w:color w:val="BB6688"/>
      <w:sz w:val="22"/>
    </w:rPr>
  </w:style>
  <w:style w:type="character" w:customStyle="1" w:styleId="65">
    <w:name w:val="ImportTok"/>
    <w:basedOn w:val="50"/>
    <w:qFormat/>
    <w:uiPriority w:val="0"/>
    <w:rPr>
      <w:rFonts w:ascii="Consolas" w:hAnsi="Consolas"/>
      <w:b/>
      <w:color w:val="008000"/>
      <w:sz w:val="22"/>
    </w:rPr>
  </w:style>
  <w:style w:type="character" w:customStyle="1" w:styleId="66">
    <w:name w:val="CommentTok"/>
    <w:basedOn w:val="50"/>
    <w:uiPriority w:val="0"/>
    <w:rPr>
      <w:rFonts w:ascii="Consolas" w:hAnsi="Consolas"/>
      <w:i/>
      <w:color w:val="60A0B0"/>
      <w:sz w:val="22"/>
    </w:rPr>
  </w:style>
  <w:style w:type="character" w:customStyle="1" w:styleId="67">
    <w:name w:val="DocumentationTok"/>
    <w:basedOn w:val="50"/>
    <w:qFormat/>
    <w:uiPriority w:val="0"/>
    <w:rPr>
      <w:rFonts w:ascii="Consolas" w:hAnsi="Consolas"/>
      <w:i/>
      <w:color w:val="BA2121"/>
      <w:sz w:val="22"/>
    </w:rPr>
  </w:style>
  <w:style w:type="character" w:customStyle="1" w:styleId="68">
    <w:name w:val="AnnotationTok"/>
    <w:basedOn w:val="50"/>
    <w:uiPriority w:val="0"/>
    <w:rPr>
      <w:rFonts w:ascii="Consolas" w:hAnsi="Consolas"/>
      <w:b/>
      <w:i/>
      <w:color w:val="60A0B0"/>
      <w:sz w:val="22"/>
    </w:rPr>
  </w:style>
  <w:style w:type="character" w:customStyle="1" w:styleId="69">
    <w:name w:val="CommentVarTok"/>
    <w:basedOn w:val="50"/>
    <w:qFormat/>
    <w:uiPriority w:val="0"/>
    <w:rPr>
      <w:rFonts w:ascii="Consolas" w:hAnsi="Consolas"/>
      <w:b/>
      <w:i/>
      <w:color w:val="60A0B0"/>
      <w:sz w:val="22"/>
    </w:rPr>
  </w:style>
  <w:style w:type="character" w:customStyle="1" w:styleId="70">
    <w:name w:val="OtherTok"/>
    <w:basedOn w:val="50"/>
    <w:qFormat/>
    <w:uiPriority w:val="0"/>
    <w:rPr>
      <w:rFonts w:ascii="Consolas" w:hAnsi="Consolas"/>
      <w:color w:val="007020"/>
      <w:sz w:val="22"/>
    </w:rPr>
  </w:style>
  <w:style w:type="character" w:customStyle="1" w:styleId="71">
    <w:name w:val="FunctionTok"/>
    <w:basedOn w:val="50"/>
    <w:uiPriority w:val="0"/>
    <w:rPr>
      <w:rFonts w:ascii="Consolas" w:hAnsi="Consolas"/>
      <w:color w:val="06287E"/>
      <w:sz w:val="22"/>
    </w:rPr>
  </w:style>
  <w:style w:type="character" w:customStyle="1" w:styleId="72">
    <w:name w:val="VariableTok"/>
    <w:basedOn w:val="50"/>
    <w:uiPriority w:val="0"/>
    <w:rPr>
      <w:rFonts w:ascii="Consolas" w:hAnsi="Consolas"/>
      <w:color w:val="19177C"/>
      <w:sz w:val="22"/>
    </w:rPr>
  </w:style>
  <w:style w:type="character" w:customStyle="1" w:styleId="73">
    <w:name w:val="ControlFlowTok"/>
    <w:basedOn w:val="50"/>
    <w:uiPriority w:val="0"/>
    <w:rPr>
      <w:rFonts w:ascii="Consolas" w:hAnsi="Consolas"/>
      <w:b/>
      <w:color w:val="007020"/>
      <w:sz w:val="22"/>
    </w:rPr>
  </w:style>
  <w:style w:type="character" w:customStyle="1" w:styleId="74">
    <w:name w:val="OperatorTok"/>
    <w:basedOn w:val="50"/>
    <w:uiPriority w:val="0"/>
    <w:rPr>
      <w:rFonts w:ascii="Consolas" w:hAnsi="Consolas"/>
      <w:color w:val="666666"/>
      <w:sz w:val="22"/>
    </w:rPr>
  </w:style>
  <w:style w:type="character" w:customStyle="1" w:styleId="75">
    <w:name w:val="BuiltInTok"/>
    <w:basedOn w:val="50"/>
    <w:uiPriority w:val="0"/>
    <w:rPr>
      <w:rFonts w:ascii="Consolas" w:hAnsi="Consolas"/>
      <w:color w:val="008000"/>
      <w:sz w:val="22"/>
    </w:rPr>
  </w:style>
  <w:style w:type="character" w:customStyle="1" w:styleId="76">
    <w:name w:val="ExtensionTok"/>
    <w:basedOn w:val="50"/>
    <w:uiPriority w:val="0"/>
    <w:rPr>
      <w:rFonts w:ascii="Consolas" w:hAnsi="Consolas"/>
      <w:sz w:val="22"/>
    </w:rPr>
  </w:style>
  <w:style w:type="character" w:customStyle="1" w:styleId="77">
    <w:name w:val="PreprocessorTok"/>
    <w:basedOn w:val="50"/>
    <w:uiPriority w:val="0"/>
    <w:rPr>
      <w:rFonts w:ascii="Consolas" w:hAnsi="Consolas"/>
      <w:color w:val="BC7A00"/>
      <w:sz w:val="22"/>
    </w:rPr>
  </w:style>
  <w:style w:type="character" w:customStyle="1" w:styleId="78">
    <w:name w:val="AttributeTok"/>
    <w:basedOn w:val="50"/>
    <w:uiPriority w:val="0"/>
    <w:rPr>
      <w:rFonts w:ascii="Consolas" w:hAnsi="Consolas"/>
      <w:color w:val="7D9029"/>
      <w:sz w:val="22"/>
    </w:rPr>
  </w:style>
  <w:style w:type="character" w:customStyle="1" w:styleId="79">
    <w:name w:val="RegionMarkerTok"/>
    <w:basedOn w:val="50"/>
    <w:uiPriority w:val="0"/>
    <w:rPr>
      <w:rFonts w:ascii="Consolas" w:hAnsi="Consolas"/>
      <w:sz w:val="22"/>
    </w:rPr>
  </w:style>
  <w:style w:type="character" w:customStyle="1" w:styleId="80">
    <w:name w:val="InformationTok"/>
    <w:basedOn w:val="50"/>
    <w:uiPriority w:val="0"/>
    <w:rPr>
      <w:rFonts w:ascii="Consolas" w:hAnsi="Consolas"/>
      <w:b/>
      <w:i/>
      <w:color w:val="60A0B0"/>
      <w:sz w:val="22"/>
    </w:rPr>
  </w:style>
  <w:style w:type="character" w:customStyle="1" w:styleId="81">
    <w:name w:val="WarningTok"/>
    <w:basedOn w:val="50"/>
    <w:uiPriority w:val="0"/>
    <w:rPr>
      <w:rFonts w:ascii="Consolas" w:hAnsi="Consolas"/>
      <w:b/>
      <w:i/>
      <w:color w:val="60A0B0"/>
      <w:sz w:val="22"/>
    </w:rPr>
  </w:style>
  <w:style w:type="character" w:customStyle="1" w:styleId="82">
    <w:name w:val="AlertTok"/>
    <w:basedOn w:val="50"/>
    <w:uiPriority w:val="0"/>
    <w:rPr>
      <w:rFonts w:ascii="Consolas" w:hAnsi="Consolas"/>
      <w:b/>
      <w:color w:val="FF0000"/>
      <w:sz w:val="22"/>
    </w:rPr>
  </w:style>
  <w:style w:type="character" w:customStyle="1" w:styleId="83">
    <w:name w:val="ErrorTok"/>
    <w:basedOn w:val="50"/>
    <w:uiPriority w:val="0"/>
    <w:rPr>
      <w:rFonts w:ascii="Consolas" w:hAnsi="Consolas"/>
      <w:b/>
      <w:color w:val="FF0000"/>
      <w:sz w:val="22"/>
    </w:rPr>
  </w:style>
  <w:style w:type="character" w:customStyle="1" w:styleId="84">
    <w:name w:val="NormalTok"/>
    <w:basedOn w:val="50"/>
    <w:uiPriority w:val="0"/>
    <w:rPr>
      <w:rFonts w:ascii="Consolas" w:hAnsi="Consolas"/>
      <w:sz w:val="22"/>
    </w:rPr>
  </w:style>
  <w:style w:type="paragraph" w:styleId="85">
    <w:name w:val="List Paragraph"/>
    <w:basedOn w:val="1"/>
    <w:uiPriority w:val="0"/>
    <w:pPr>
      <w:ind w:firstLine="200" w:firstLineChars="200"/>
    </w:pPr>
  </w:style>
  <w:style w:type="character" w:customStyle="1" w:styleId="86">
    <w:name w:val="页眉 字符"/>
    <w:basedOn w:val="21"/>
    <w:link w:val="17"/>
    <w:uiPriority w:val="0"/>
    <w:rPr>
      <w:rFonts w:ascii="宋体" w:hAnsi="宋体" w:eastAsia="宋体"/>
      <w:kern w:val="2"/>
      <w:sz w:val="18"/>
      <w:szCs w:val="18"/>
      <w:lang w:eastAsia="zh-CN"/>
      <w14:ligatures w14:val="standardContextual"/>
    </w:rPr>
  </w:style>
  <w:style w:type="character" w:customStyle="1" w:styleId="87">
    <w:name w:val="页脚 字符"/>
    <w:basedOn w:val="21"/>
    <w:link w:val="16"/>
    <w:uiPriority w:val="0"/>
    <w:rPr>
      <w:rFonts w:ascii="宋体" w:hAnsi="宋体" w:eastAsia="宋体"/>
      <w:kern w:val="2"/>
      <w:sz w:val="18"/>
      <w:szCs w:val="18"/>
      <w:lang w:eastAsia="zh-CN"/>
      <w14:ligatures w14:val="standardContextual"/>
    </w:rPr>
  </w:style>
  <w:style w:type="paragraph" w:customStyle="1" w:styleId="88">
    <w:name w:val="标题4"/>
    <w:basedOn w:val="1"/>
    <w:next w:val="3"/>
    <w:link w:val="90"/>
    <w:qFormat/>
    <w:uiPriority w:val="0"/>
    <w:pPr>
      <w:ind w:firstLine="0"/>
    </w:pPr>
    <w:rPr>
      <w:b/>
    </w:rPr>
  </w:style>
  <w:style w:type="character" w:customStyle="1" w:styleId="89">
    <w:name w:val="正文文本 字符"/>
    <w:basedOn w:val="21"/>
    <w:link w:val="3"/>
    <w:uiPriority w:val="0"/>
    <w:rPr>
      <w:rFonts w:ascii="宋体" w:hAnsi="宋体" w:eastAsia="宋体"/>
      <w:kern w:val="2"/>
      <w:lang w:eastAsia="zh-CN"/>
      <w14:ligatures w14:val="standardContextual"/>
    </w:rPr>
  </w:style>
  <w:style w:type="character" w:customStyle="1" w:styleId="90">
    <w:name w:val="标题4 字符"/>
    <w:basedOn w:val="89"/>
    <w:link w:val="88"/>
    <w:uiPriority w:val="0"/>
    <w:rPr>
      <w:rFonts w:ascii="宋体" w:hAnsi="宋体" w:eastAsia="宋体"/>
      <w:b/>
      <w:kern w:val="2"/>
      <w:lang w:eastAsia="zh-CN"/>
      <w14:ligatures w14:val="standardContextual"/>
    </w:rPr>
  </w:style>
  <w:style w:type="paragraph" w:customStyle="1" w:styleId="91">
    <w:name w:val="样式1"/>
    <w:basedOn w:val="88"/>
    <w:link w:val="92"/>
    <w:uiPriority w:val="0"/>
    <w:pPr>
      <w:numPr>
        <w:ilvl w:val="0"/>
        <w:numId w:val="1"/>
      </w:numPr>
    </w:pPr>
  </w:style>
  <w:style w:type="character" w:customStyle="1" w:styleId="92">
    <w:name w:val="样式1 字符"/>
    <w:basedOn w:val="90"/>
    <w:link w:val="91"/>
    <w:uiPriority w:val="0"/>
    <w:rPr>
      <w:rFonts w:ascii="宋体" w:hAnsi="宋体" w:eastAsia="宋体"/>
      <w:kern w:val="2"/>
      <w:lang w:eastAsia="zh-CN"/>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393</Words>
  <Characters>2242</Characters>
  <Lines>18</Lines>
  <Paragraphs>5</Paragraphs>
  <TotalTime>194</TotalTime>
  <ScaleCrop>false</ScaleCrop>
  <LinksUpToDate>false</LinksUpToDate>
  <CharactersWithSpaces>2630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2025-09-11T02:13:00Z</dcterms:created>
  <dc:creator>1</dc:creator>
  <cp:lastModifiedBy>1</cp:lastModifiedBy>
  <dcterms:modified xsi:type="dcterms:W3CDTF">2025-09-11T06:51:25Z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9D3676CE4B214EF28B01E56CC1BC9BC2_12</vt:lpwstr>
  </property>
</Properties>
</file>