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972"/>
      </w:tblGrid>
      <w:tr>
        <w:tc>
          <w:tcPr>
            <w:tcW w:type="dxa" w:w="9638"/>
            <w:shd w:val="clear" w:color="auto" w:fill="1E3A8A"/>
          </w:tcPr>
          <w:p>
            <w:pPr>
              <w:spacing w:before="400" w:after="80"/>
            </w:pPr>
            <w:r>
              <w:rPr>
                <w:rFonts w:ascii="Calibri" w:hAnsi="Calibri"/>
                <w:b/>
                <w:color w:val="F59E0B"/>
                <w:sz w:val="64"/>
              </w:rPr>
              <w:t>SHEPHERD CONNECT</w:t>
            </w:r>
          </w:p>
          <w:p>
            <w:pPr>
              <w:spacing w:before="0" w:after="80"/>
            </w:pPr>
            <w:r>
              <w:rPr>
                <w:rFonts w:ascii="Calibri" w:hAnsi="Calibri"/>
                <w:b/>
                <w:color w:val="FFFFFF"/>
                <w:sz w:val="40"/>
              </w:rPr>
              <w:t>Annual Operating Cost Report</w:t>
            </w:r>
          </w:p>
          <w:p>
            <w:pPr>
              <w:spacing w:before="0" w:after="80"/>
            </w:pPr>
            <w:r>
              <w:rPr>
                <w:rFonts w:ascii="Calibri" w:hAnsi="Calibri"/>
                <w:color w:val="93C5FD"/>
                <w:sz w:val="24"/>
              </w:rPr>
              <w:t>2025  ·  2,000 Users  ·  WhatsApp Business API Enabled</w:t>
            </w:r>
          </w:p>
          <w:p>
            <w:pPr>
              <w:spacing w:before="0" w:after="400"/>
            </w:pPr>
            <w:r>
              <w:rPr>
                <w:rFonts w:ascii="Calibri" w:hAnsi="Calibri"/>
                <w:i/>
                <w:color w:val="F59E0B"/>
                <w:sz w:val="22"/>
              </w:rPr>
              <w:t>Safe.  Known.  Celebrated.</w:t>
            </w:r>
          </w:p>
        </w:tc>
      </w:tr>
    </w:tbl>
    <w:tbl>
      <w:tblPr>
        <w:tblW w:type="auto" w:w="0"/>
        <w:tblLook w:firstColumn="1" w:firstRow="1" w:lastColumn="0" w:lastRow="0" w:noHBand="0" w:noVBand="1" w:val="04A0"/>
      </w:tblPr>
      <w:tblGrid>
        <w:gridCol w:w="9972"/>
      </w:tblGrid>
      <w:tr>
        <w:tc>
          <w:tcPr>
            <w:tcW w:type="dxa" w:w="9638"/>
            <w:shd w:val="clear" w:color="auto" w:fill="F3F4F6"/>
            <w:tcBorders>
              <w:top w:val="single" w:sz="4" w:space="0" w:color="F3F4F6"/>
              <w:left w:val="single" w:sz="4" w:space="0" w:color="F3F4F6"/>
              <w:bottom w:val="single" w:sz="4" w:space="0" w:color="F3F4F6"/>
              <w:right w:val="single" w:sz="4" w:space="0" w:color="F3F4F6"/>
            </w:tcBorders>
          </w:tcPr>
          <w:p>
            <w:pPr>
              <w:spacing w:before="120"/>
            </w:pPr>
            <w:r>
              <w:rPr>
                <w:rFonts w:ascii="Calibri" w:hAnsi="Calibri"/>
                <w:b/>
                <w:color w:val="1E3A8A"/>
                <w:sz w:val="24"/>
              </w:rPr>
              <w:t>RCCG City of David</w:t>
            </w:r>
          </w:p>
          <w:p>
            <w:pPr>
              <w:spacing w:before="0" w:after="120"/>
            </w:pPr>
            <w:r>
              <w:rPr>
                <w:rFonts w:ascii="Calibri" w:hAnsi="Calibri"/>
                <w:color w:val="6B7280"/>
                <w:sz w:val="18"/>
              </w:rPr>
              <w:t>Prepared: May 2026   ·   Confidential — Internal budget planning only</w:t>
            </w:r>
          </w:p>
        </w:tc>
      </w:tr>
    </w:tbl>
    <w:p>
      <w:pPr>
        <w:spacing w:after="120"/>
      </w:pPr>
    </w:p>
    <w:tbl>
      <w:tblPr>
        <w:tblW w:type="auto" w:w="0"/>
        <w:jc w:val="left"/>
        <w:tblLook w:firstColumn="1" w:firstRow="1" w:lastColumn="0" w:lastRow="0" w:noHBand="0" w:noVBand="1" w:val="04A0"/>
      </w:tblPr>
      <w:tblGrid>
        <w:gridCol w:w="2493"/>
        <w:gridCol w:w="2493"/>
        <w:gridCol w:w="2493"/>
        <w:gridCol w:w="2493"/>
      </w:tblGrid>
      <w:tr>
        <w:tc>
          <w:tcPr>
            <w:tcW w:type="dxa" w:w="2409"/>
            <w:shd w:val="clear" w:color="auto" w:fill="1E3A8A"/>
            <w:tcBorders>
              <w:top w:val="single" w:sz="4" w:space="0" w:color="1E3A8A"/>
              <w:left w:val="single" w:sz="4" w:space="0" w:color="1E3A8A"/>
              <w:bottom w:val="single" w:sz="4" w:space="0" w:color="1E3A8A"/>
              <w:right w:val="single" w:sz="4" w:space="0" w:color="1E3A8A"/>
            </w:tcBorders>
          </w:tcPr>
          <w:p>
            <w:pPr>
              <w:spacing w:before="80" w:after="80"/>
              <w:jc w:val="center"/>
            </w:pPr>
            <w:r>
              <w:rPr>
                <w:rFonts w:ascii="Calibri" w:hAnsi="Calibri"/>
                <w:b w:val="0"/>
                <w:color w:val="FFFFFF"/>
                <w:sz w:val="16"/>
              </w:rPr>
              <w:t>Year 1 Annual</w:t>
            </w:r>
          </w:p>
        </w:tc>
        <w:tc>
          <w:tcPr>
            <w:tcW w:type="dxa" w:w="2409"/>
            <w:shd w:val="clear" w:color="auto" w:fill="1E3A8A"/>
            <w:tcBorders>
              <w:top w:val="single" w:sz="4" w:space="0" w:color="1E3A8A"/>
              <w:left w:val="single" w:sz="4" w:space="0" w:color="1E3A8A"/>
              <w:bottom w:val="single" w:sz="4" w:space="0" w:color="1E3A8A"/>
              <w:right w:val="single" w:sz="4" w:space="0" w:color="1E3A8A"/>
            </w:tcBorders>
          </w:tcPr>
          <w:p>
            <w:pPr>
              <w:spacing w:before="80" w:after="80"/>
              <w:jc w:val="center"/>
            </w:pPr>
            <w:r>
              <w:rPr>
                <w:rFonts w:ascii="Calibri" w:hAnsi="Calibri"/>
                <w:b w:val="0"/>
                <w:color w:val="FFFFFF"/>
                <w:sz w:val="16"/>
              </w:rPr>
              <w:t>Year 2 Annual</w:t>
            </w:r>
          </w:p>
        </w:tc>
        <w:tc>
          <w:tcPr>
            <w:tcW w:type="dxa" w:w="2409"/>
            <w:shd w:val="clear" w:color="auto" w:fill="1D4ED8"/>
            <w:tcBorders>
              <w:top w:val="single" w:sz="4" w:space="0" w:color="1D4ED8"/>
              <w:left w:val="single" w:sz="4" w:space="0" w:color="1D4ED8"/>
              <w:bottom w:val="single" w:sz="4" w:space="0" w:color="1D4ED8"/>
              <w:right w:val="single" w:sz="4" w:space="0" w:color="1D4ED8"/>
            </w:tcBorders>
          </w:tcPr>
          <w:p>
            <w:pPr>
              <w:spacing w:before="80" w:after="80"/>
              <w:jc w:val="center"/>
            </w:pPr>
            <w:r>
              <w:rPr>
                <w:rFonts w:ascii="Calibri" w:hAnsi="Calibri"/>
                <w:b w:val="0"/>
                <w:color w:val="FFFFFF"/>
                <w:sz w:val="16"/>
              </w:rPr>
              <w:t>Year 3 Annual</w:t>
            </w:r>
          </w:p>
        </w:tc>
        <w:tc>
          <w:tcPr>
            <w:tcW w:type="dxa" w:w="2409"/>
            <w:shd w:val="clear" w:color="auto" w:fill="F59E0B"/>
            <w:tcBorders>
              <w:top w:val="single" w:sz="4" w:space="0" w:color="F59E0B"/>
              <w:left w:val="single" w:sz="4" w:space="0" w:color="F59E0B"/>
              <w:bottom w:val="single" w:sz="4" w:space="0" w:color="F59E0B"/>
              <w:right w:val="single" w:sz="4" w:space="0" w:color="F59E0B"/>
            </w:tcBorders>
          </w:tcPr>
          <w:p>
            <w:pPr>
              <w:spacing w:before="80" w:after="80"/>
              <w:jc w:val="center"/>
            </w:pPr>
            <w:r>
              <w:rPr>
                <w:rFonts w:ascii="Calibri" w:hAnsi="Calibri"/>
                <w:b w:val="0"/>
                <w:color w:val="1E3A8A"/>
                <w:sz w:val="16"/>
              </w:rPr>
              <w:t>3-Year Total</w:t>
            </w:r>
          </w:p>
        </w:tc>
      </w:tr>
      <w:tr>
        <w:tc>
          <w:tcPr>
            <w:tcW w:type="dxa" w:w="2409"/>
            <w:shd w:val="clear" w:color="auto" w:fill="1E3A8A"/>
            <w:tcBorders>
              <w:top w:val="single" w:sz="4" w:space="0" w:color="1E3A8A"/>
              <w:left w:val="single" w:sz="4" w:space="0" w:color="1E3A8A"/>
              <w:bottom w:val="single" w:sz="4" w:space="0" w:color="1E3A8A"/>
              <w:right w:val="single" w:sz="4" w:space="0" w:color="1E3A8A"/>
            </w:tcBorders>
          </w:tcPr>
          <w:p>
            <w:pPr>
              <w:spacing w:before="80" w:after="80"/>
              <w:jc w:val="center"/>
            </w:pPr>
            <w:r>
              <w:rPr>
                <w:rFonts w:ascii="Calibri" w:hAnsi="Calibri"/>
                <w:b/>
                <w:color w:val="FFFFFF"/>
                <w:sz w:val="28"/>
              </w:rPr>
              <w:t>$10,709.78</w:t>
            </w:r>
          </w:p>
        </w:tc>
        <w:tc>
          <w:tcPr>
            <w:tcW w:type="dxa" w:w="2409"/>
            <w:shd w:val="clear" w:color="auto" w:fill="1E3A8A"/>
            <w:tcBorders>
              <w:top w:val="single" w:sz="4" w:space="0" w:color="1E3A8A"/>
              <w:left w:val="single" w:sz="4" w:space="0" w:color="1E3A8A"/>
              <w:bottom w:val="single" w:sz="4" w:space="0" w:color="1E3A8A"/>
              <w:right w:val="single" w:sz="4" w:space="0" w:color="1E3A8A"/>
            </w:tcBorders>
          </w:tcPr>
          <w:p>
            <w:pPr>
              <w:spacing w:before="80" w:after="80"/>
              <w:jc w:val="center"/>
            </w:pPr>
            <w:r>
              <w:rPr>
                <w:rFonts w:ascii="Calibri" w:hAnsi="Calibri"/>
                <w:b/>
                <w:color w:val="FFFFFF"/>
                <w:sz w:val="28"/>
              </w:rPr>
              <w:t>$11,227.72</w:t>
            </w:r>
          </w:p>
        </w:tc>
        <w:tc>
          <w:tcPr>
            <w:tcW w:type="dxa" w:w="2409"/>
            <w:shd w:val="clear" w:color="auto" w:fill="1D4ED8"/>
            <w:tcBorders>
              <w:top w:val="single" w:sz="4" w:space="0" w:color="1D4ED8"/>
              <w:left w:val="single" w:sz="4" w:space="0" w:color="1D4ED8"/>
              <w:bottom w:val="single" w:sz="4" w:space="0" w:color="1D4ED8"/>
              <w:right w:val="single" w:sz="4" w:space="0" w:color="1D4ED8"/>
            </w:tcBorders>
          </w:tcPr>
          <w:p>
            <w:pPr>
              <w:spacing w:before="80" w:after="80"/>
              <w:jc w:val="center"/>
            </w:pPr>
            <w:r>
              <w:rPr>
                <w:rFonts w:ascii="Calibri" w:hAnsi="Calibri"/>
                <w:b/>
                <w:color w:val="FFFFFF"/>
                <w:sz w:val="28"/>
              </w:rPr>
              <w:t>$10,629.50</w:t>
            </w:r>
          </w:p>
        </w:tc>
        <w:tc>
          <w:tcPr>
            <w:tcW w:type="dxa" w:w="2409"/>
            <w:shd w:val="clear" w:color="auto" w:fill="F59E0B"/>
            <w:tcBorders>
              <w:top w:val="single" w:sz="4" w:space="0" w:color="F59E0B"/>
              <w:left w:val="single" w:sz="4" w:space="0" w:color="F59E0B"/>
              <w:bottom w:val="single" w:sz="4" w:space="0" w:color="F59E0B"/>
              <w:right w:val="single" w:sz="4" w:space="0" w:color="F59E0B"/>
            </w:tcBorders>
          </w:tcPr>
          <w:p>
            <w:pPr>
              <w:spacing w:before="80" w:after="80"/>
              <w:jc w:val="center"/>
            </w:pPr>
            <w:r>
              <w:rPr>
                <w:rFonts w:ascii="Calibri" w:hAnsi="Calibri"/>
                <w:b/>
                <w:color w:val="1E3A8A"/>
                <w:sz w:val="28"/>
              </w:rPr>
              <w:t>$32,567.01</w:t>
            </w:r>
          </w:p>
        </w:tc>
      </w:tr>
      <w:tr>
        <w:tc>
          <w:tcPr>
            <w:tcW w:type="dxa" w:w="2409"/>
            <w:shd w:val="clear" w:color="auto" w:fill="1E3A8A"/>
            <w:tcBorders>
              <w:top w:val="single" w:sz="4" w:space="0" w:color="1E3A8A"/>
              <w:left w:val="single" w:sz="4" w:space="0" w:color="1E3A8A"/>
              <w:bottom w:val="single" w:sz="4" w:space="0" w:color="1E3A8A"/>
              <w:right w:val="single" w:sz="4" w:space="0" w:color="1E3A8A"/>
            </w:tcBorders>
          </w:tcPr>
          <w:p>
            <w:pPr>
              <w:spacing w:before="80" w:after="80"/>
              <w:jc w:val="center"/>
            </w:pPr>
            <w:r>
              <w:rPr>
                <w:rFonts w:ascii="Calibri" w:hAnsi="Calibri"/>
                <w:b w:val="0"/>
                <w:color w:val="FFFFFF"/>
                <w:sz w:val="16"/>
              </w:rPr>
              <w:t>Recurring</w:t>
            </w:r>
          </w:p>
        </w:tc>
        <w:tc>
          <w:tcPr>
            <w:tcW w:type="dxa" w:w="2409"/>
            <w:shd w:val="clear" w:color="auto" w:fill="1E3A8A"/>
            <w:tcBorders>
              <w:top w:val="single" w:sz="4" w:space="0" w:color="1E3A8A"/>
              <w:left w:val="single" w:sz="4" w:space="0" w:color="1E3A8A"/>
              <w:bottom w:val="single" w:sz="4" w:space="0" w:color="1E3A8A"/>
              <w:right w:val="single" w:sz="4" w:space="0" w:color="1E3A8A"/>
            </w:tcBorders>
          </w:tcPr>
          <w:p>
            <w:pPr>
              <w:spacing w:before="80" w:after="80"/>
              <w:jc w:val="center"/>
            </w:pPr>
            <w:r>
              <w:rPr>
                <w:rFonts w:ascii="Calibri" w:hAnsi="Calibri"/>
                <w:b w:val="0"/>
                <w:color w:val="FFFFFF"/>
                <w:sz w:val="16"/>
              </w:rPr>
              <w:t>Recurring</w:t>
            </w:r>
          </w:p>
        </w:tc>
        <w:tc>
          <w:tcPr>
            <w:tcW w:type="dxa" w:w="2409"/>
            <w:shd w:val="clear" w:color="auto" w:fill="1D4ED8"/>
            <w:tcBorders>
              <w:top w:val="single" w:sz="4" w:space="0" w:color="1D4ED8"/>
              <w:left w:val="single" w:sz="4" w:space="0" w:color="1D4ED8"/>
              <w:bottom w:val="single" w:sz="4" w:space="0" w:color="1D4ED8"/>
              <w:right w:val="single" w:sz="4" w:space="0" w:color="1D4ED8"/>
            </w:tcBorders>
          </w:tcPr>
          <w:p>
            <w:pPr>
              <w:spacing w:before="80" w:after="80"/>
              <w:jc w:val="center"/>
            </w:pPr>
            <w:r>
              <w:rPr>
                <w:rFonts w:ascii="Calibri" w:hAnsi="Calibri"/>
                <w:b w:val="0"/>
                <w:color w:val="FFFFFF"/>
                <w:sz w:val="16"/>
              </w:rPr>
              <w:t>Recurring</w:t>
            </w:r>
          </w:p>
        </w:tc>
        <w:tc>
          <w:tcPr>
            <w:tcW w:type="dxa" w:w="2409"/>
            <w:shd w:val="clear" w:color="auto" w:fill="F59E0B"/>
            <w:tcBorders>
              <w:top w:val="single" w:sz="4" w:space="0" w:color="F59E0B"/>
              <w:left w:val="single" w:sz="4" w:space="0" w:color="F59E0B"/>
              <w:bottom w:val="single" w:sz="4" w:space="0" w:color="F59E0B"/>
              <w:right w:val="single" w:sz="4" w:space="0" w:color="F59E0B"/>
            </w:tcBorders>
          </w:tcPr>
          <w:p>
            <w:pPr>
              <w:spacing w:before="80" w:after="80"/>
              <w:jc w:val="center"/>
            </w:pPr>
            <w:r>
              <w:rPr>
                <w:rFonts w:ascii="Calibri" w:hAnsi="Calibri"/>
                <w:b w:val="0"/>
                <w:color w:val="1E3A8A"/>
                <w:sz w:val="16"/>
              </w:rPr>
              <w:t>Excl. upfront buffer</w:t>
            </w:r>
          </w:p>
        </w:tc>
      </w:tr>
    </w:tbl>
    <w:p>
      <w:pPr>
        <w:spacing w:after="40"/>
      </w:pPr>
    </w:p>
    <w:p>
      <w:pPr>
        <w:spacing w:after="60" w:before="0"/>
      </w:pPr>
      <w:r>
        <w:rPr>
          <w:rFonts w:ascii="Calibri" w:hAnsi="Calibri"/>
          <w:i/>
          <w:color w:val="6B7280"/>
          <w:sz w:val="16"/>
        </w:rPr>
        <w:t>Yellow/editable cells — all figures in this document can be updated directly in Word.</w:t>
      </w:r>
    </w:p>
    <w:p>
      <w:r>
        <w:br w:type="page"/>
      </w:r>
    </w:p>
    <w:p>
      <w:pPr>
        <w:spacing w:before="280" w:after="80"/>
      </w:pPr>
      <w:r>
        <w:rPr>
          <w:rFonts w:ascii="Calibri" w:hAnsi="Calibri"/>
          <w:b/>
          <w:color w:val="1E3A8A"/>
          <w:sz w:val="32"/>
        </w:rPr>
        <w:t>1.  Planning Assumptions</w:t>
      </w:r>
    </w:p>
    <w:p>
      <w:pPr>
        <w:spacing w:after="80" w:before="0"/>
      </w:pPr>
      <w:r>
        <w:rPr>
          <w:rFonts w:ascii="Calibri" w:hAnsi="Calibri"/>
          <w:i w:val="0"/>
          <w:color w:val="111827"/>
          <w:sz w:val="19"/>
        </w:rPr>
        <w:t>All cost figures are derived from the baseline assumptions below. Change any value in the table to see how it affects the rest of the document.</w:t>
      </w:r>
    </w:p>
    <w:p>
      <w:pPr>
        <w:spacing w:after="60"/>
      </w:pPr>
    </w:p>
    <w:tbl>
      <w:tblPr>
        <w:tblStyle w:val="TableGrid"/>
        <w:tblW w:type="auto" w:w="0"/>
        <w:jc w:val="left"/>
        <w:tblLook w:firstColumn="1" w:firstRow="1" w:lastColumn="0" w:lastRow="0" w:noHBand="0" w:noVBand="1" w:val="04A0"/>
      </w:tblPr>
      <w:tblGrid>
        <w:gridCol w:w="3324"/>
        <w:gridCol w:w="3324"/>
        <w:gridCol w:w="3324"/>
      </w:tblGrid>
      <w:tr>
        <w:trPr>
          <w:trHeight w:val="369"/>
        </w:trPr>
        <w:tc>
          <w:tcPr>
            <w:tcW w:type="dxa" w:w="3685"/>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FFFFF"/>
                <w:sz w:val="18"/>
              </w:rPr>
              <w:t>Parameter</w:t>
            </w:r>
          </w:p>
        </w:tc>
        <w:tc>
          <w:tcPr>
            <w:tcW w:type="dxa" w:w="1701"/>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Value</w:t>
            </w:r>
          </w:p>
        </w:tc>
        <w:tc>
          <w:tcPr>
            <w:tcW w:type="dxa" w:w="4252"/>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Notes</w:t>
            </w:r>
          </w:p>
        </w:tc>
      </w:tr>
      <w:tr>
        <w:trPr>
          <w:trHeight w:val="369"/>
        </w:trPr>
        <w:tc>
          <w:tcPr>
            <w:tcW w:type="dxa" w:w="368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Total registered users</w:t>
            </w:r>
          </w:p>
        </w:tc>
        <w:tc>
          <w:tcPr>
            <w:tcW w:type="dxa" w:w="170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2,000</w:t>
            </w:r>
          </w:p>
        </w:tc>
        <w:tc>
          <w:tcPr>
            <w:tcW w:type="dxa" w:w="425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All roles — parents, teachers, admins, attendants</w:t>
            </w:r>
          </w:p>
        </w:tc>
      </w:tr>
      <w:tr>
        <w:trPr>
          <w:trHeight w:val="369"/>
        </w:trPr>
        <w:tc>
          <w:tcPr>
            <w:tcW w:type="dxa" w:w="368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Active parent accounts</w:t>
            </w:r>
          </w:p>
        </w:tc>
        <w:tc>
          <w:tcPr>
            <w:tcW w:type="dxa" w:w="170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800</w:t>
            </w:r>
          </w:p>
        </w:tc>
        <w:tc>
          <w:tcPr>
            <w:tcW w:type="dxa" w:w="425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Accounts that receive SMS / Email / WhatsApp</w:t>
            </w:r>
          </w:p>
        </w:tc>
      </w:tr>
      <w:tr>
        <w:trPr>
          <w:trHeight w:val="369"/>
        </w:trPr>
        <w:tc>
          <w:tcPr>
            <w:tcW w:type="dxa" w:w="368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Average children per family</w:t>
            </w:r>
          </w:p>
        </w:tc>
        <w:tc>
          <w:tcPr>
            <w:tcW w:type="dxa" w:w="170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w:t>
            </w:r>
          </w:p>
        </w:tc>
        <w:tc>
          <w:tcPr>
            <w:tcW w:type="dxa" w:w="425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Drives check-in volume calculation</w:t>
            </w:r>
          </w:p>
        </w:tc>
      </w:tr>
      <w:tr>
        <w:trPr>
          <w:trHeight w:val="369"/>
        </w:trPr>
        <w:tc>
          <w:tcPr>
            <w:tcW w:type="dxa" w:w="368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Sunday services per month</w:t>
            </w:r>
          </w:p>
        </w:tc>
        <w:tc>
          <w:tcPr>
            <w:tcW w:type="dxa" w:w="170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4</w:t>
            </w:r>
          </w:p>
        </w:tc>
        <w:tc>
          <w:tcPr>
            <w:tcW w:type="dxa" w:w="425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Standard; some months have 5</w:t>
            </w:r>
          </w:p>
        </w:tc>
      </w:tr>
      <w:tr>
        <w:trPr>
          <w:trHeight w:val="369"/>
        </w:trPr>
        <w:tc>
          <w:tcPr>
            <w:tcW w:type="dxa" w:w="368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Service attendance rate</w:t>
            </w:r>
          </w:p>
        </w:tc>
        <w:tc>
          <w:tcPr>
            <w:tcW w:type="dxa" w:w="170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70%</w:t>
            </w:r>
          </w:p>
        </w:tc>
        <w:tc>
          <w:tcPr>
            <w:tcW w:type="dxa" w:w="425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 560 families · 1120 children per service</w:t>
            </w:r>
          </w:p>
        </w:tc>
      </w:tr>
      <w:tr>
        <w:trPr>
          <w:trHeight w:val="369"/>
        </w:trPr>
        <w:tc>
          <w:tcPr>
            <w:tcW w:type="dxa" w:w="368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Monthly check-in events</w:t>
            </w:r>
          </w:p>
        </w:tc>
        <w:tc>
          <w:tcPr>
            <w:tcW w:type="dxa" w:w="170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4,480</w:t>
            </w:r>
          </w:p>
        </w:tc>
        <w:tc>
          <w:tcPr>
            <w:tcW w:type="dxa" w:w="425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Children checked in across all Sundays</w:t>
            </w:r>
          </w:p>
        </w:tc>
      </w:tr>
      <w:tr>
        <w:trPr>
          <w:trHeight w:val="369"/>
        </w:trPr>
        <w:tc>
          <w:tcPr>
            <w:tcW w:type="dxa" w:w="3685"/>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left"/>
            </w:pPr>
            <w:r>
              <w:rPr>
                <w:rFonts w:ascii="Calibri" w:hAnsi="Calibri"/>
                <w:b w:val="0"/>
                <w:color w:val="16A34A"/>
                <w:sz w:val="18"/>
              </w:rPr>
              <w:t>WhatsApp API</w:t>
            </w:r>
          </w:p>
        </w:tc>
        <w:tc>
          <w:tcPr>
            <w:tcW w:type="dxa" w:w="1701"/>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6A34A"/>
                <w:sz w:val="18"/>
              </w:rPr>
              <w:t>ENABLED ✓</w:t>
            </w:r>
          </w:p>
        </w:tc>
        <w:tc>
          <w:tcPr>
            <w:tcW w:type="dxa" w:w="4252"/>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6A34A"/>
                <w:sz w:val="18"/>
              </w:rPr>
              <w:t>Meta-approved via Termii BSP — apply at api.termii.com</w:t>
            </w:r>
          </w:p>
        </w:tc>
      </w:tr>
      <w:tr>
        <w:trPr>
          <w:trHeight w:val="369"/>
        </w:trPr>
        <w:tc>
          <w:tcPr>
            <w:tcW w:type="dxa" w:w="368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PAYG buffer (Termii)</w:t>
            </w:r>
          </w:p>
        </w:tc>
        <w:tc>
          <w:tcPr>
            <w:tcW w:type="dxa" w:w="170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20% on top</w:t>
            </w:r>
          </w:p>
        </w:tc>
        <w:tc>
          <w:tcPr>
            <w:tcW w:type="dxa" w:w="425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Reserve credit to prevent mid-month disruption</w:t>
            </w:r>
          </w:p>
        </w:tc>
      </w:tr>
      <w:tr>
        <w:trPr>
          <w:trHeight w:val="369"/>
        </w:trPr>
        <w:tc>
          <w:tcPr>
            <w:tcW w:type="dxa" w:w="368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Upfront Termii pre-load</w:t>
            </w:r>
          </w:p>
        </w:tc>
        <w:tc>
          <w:tcPr>
            <w:tcW w:type="dxa" w:w="170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 months</w:t>
            </w:r>
          </w:p>
        </w:tc>
        <w:tc>
          <w:tcPr>
            <w:tcW w:type="dxa" w:w="425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Safety credit purchased on go-live day</w:t>
            </w:r>
          </w:p>
        </w:tc>
      </w:tr>
      <w:tr>
        <w:trPr>
          <w:trHeight w:val="369"/>
        </w:trPr>
        <w:tc>
          <w:tcPr>
            <w:tcW w:type="dxa" w:w="368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Usage growth — Year 2</w:t>
            </w:r>
          </w:p>
        </w:tc>
        <w:tc>
          <w:tcPr>
            <w:tcW w:type="dxa" w:w="170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5%</w:t>
            </w:r>
          </w:p>
        </w:tc>
        <w:tc>
          <w:tcPr>
            <w:tcW w:type="dxa" w:w="425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Conservative congregation growth estimate</w:t>
            </w:r>
          </w:p>
        </w:tc>
      </w:tr>
      <w:tr>
        <w:trPr>
          <w:trHeight w:val="369"/>
        </w:trPr>
        <w:tc>
          <w:tcPr>
            <w:tcW w:type="dxa" w:w="368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Usage growth — Year 3</w:t>
            </w:r>
          </w:p>
        </w:tc>
        <w:tc>
          <w:tcPr>
            <w:tcW w:type="dxa" w:w="170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5% + 10% discount</w:t>
            </w:r>
          </w:p>
        </w:tc>
        <w:tc>
          <w:tcPr>
            <w:tcW w:type="dxa" w:w="425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Termii volume discount above ~5,000 SMS/month</w:t>
            </w:r>
          </w:p>
        </w:tc>
      </w:tr>
    </w:tbl>
    <w:p>
      <w:pPr>
        <w:spacing w:after="60"/>
      </w:pPr>
    </w:p>
    <w:p>
      <w:pPr>
        <w:spacing w:before="160" w:after="80"/>
      </w:pPr>
      <w:r>
        <w:rPr>
          <w:rFonts w:ascii="Calibri" w:hAnsi="Calibri"/>
          <w:b/>
          <w:color w:val="1E3A8A"/>
          <w:sz w:val="26"/>
        </w:rPr>
        <w:t>2.  Service Rate Card</w:t>
      </w:r>
    </w:p>
    <w:tbl>
      <w:tblPr>
        <w:tblStyle w:val="TableGrid"/>
        <w:tblW w:type="auto" w:w="0"/>
        <w:jc w:val="left"/>
        <w:tblLook w:firstColumn="1" w:firstRow="1" w:lastColumn="0" w:lastRow="0" w:noHBand="0" w:noVBand="1" w:val="04A0"/>
      </w:tblPr>
      <w:tblGrid>
        <w:gridCol w:w="1994"/>
        <w:gridCol w:w="1994"/>
        <w:gridCol w:w="1994"/>
        <w:gridCol w:w="1994"/>
        <w:gridCol w:w="1994"/>
      </w:tblGrid>
      <w:tr>
        <w:trPr>
          <w:trHeight w:val="369"/>
        </w:trPr>
        <w:tc>
          <w:tcPr>
            <w:tcW w:type="dxa" w:w="2948"/>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FFFFF"/>
                <w:sz w:val="18"/>
              </w:rPr>
              <w:t>Service</w:t>
            </w:r>
          </w:p>
        </w:tc>
        <w:tc>
          <w:tcPr>
            <w:tcW w:type="dxa" w:w="1871"/>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Channel</w:t>
            </w:r>
          </w:p>
        </w:tc>
        <w:tc>
          <w:tcPr>
            <w:tcW w:type="dxa" w:w="1247"/>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Unit</w:t>
            </w:r>
          </w:p>
        </w:tc>
        <w:tc>
          <w:tcPr>
            <w:tcW w:type="dxa" w:w="1417"/>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Rate (USD)</w:t>
            </w:r>
          </w:p>
        </w:tc>
        <w:tc>
          <w:tcPr>
            <w:tcW w:type="dxa" w:w="2154"/>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Rate (NGN est.)</w:t>
            </w:r>
          </w:p>
        </w:tc>
      </w:tr>
      <w:tr>
        <w:trPr>
          <w:trHeight w:val="369"/>
        </w:trPr>
        <w:tc>
          <w:tcPr>
            <w:tcW w:type="dxa" w:w="2948"/>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Replit Core</w:t>
            </w:r>
          </w:p>
        </w:tc>
        <w:tc>
          <w:tcPr>
            <w:tcW w:type="dxa" w:w="187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Platform / Hosting</w:t>
            </w:r>
          </w:p>
        </w:tc>
        <w:tc>
          <w:tcPr>
            <w:tcW w:type="dxa" w:w="124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per month</w:t>
            </w:r>
          </w:p>
        </w:tc>
        <w:tc>
          <w:tcPr>
            <w:tcW w:type="dxa" w:w="141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$18.00</w:t>
            </w:r>
          </w:p>
        </w:tc>
        <w:tc>
          <w:tcPr>
            <w:tcW w:type="dxa" w:w="215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₦29,160</w:t>
            </w:r>
          </w:p>
        </w:tc>
      </w:tr>
      <w:tr>
        <w:trPr>
          <w:trHeight w:val="369"/>
        </w:trPr>
        <w:tc>
          <w:tcPr>
            <w:tcW w:type="dxa" w:w="2948"/>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Replit Reserved VM (1 vCPU / 1 GB)</w:t>
            </w:r>
          </w:p>
        </w:tc>
        <w:tc>
          <w:tcPr>
            <w:tcW w:type="dxa" w:w="187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Compute</w:t>
            </w:r>
          </w:p>
        </w:tc>
        <w:tc>
          <w:tcPr>
            <w:tcW w:type="dxa" w:w="124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per month</w:t>
            </w:r>
          </w:p>
        </w:tc>
        <w:tc>
          <w:tcPr>
            <w:tcW w:type="dxa" w:w="141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$10.00</w:t>
            </w:r>
          </w:p>
        </w:tc>
        <w:tc>
          <w:tcPr>
            <w:tcW w:type="dxa" w:w="215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₦16,200</w:t>
            </w:r>
          </w:p>
        </w:tc>
      </w:tr>
      <w:tr>
        <w:trPr>
          <w:trHeight w:val="369"/>
        </w:trPr>
        <w:tc>
          <w:tcPr>
            <w:tcW w:type="dxa" w:w="2948"/>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Termii SMS</w:t>
            </w:r>
          </w:p>
        </w:tc>
        <w:tc>
          <w:tcPr>
            <w:tcW w:type="dxa" w:w="187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SMS notification</w:t>
            </w:r>
          </w:p>
        </w:tc>
        <w:tc>
          <w:tcPr>
            <w:tcW w:type="dxa" w:w="124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per message</w:t>
            </w:r>
          </w:p>
        </w:tc>
        <w:tc>
          <w:tcPr>
            <w:tcW w:type="dxa" w:w="141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$0.04</w:t>
            </w:r>
          </w:p>
        </w:tc>
        <w:tc>
          <w:tcPr>
            <w:tcW w:type="dxa" w:w="215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₦65</w:t>
            </w:r>
          </w:p>
        </w:tc>
      </w:tr>
      <w:tr>
        <w:trPr>
          <w:trHeight w:val="369"/>
        </w:trPr>
        <w:tc>
          <w:tcPr>
            <w:tcW w:type="dxa" w:w="2948"/>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Termii Email</w:t>
            </w:r>
          </w:p>
        </w:tc>
        <w:tc>
          <w:tcPr>
            <w:tcW w:type="dxa" w:w="187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Email notification</w:t>
            </w:r>
          </w:p>
        </w:tc>
        <w:tc>
          <w:tcPr>
            <w:tcW w:type="dxa" w:w="124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per email</w:t>
            </w:r>
          </w:p>
        </w:tc>
        <w:tc>
          <w:tcPr>
            <w:tcW w:type="dxa" w:w="141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$0.01</w:t>
            </w:r>
          </w:p>
        </w:tc>
        <w:tc>
          <w:tcPr>
            <w:tcW w:type="dxa" w:w="215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₦16</w:t>
            </w:r>
          </w:p>
        </w:tc>
      </w:tr>
      <w:tr>
        <w:trPr>
          <w:trHeight w:val="369"/>
        </w:trPr>
        <w:tc>
          <w:tcPr>
            <w:tcW w:type="dxa" w:w="2948"/>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FEF3C7"/>
          </w:tcPr>
          <w:p>
            <w:pPr>
              <w:spacing w:before="20" w:after="20"/>
              <w:jc w:val="left"/>
            </w:pPr>
            <w:r>
              <w:rPr>
                <w:rFonts w:ascii="Calibri" w:hAnsi="Calibri"/>
                <w:b w:val="0"/>
                <w:color w:val="111827"/>
                <w:sz w:val="18"/>
              </w:rPr>
              <w:t>Termii WhatsApp</w:t>
            </w:r>
          </w:p>
        </w:tc>
        <w:tc>
          <w:tcPr>
            <w:tcW w:type="dxa" w:w="1871"/>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FEF3C7"/>
          </w:tcPr>
          <w:p>
            <w:pPr>
              <w:spacing w:before="20" w:after="20"/>
              <w:jc w:val="center"/>
            </w:pPr>
            <w:r>
              <w:rPr>
                <w:rFonts w:ascii="Calibri" w:hAnsi="Calibri"/>
                <w:b w:val="0"/>
                <w:color w:val="111827"/>
                <w:sz w:val="18"/>
              </w:rPr>
              <w:t>WhatsApp Business</w:t>
            </w:r>
          </w:p>
        </w:tc>
        <w:tc>
          <w:tcPr>
            <w:tcW w:type="dxa" w:w="1247"/>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FEF3C7"/>
          </w:tcPr>
          <w:p>
            <w:pPr>
              <w:spacing w:before="20" w:after="20"/>
              <w:jc w:val="center"/>
            </w:pPr>
            <w:r>
              <w:rPr>
                <w:rFonts w:ascii="Calibri" w:hAnsi="Calibri"/>
                <w:b w:val="0"/>
                <w:color w:val="111827"/>
                <w:sz w:val="18"/>
              </w:rPr>
              <w:t>per message</w:t>
            </w:r>
          </w:p>
        </w:tc>
        <w:tc>
          <w:tcPr>
            <w:tcW w:type="dxa" w:w="1417"/>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FEF3C7"/>
          </w:tcPr>
          <w:p>
            <w:pPr>
              <w:spacing w:before="20" w:after="20"/>
              <w:jc w:val="center"/>
            </w:pPr>
            <w:r>
              <w:rPr>
                <w:rFonts w:ascii="Calibri" w:hAnsi="Calibri"/>
                <w:b w:val="0"/>
                <w:color w:val="111827"/>
                <w:sz w:val="18"/>
              </w:rPr>
              <w:t>$0.07</w:t>
            </w:r>
          </w:p>
        </w:tc>
        <w:tc>
          <w:tcPr>
            <w:tcW w:type="dxa" w:w="2154"/>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FEF3C7"/>
          </w:tcPr>
          <w:p>
            <w:pPr>
              <w:spacing w:before="20" w:after="20"/>
              <w:jc w:val="center"/>
            </w:pPr>
            <w:r>
              <w:rPr>
                <w:rFonts w:ascii="Calibri" w:hAnsi="Calibri"/>
                <w:b w:val="0"/>
                <w:color w:val="111827"/>
                <w:sz w:val="18"/>
              </w:rPr>
              <w:t>₦113</w:t>
            </w:r>
          </w:p>
        </w:tc>
      </w:tr>
      <w:tr>
        <w:trPr>
          <w:trHeight w:val="369"/>
        </w:trPr>
        <w:tc>
          <w:tcPr>
            <w:tcW w:type="dxa" w:w="2948"/>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Custom domain</w:t>
            </w:r>
          </w:p>
        </w:tc>
        <w:tc>
          <w:tcPr>
            <w:tcW w:type="dxa" w:w="187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Annual renewal</w:t>
            </w:r>
          </w:p>
        </w:tc>
        <w:tc>
          <w:tcPr>
            <w:tcW w:type="dxa" w:w="124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per year</w:t>
            </w:r>
          </w:p>
        </w:tc>
        <w:tc>
          <w:tcPr>
            <w:tcW w:type="dxa" w:w="141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$15.00</w:t>
            </w:r>
          </w:p>
        </w:tc>
        <w:tc>
          <w:tcPr>
            <w:tcW w:type="dxa" w:w="215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₦24,300</w:t>
            </w:r>
          </w:p>
        </w:tc>
      </w:tr>
    </w:tbl>
    <w:p>
      <w:pPr>
        <w:spacing w:after="60"/>
      </w:pPr>
    </w:p>
    <w:p>
      <w:pPr>
        <w:spacing w:after="60" w:before="0"/>
      </w:pPr>
      <w:r>
        <w:rPr>
          <w:rFonts w:ascii="Calibri" w:hAnsi="Calibri"/>
          <w:i/>
          <w:color w:val="6B7280"/>
          <w:sz w:val="16"/>
        </w:rPr>
        <w:t>⚠  WhatsApp rate reflects Meta's Nigeria-destination utility/marketing conversation rate via Termii. Volume discount available above 5,000 SMS/month.</w:t>
      </w:r>
    </w:p>
    <w:p>
      <w:r>
        <w:br w:type="page"/>
      </w:r>
    </w:p>
    <w:p>
      <w:pPr>
        <w:spacing w:before="280" w:after="80"/>
      </w:pPr>
      <w:r>
        <w:rPr>
          <w:rFonts w:ascii="Calibri" w:hAnsi="Calibri"/>
          <w:b/>
          <w:color w:val="1E3A8A"/>
          <w:sz w:val="32"/>
        </w:rPr>
        <w:t>3.  Year 1 — Detailed Cost Breakdown</w:t>
      </w:r>
    </w:p>
    <w:tbl>
      <w:tblPr>
        <w:tblW w:type="auto" w:w="0"/>
        <w:jc w:val="left"/>
        <w:tblLook w:firstColumn="1" w:firstRow="1" w:lastColumn="0" w:lastRow="0" w:noHBand="0" w:noVBand="1" w:val="04A0"/>
      </w:tblPr>
      <w:tblGrid>
        <w:gridCol w:w="2493"/>
        <w:gridCol w:w="2493"/>
        <w:gridCol w:w="2493"/>
        <w:gridCol w:w="2493"/>
      </w:tblGrid>
      <w:tr>
        <w:tc>
          <w:tcPr>
            <w:tcW w:type="dxa" w:w="2409"/>
            <w:shd w:val="clear" w:color="auto" w:fill="1E3A8A"/>
            <w:tcBorders>
              <w:top w:val="single" w:sz="4" w:space="0" w:color="1E3A8A"/>
              <w:left w:val="single" w:sz="4" w:space="0" w:color="1E3A8A"/>
              <w:bottom w:val="single" w:sz="4" w:space="0" w:color="1E3A8A"/>
              <w:right w:val="single" w:sz="4" w:space="0" w:color="1E3A8A"/>
            </w:tcBorders>
          </w:tcPr>
          <w:p>
            <w:pPr>
              <w:spacing w:before="80" w:after="80"/>
              <w:jc w:val="center"/>
            </w:pPr>
            <w:r>
              <w:rPr>
                <w:rFonts w:ascii="Calibri" w:hAnsi="Calibri"/>
                <w:b w:val="0"/>
                <w:color w:val="FFFFFF"/>
                <w:sz w:val="16"/>
              </w:rPr>
              <w:t>Monthly Cost</w:t>
            </w:r>
          </w:p>
        </w:tc>
        <w:tc>
          <w:tcPr>
            <w:tcW w:type="dxa" w:w="2409"/>
            <w:shd w:val="clear" w:color="auto" w:fill="1D4ED8"/>
            <w:tcBorders>
              <w:top w:val="single" w:sz="4" w:space="0" w:color="1D4ED8"/>
              <w:left w:val="single" w:sz="4" w:space="0" w:color="1D4ED8"/>
              <w:bottom w:val="single" w:sz="4" w:space="0" w:color="1D4ED8"/>
              <w:right w:val="single" w:sz="4" w:space="0" w:color="1D4ED8"/>
            </w:tcBorders>
          </w:tcPr>
          <w:p>
            <w:pPr>
              <w:spacing w:before="80" w:after="80"/>
              <w:jc w:val="center"/>
            </w:pPr>
            <w:r>
              <w:rPr>
                <w:rFonts w:ascii="Calibri" w:hAnsi="Calibri"/>
                <w:b w:val="0"/>
                <w:color w:val="FFFFFF"/>
                <w:sz w:val="16"/>
              </w:rPr>
              <w:t>Annual Cost</w:t>
            </w:r>
          </w:p>
        </w:tc>
        <w:tc>
          <w:tcPr>
            <w:tcW w:type="dxa" w:w="2409"/>
            <w:shd w:val="clear" w:color="auto" w:fill="F59E0B"/>
            <w:tcBorders>
              <w:top w:val="single" w:sz="4" w:space="0" w:color="F59E0B"/>
              <w:left w:val="single" w:sz="4" w:space="0" w:color="F59E0B"/>
              <w:bottom w:val="single" w:sz="4" w:space="0" w:color="F59E0B"/>
              <w:right w:val="single" w:sz="4" w:space="0" w:color="F59E0B"/>
            </w:tcBorders>
          </w:tcPr>
          <w:p>
            <w:pPr>
              <w:spacing w:before="80" w:after="80"/>
              <w:jc w:val="center"/>
            </w:pPr>
            <w:r>
              <w:rPr>
                <w:rFonts w:ascii="Calibri" w:hAnsi="Calibri"/>
                <w:b w:val="0"/>
                <w:color w:val="1E3A8A"/>
                <w:sz w:val="16"/>
              </w:rPr>
              <w:t>First-Year Total</w:t>
            </w:r>
          </w:p>
        </w:tc>
        <w:tc>
          <w:tcPr>
            <w:tcW w:type="dxa" w:w="2409"/>
            <w:shd w:val="clear" w:color="auto" w:fill="374151"/>
            <w:tcBorders>
              <w:top w:val="single" w:sz="4" w:space="0" w:color="374151"/>
              <w:left w:val="single" w:sz="4" w:space="0" w:color="374151"/>
              <w:bottom w:val="single" w:sz="4" w:space="0" w:color="374151"/>
              <w:right w:val="single" w:sz="4" w:space="0" w:color="374151"/>
            </w:tcBorders>
          </w:tcPr>
          <w:p>
            <w:pPr>
              <w:spacing w:before="80" w:after="80"/>
              <w:jc w:val="center"/>
            </w:pPr>
            <w:r>
              <w:rPr>
                <w:rFonts w:ascii="Calibri" w:hAnsi="Calibri"/>
                <w:b w:val="0"/>
                <w:color w:val="FFFFFF"/>
                <w:sz w:val="16"/>
              </w:rPr>
              <w:t>Annual per User</w:t>
            </w:r>
          </w:p>
        </w:tc>
      </w:tr>
      <w:tr>
        <w:tc>
          <w:tcPr>
            <w:tcW w:type="dxa" w:w="2409"/>
            <w:shd w:val="clear" w:color="auto" w:fill="1E3A8A"/>
            <w:tcBorders>
              <w:top w:val="single" w:sz="4" w:space="0" w:color="1E3A8A"/>
              <w:left w:val="single" w:sz="4" w:space="0" w:color="1E3A8A"/>
              <w:bottom w:val="single" w:sz="4" w:space="0" w:color="1E3A8A"/>
              <w:right w:val="single" w:sz="4" w:space="0" w:color="1E3A8A"/>
            </w:tcBorders>
          </w:tcPr>
          <w:p>
            <w:pPr>
              <w:spacing w:before="80" w:after="80"/>
              <w:jc w:val="center"/>
            </w:pPr>
            <w:r>
              <w:rPr>
                <w:rFonts w:ascii="Calibri" w:hAnsi="Calibri"/>
                <w:b/>
                <w:color w:val="FFFFFF"/>
                <w:sz w:val="26"/>
              </w:rPr>
              <w:t>$892.48</w:t>
            </w:r>
          </w:p>
        </w:tc>
        <w:tc>
          <w:tcPr>
            <w:tcW w:type="dxa" w:w="2409"/>
            <w:shd w:val="clear" w:color="auto" w:fill="1D4ED8"/>
            <w:tcBorders>
              <w:top w:val="single" w:sz="4" w:space="0" w:color="1D4ED8"/>
              <w:left w:val="single" w:sz="4" w:space="0" w:color="1D4ED8"/>
              <w:bottom w:val="single" w:sz="4" w:space="0" w:color="1D4ED8"/>
              <w:right w:val="single" w:sz="4" w:space="0" w:color="1D4ED8"/>
            </w:tcBorders>
          </w:tcPr>
          <w:p>
            <w:pPr>
              <w:spacing w:before="80" w:after="80"/>
              <w:jc w:val="center"/>
            </w:pPr>
            <w:r>
              <w:rPr>
                <w:rFonts w:ascii="Calibri" w:hAnsi="Calibri"/>
                <w:b/>
                <w:color w:val="FFFFFF"/>
                <w:sz w:val="26"/>
              </w:rPr>
              <w:t>$10,709.78</w:t>
            </w:r>
          </w:p>
        </w:tc>
        <w:tc>
          <w:tcPr>
            <w:tcW w:type="dxa" w:w="2409"/>
            <w:shd w:val="clear" w:color="auto" w:fill="F59E0B"/>
            <w:tcBorders>
              <w:top w:val="single" w:sz="4" w:space="0" w:color="F59E0B"/>
              <w:left w:val="single" w:sz="4" w:space="0" w:color="F59E0B"/>
              <w:bottom w:val="single" w:sz="4" w:space="0" w:color="F59E0B"/>
              <w:right w:val="single" w:sz="4" w:space="0" w:color="F59E0B"/>
            </w:tcBorders>
          </w:tcPr>
          <w:p>
            <w:pPr>
              <w:spacing w:before="80" w:after="80"/>
              <w:jc w:val="center"/>
            </w:pPr>
            <w:r>
              <w:rPr>
                <w:rFonts w:ascii="Calibri" w:hAnsi="Calibri"/>
                <w:b/>
                <w:color w:val="1E3A8A"/>
                <w:sz w:val="26"/>
              </w:rPr>
              <w:t>$12,436.25</w:t>
            </w:r>
          </w:p>
        </w:tc>
        <w:tc>
          <w:tcPr>
            <w:tcW w:type="dxa" w:w="2409"/>
            <w:shd w:val="clear" w:color="auto" w:fill="374151"/>
            <w:tcBorders>
              <w:top w:val="single" w:sz="4" w:space="0" w:color="374151"/>
              <w:left w:val="single" w:sz="4" w:space="0" w:color="374151"/>
              <w:bottom w:val="single" w:sz="4" w:space="0" w:color="374151"/>
              <w:right w:val="single" w:sz="4" w:space="0" w:color="374151"/>
            </w:tcBorders>
          </w:tcPr>
          <w:p>
            <w:pPr>
              <w:spacing w:before="80" w:after="80"/>
              <w:jc w:val="center"/>
            </w:pPr>
            <w:r>
              <w:rPr>
                <w:rFonts w:ascii="Calibri" w:hAnsi="Calibri"/>
                <w:b/>
                <w:color w:val="FFFFFF"/>
                <w:sz w:val="26"/>
              </w:rPr>
              <w:t>$5.35</w:t>
            </w:r>
          </w:p>
        </w:tc>
      </w:tr>
      <w:tr>
        <w:tc>
          <w:tcPr>
            <w:tcW w:type="dxa" w:w="2409"/>
            <w:shd w:val="clear" w:color="auto" w:fill="1E3A8A"/>
            <w:tcBorders>
              <w:top w:val="single" w:sz="4" w:space="0" w:color="1E3A8A"/>
              <w:left w:val="single" w:sz="4" w:space="0" w:color="1E3A8A"/>
              <w:bottom w:val="single" w:sz="4" w:space="0" w:color="1E3A8A"/>
              <w:right w:val="single" w:sz="4" w:space="0" w:color="1E3A8A"/>
            </w:tcBorders>
          </w:tcPr>
          <w:p>
            <w:pPr>
              <w:spacing w:before="80" w:after="80"/>
              <w:jc w:val="center"/>
            </w:pPr>
            <w:r>
              <w:rPr>
                <w:rFonts w:ascii="Calibri" w:hAnsi="Calibri"/>
                <w:b w:val="0"/>
                <w:color w:val="FFFFFF"/>
                <w:sz w:val="16"/>
              </w:rPr>
              <w:t>Recurring</w:t>
            </w:r>
          </w:p>
        </w:tc>
        <w:tc>
          <w:tcPr>
            <w:tcW w:type="dxa" w:w="2409"/>
            <w:shd w:val="clear" w:color="auto" w:fill="1D4ED8"/>
            <w:tcBorders>
              <w:top w:val="single" w:sz="4" w:space="0" w:color="1D4ED8"/>
              <w:left w:val="single" w:sz="4" w:space="0" w:color="1D4ED8"/>
              <w:bottom w:val="single" w:sz="4" w:space="0" w:color="1D4ED8"/>
              <w:right w:val="single" w:sz="4" w:space="0" w:color="1D4ED8"/>
            </w:tcBorders>
          </w:tcPr>
          <w:p>
            <w:pPr>
              <w:spacing w:before="80" w:after="80"/>
              <w:jc w:val="center"/>
            </w:pPr>
            <w:r>
              <w:rPr>
                <w:rFonts w:ascii="Calibri" w:hAnsi="Calibri"/>
                <w:b w:val="0"/>
                <w:color w:val="FFFFFF"/>
                <w:sz w:val="16"/>
              </w:rPr>
              <w:t>12 months</w:t>
            </w:r>
          </w:p>
        </w:tc>
        <w:tc>
          <w:tcPr>
            <w:tcW w:type="dxa" w:w="2409"/>
            <w:shd w:val="clear" w:color="auto" w:fill="F59E0B"/>
            <w:tcBorders>
              <w:top w:val="single" w:sz="4" w:space="0" w:color="F59E0B"/>
              <w:left w:val="single" w:sz="4" w:space="0" w:color="F59E0B"/>
              <w:bottom w:val="single" w:sz="4" w:space="0" w:color="F59E0B"/>
              <w:right w:val="single" w:sz="4" w:space="0" w:color="F59E0B"/>
            </w:tcBorders>
          </w:tcPr>
          <w:p>
            <w:pPr>
              <w:spacing w:before="80" w:after="80"/>
              <w:jc w:val="center"/>
            </w:pPr>
            <w:r>
              <w:rPr>
                <w:rFonts w:ascii="Calibri" w:hAnsi="Calibri"/>
                <w:b w:val="0"/>
                <w:color w:val="1E3A8A"/>
                <w:sz w:val="16"/>
              </w:rPr>
              <w:t>Incl. upfront buffer</w:t>
            </w:r>
          </w:p>
        </w:tc>
        <w:tc>
          <w:tcPr>
            <w:tcW w:type="dxa" w:w="2409"/>
            <w:shd w:val="clear" w:color="auto" w:fill="374151"/>
            <w:tcBorders>
              <w:top w:val="single" w:sz="4" w:space="0" w:color="374151"/>
              <w:left w:val="single" w:sz="4" w:space="0" w:color="374151"/>
              <w:bottom w:val="single" w:sz="4" w:space="0" w:color="374151"/>
              <w:right w:val="single" w:sz="4" w:space="0" w:color="374151"/>
            </w:tcBorders>
          </w:tcPr>
          <w:p>
            <w:pPr>
              <w:spacing w:before="80" w:after="80"/>
              <w:jc w:val="center"/>
            </w:pPr>
            <w:r>
              <w:rPr>
                <w:rFonts w:ascii="Calibri" w:hAnsi="Calibri"/>
                <w:b w:val="0"/>
                <w:color w:val="FFFFFF"/>
                <w:sz w:val="16"/>
              </w:rPr>
              <w:t>Per registered user</w:t>
            </w:r>
          </w:p>
        </w:tc>
      </w:tr>
    </w:tbl>
    <w:p>
      <w:pPr>
        <w:spacing w:after="80"/>
      </w:pPr>
    </w:p>
    <w:tbl>
      <w:tblPr>
        <w:tblW w:type="auto" w:w="0"/>
        <w:jc w:val="left"/>
        <w:tblLook w:firstColumn="1" w:firstRow="1" w:lastColumn="0" w:lastRow="0" w:noHBand="0" w:noVBand="1" w:val="04A0"/>
      </w:tblPr>
      <w:tblGrid>
        <w:gridCol w:w="9972"/>
      </w:tblGrid>
      <w:tr>
        <w:tc>
          <w:tcPr>
            <w:tcW w:type="dxa" w:w="9638"/>
            <w:shd w:val="clear" w:color="auto" w:fill="0EA5E9"/>
            <w:tcBorders>
              <w:top w:val="single" w:sz="4" w:space="0" w:color="0EA5E9"/>
              <w:left w:val="single" w:sz="4" w:space="0" w:color="0EA5E9"/>
              <w:bottom w:val="single" w:sz="4" w:space="0" w:color="0EA5E9"/>
              <w:right w:val="single" w:sz="4" w:space="0" w:color="0EA5E9"/>
            </w:tcBorders>
          </w:tcPr>
          <w:p>
            <w:pPr>
              <w:spacing w:before="60" w:after="60"/>
            </w:pPr>
            <w:r>
              <w:rPr>
                <w:rFonts w:ascii="Calibri" w:hAnsi="Calibri"/>
                <w:b/>
                <w:color w:val="FFFFFF"/>
                <w:sz w:val="20"/>
              </w:rPr>
              <w:t>3.1  Platform — Replit</w:t>
            </w:r>
          </w:p>
        </w:tc>
      </w:tr>
    </w:tbl>
    <w:p>
      <w:pPr>
        <w:spacing w:after="40"/>
      </w:pPr>
    </w:p>
    <w:tbl>
      <w:tblPr>
        <w:tblStyle w:val="TableGrid"/>
        <w:tblW w:type="auto" w:w="0"/>
        <w:jc w:val="left"/>
        <w:tblLook w:firstColumn="1" w:firstRow="1" w:lastColumn="0" w:lastRow="0" w:noHBand="0" w:noVBand="1" w:val="04A0"/>
      </w:tblPr>
      <w:tblGrid>
        <w:gridCol w:w="2493"/>
        <w:gridCol w:w="2493"/>
        <w:gridCol w:w="2493"/>
        <w:gridCol w:w="2493"/>
      </w:tblGrid>
      <w:tr>
        <w:trPr>
          <w:trHeight w:val="369"/>
        </w:trPr>
        <w:tc>
          <w:tcPr>
            <w:tcW w:type="dxa" w:w="3402"/>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FFFFF"/>
                <w:sz w:val="18"/>
              </w:rPr>
              <w:t>Item</w:t>
            </w:r>
          </w:p>
        </w:tc>
        <w:tc>
          <w:tcPr>
            <w:tcW w:type="dxa" w:w="1361"/>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Monthly</w:t>
            </w:r>
          </w:p>
        </w:tc>
        <w:tc>
          <w:tcPr>
            <w:tcW w:type="dxa" w:w="1361"/>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Annual</w:t>
            </w:r>
          </w:p>
        </w:tc>
        <w:tc>
          <w:tcPr>
            <w:tcW w:type="dxa" w:w="3515"/>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Notes</w:t>
            </w:r>
          </w:p>
        </w:tc>
      </w:tr>
      <w:tr>
        <w:trPr>
          <w:trHeight w:val="369"/>
        </w:trPr>
        <w:tc>
          <w:tcPr>
            <w:tcW w:type="dxa" w:w="340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Replit Core (subscription)</w:t>
            </w:r>
          </w:p>
        </w:tc>
        <w:tc>
          <w:tcPr>
            <w:tcW w:type="dxa" w:w="136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$18.00</w:t>
            </w:r>
          </w:p>
        </w:tc>
        <w:tc>
          <w:tcPr>
            <w:tcW w:type="dxa" w:w="136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$216.00</w:t>
            </w:r>
          </w:p>
        </w:tc>
        <w:tc>
          <w:tcPr>
            <w:tcW w:type="dxa" w:w="351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Includes PostgreSQL, 50 GB storage, 3 deployments</w:t>
            </w:r>
          </w:p>
        </w:tc>
      </w:tr>
      <w:tr>
        <w:trPr>
          <w:trHeight w:val="369"/>
        </w:trPr>
        <w:tc>
          <w:tcPr>
            <w:tcW w:type="dxa" w:w="340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Reserved VM — 1 vCPU / 1 GB RAM</w:t>
            </w:r>
          </w:p>
        </w:tc>
        <w:tc>
          <w:tcPr>
            <w:tcW w:type="dxa" w:w="136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$10.00</w:t>
            </w:r>
          </w:p>
        </w:tc>
        <w:tc>
          <w:tcPr>
            <w:tcW w:type="dxa" w:w="136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$120.00</w:t>
            </w:r>
          </w:p>
        </w:tc>
        <w:tc>
          <w:tcPr>
            <w:tcW w:type="dxa" w:w="351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Always-on; handles ~500 concurrent users</w:t>
            </w:r>
          </w:p>
        </w:tc>
      </w:tr>
      <w:tr>
        <w:trPr>
          <w:trHeight w:val="369"/>
        </w:trPr>
        <w:tc>
          <w:tcPr>
            <w:tcW w:type="dxa" w:w="3402"/>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E0F2FE"/>
          </w:tcPr>
          <w:p>
            <w:pPr>
              <w:spacing w:before="20" w:after="20"/>
              <w:jc w:val="left"/>
            </w:pPr>
            <w:r>
              <w:rPr>
                <w:rFonts w:ascii="Calibri" w:hAnsi="Calibri"/>
                <w:b/>
                <w:color w:val="111827"/>
                <w:sz w:val="18"/>
              </w:rPr>
              <w:t>Platform Sub-total</w:t>
            </w:r>
          </w:p>
        </w:tc>
        <w:tc>
          <w:tcPr>
            <w:tcW w:type="dxa" w:w="1361"/>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E0F2FE"/>
          </w:tcPr>
          <w:p>
            <w:pPr>
              <w:spacing w:before="20" w:after="20"/>
              <w:jc w:val="center"/>
            </w:pPr>
            <w:r>
              <w:rPr>
                <w:rFonts w:ascii="Calibri" w:hAnsi="Calibri"/>
                <w:b/>
                <w:color w:val="111827"/>
                <w:sz w:val="18"/>
              </w:rPr>
              <w:t>$28.00</w:t>
            </w:r>
          </w:p>
        </w:tc>
        <w:tc>
          <w:tcPr>
            <w:tcW w:type="dxa" w:w="1361"/>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E0F2FE"/>
          </w:tcPr>
          <w:p>
            <w:pPr>
              <w:spacing w:before="20" w:after="20"/>
              <w:jc w:val="center"/>
            </w:pPr>
            <w:r>
              <w:rPr>
                <w:rFonts w:ascii="Calibri" w:hAnsi="Calibri"/>
                <w:b/>
                <w:color w:val="111827"/>
                <w:sz w:val="18"/>
              </w:rPr>
              <w:t>$336.00</w:t>
            </w:r>
          </w:p>
        </w:tc>
        <w:tc>
          <w:tcPr>
            <w:tcW w:type="dxa" w:w="3515"/>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E0F2FE"/>
          </w:tcPr>
          <w:p>
            <w:pPr>
              <w:spacing w:before="20" w:after="20"/>
              <w:jc w:val="center"/>
            </w:pPr>
            <w:r>
              <w:rPr>
                <w:rFonts w:ascii="Calibri" w:hAnsi="Calibri"/>
                <w:b/>
                <w:color w:val="111827"/>
                <w:sz w:val="18"/>
              </w:rPr>
            </w:r>
          </w:p>
        </w:tc>
      </w:tr>
    </w:tbl>
    <w:p>
      <w:pPr>
        <w:spacing w:after="60"/>
      </w:pPr>
    </w:p>
    <w:tbl>
      <w:tblPr>
        <w:tblW w:type="auto" w:w="0"/>
        <w:jc w:val="left"/>
        <w:tblLook w:firstColumn="1" w:firstRow="1" w:lastColumn="0" w:lastRow="0" w:noHBand="0" w:noVBand="1" w:val="04A0"/>
      </w:tblPr>
      <w:tblGrid>
        <w:gridCol w:w="9972"/>
      </w:tblGrid>
      <w:tr>
        <w:tc>
          <w:tcPr>
            <w:tcW w:type="dxa" w:w="9638"/>
            <w:shd w:val="clear" w:color="auto" w:fill="1E3A8A"/>
            <w:tcBorders>
              <w:top w:val="single" w:sz="4" w:space="0" w:color="1E3A8A"/>
              <w:left w:val="single" w:sz="4" w:space="0" w:color="1E3A8A"/>
              <w:bottom w:val="single" w:sz="4" w:space="0" w:color="1E3A8A"/>
              <w:right w:val="single" w:sz="4" w:space="0" w:color="1E3A8A"/>
            </w:tcBorders>
          </w:tcPr>
          <w:p>
            <w:pPr>
              <w:spacing w:before="60" w:after="60"/>
            </w:pPr>
            <w:r>
              <w:rPr>
                <w:rFonts w:ascii="Calibri" w:hAnsi="Calibri"/>
                <w:b/>
                <w:color w:val="FFFFFF"/>
                <w:sz w:val="20"/>
              </w:rPr>
              <w:t>3.2  Termii — SMS Notifications</w:t>
            </w:r>
          </w:p>
        </w:tc>
      </w:tr>
    </w:tbl>
    <w:p>
      <w:pPr>
        <w:spacing w:after="40"/>
      </w:pPr>
    </w:p>
    <w:tbl>
      <w:tblPr>
        <w:tblStyle w:val="TableGrid"/>
        <w:tblW w:type="auto" w:w="0"/>
        <w:jc w:val="left"/>
        <w:tblLook w:firstColumn="1" w:firstRow="1" w:lastColumn="0" w:lastRow="0" w:noHBand="0" w:noVBand="1" w:val="04A0"/>
      </w:tblPr>
      <w:tblGrid>
        <w:gridCol w:w="1994"/>
        <w:gridCol w:w="1994"/>
        <w:gridCol w:w="1994"/>
        <w:gridCol w:w="1994"/>
        <w:gridCol w:w="1994"/>
      </w:tblGrid>
      <w:tr>
        <w:trPr>
          <w:trHeight w:val="369"/>
        </w:trPr>
        <w:tc>
          <w:tcPr>
            <w:tcW w:type="dxa" w:w="3402"/>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FFFFF"/>
                <w:sz w:val="18"/>
              </w:rPr>
              <w:t>SMS Type</w:t>
            </w:r>
          </w:p>
        </w:tc>
        <w:tc>
          <w:tcPr>
            <w:tcW w:type="dxa" w:w="1191"/>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Msgs/Month</w:t>
            </w:r>
          </w:p>
        </w:tc>
        <w:tc>
          <w:tcPr>
            <w:tcW w:type="dxa" w:w="1020"/>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Rate</w:t>
            </w:r>
          </w:p>
        </w:tc>
        <w:tc>
          <w:tcPr>
            <w:tcW w:type="dxa" w:w="1304"/>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Monthly</w:t>
            </w:r>
          </w:p>
        </w:tc>
        <w:tc>
          <w:tcPr>
            <w:tcW w:type="dxa" w:w="1587"/>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Annual</w:t>
            </w:r>
          </w:p>
        </w:tc>
      </w:tr>
      <w:tr>
        <w:trPr>
          <w:trHeight w:val="369"/>
        </w:trPr>
        <w:tc>
          <w:tcPr>
            <w:tcW w:type="dxa" w:w="340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Check-in alert (per child arrival)</w:t>
            </w:r>
          </w:p>
        </w:tc>
        <w:tc>
          <w:tcPr>
            <w:tcW w:type="dxa" w:w="119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4,480</w:t>
            </w:r>
          </w:p>
        </w:tc>
        <w:tc>
          <w:tcPr>
            <w:tcW w:type="dxa" w:w="1020"/>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$0.04</w:t>
            </w:r>
          </w:p>
        </w:tc>
        <w:tc>
          <w:tcPr>
            <w:tcW w:type="dxa" w:w="130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$179.20</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$2,150.40</w:t>
            </w:r>
          </w:p>
        </w:tc>
      </w:tr>
      <w:tr>
        <w:trPr>
          <w:trHeight w:val="369"/>
        </w:trPr>
        <w:tc>
          <w:tcPr>
            <w:tcW w:type="dxa" w:w="340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Check-out alert (per pick-up)</w:t>
            </w:r>
          </w:p>
        </w:tc>
        <w:tc>
          <w:tcPr>
            <w:tcW w:type="dxa" w:w="119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4,480</w:t>
            </w:r>
          </w:p>
        </w:tc>
        <w:tc>
          <w:tcPr>
            <w:tcW w:type="dxa" w:w="1020"/>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$0.04</w:t>
            </w:r>
          </w:p>
        </w:tc>
        <w:tc>
          <w:tcPr>
            <w:tcW w:type="dxa" w:w="130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$179.20</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$2,150.40</w:t>
            </w:r>
          </w:p>
        </w:tc>
      </w:tr>
      <w:tr>
        <w:trPr>
          <w:trHeight w:val="369"/>
        </w:trPr>
        <w:tc>
          <w:tcPr>
            <w:tcW w:type="dxa" w:w="340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Emergency broadcast (all parents)</w:t>
            </w:r>
          </w:p>
        </w:tc>
        <w:tc>
          <w:tcPr>
            <w:tcW w:type="dxa" w:w="119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1,600</w:t>
            </w:r>
          </w:p>
        </w:tc>
        <w:tc>
          <w:tcPr>
            <w:tcW w:type="dxa" w:w="1020"/>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$0.04</w:t>
            </w:r>
          </w:p>
        </w:tc>
        <w:tc>
          <w:tcPr>
            <w:tcW w:type="dxa" w:w="130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$64.00</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$768.00</w:t>
            </w:r>
          </w:p>
        </w:tc>
      </w:tr>
      <w:tr>
        <w:trPr>
          <w:trHeight w:val="369"/>
        </w:trPr>
        <w:tc>
          <w:tcPr>
            <w:tcW w:type="dxa" w:w="340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Admin broadcast (all parents)</w:t>
            </w:r>
          </w:p>
        </w:tc>
        <w:tc>
          <w:tcPr>
            <w:tcW w:type="dxa" w:w="119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800</w:t>
            </w:r>
          </w:p>
        </w:tc>
        <w:tc>
          <w:tcPr>
            <w:tcW w:type="dxa" w:w="1020"/>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$0.04</w:t>
            </w:r>
          </w:p>
        </w:tc>
        <w:tc>
          <w:tcPr>
            <w:tcW w:type="dxa" w:w="130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$32.00</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$384.00</w:t>
            </w:r>
          </w:p>
        </w:tc>
      </w:tr>
      <w:tr>
        <w:trPr>
          <w:trHeight w:val="369"/>
        </w:trPr>
        <w:tc>
          <w:tcPr>
            <w:tcW w:type="dxa" w:w="340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OTP delegate checkout</w:t>
            </w:r>
          </w:p>
        </w:tc>
        <w:tc>
          <w:tcPr>
            <w:tcW w:type="dxa" w:w="119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224</w:t>
            </w:r>
          </w:p>
        </w:tc>
        <w:tc>
          <w:tcPr>
            <w:tcW w:type="dxa" w:w="1020"/>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$0.04</w:t>
            </w:r>
          </w:p>
        </w:tc>
        <w:tc>
          <w:tcPr>
            <w:tcW w:type="dxa" w:w="130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$8.96</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$107.52</w:t>
            </w:r>
          </w:p>
        </w:tc>
      </w:tr>
      <w:tr>
        <w:trPr>
          <w:trHeight w:val="369"/>
        </w:trPr>
        <w:tc>
          <w:tcPr>
            <w:tcW w:type="dxa" w:w="3402"/>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EFF6FF"/>
          </w:tcPr>
          <w:p>
            <w:pPr>
              <w:spacing w:before="20" w:after="20"/>
              <w:jc w:val="left"/>
            </w:pPr>
            <w:r>
              <w:rPr>
                <w:rFonts w:ascii="Calibri" w:hAnsi="Calibri"/>
                <w:b/>
                <w:color w:val="111827"/>
                <w:sz w:val="18"/>
              </w:rPr>
              <w:t>SMS Sub-total</w:t>
            </w:r>
          </w:p>
        </w:tc>
        <w:tc>
          <w:tcPr>
            <w:tcW w:type="dxa" w:w="1191"/>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EFF6FF"/>
          </w:tcPr>
          <w:p>
            <w:pPr>
              <w:spacing w:before="20" w:after="20"/>
              <w:jc w:val="center"/>
            </w:pPr>
            <w:r>
              <w:rPr>
                <w:rFonts w:ascii="Calibri" w:hAnsi="Calibri"/>
                <w:b/>
                <w:color w:val="111827"/>
                <w:sz w:val="18"/>
              </w:rPr>
              <w:t>11,584</w:t>
            </w:r>
          </w:p>
        </w:tc>
        <w:tc>
          <w:tcPr>
            <w:tcW w:type="dxa" w:w="1020"/>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EFF6FF"/>
          </w:tcPr>
          <w:p>
            <w:pPr>
              <w:spacing w:before="20" w:after="20"/>
              <w:jc w:val="center"/>
            </w:pPr>
            <w:r>
              <w:rPr>
                <w:rFonts w:ascii="Calibri" w:hAnsi="Calibri"/>
                <w:b/>
                <w:color w:val="111827"/>
                <w:sz w:val="18"/>
              </w:rPr>
            </w:r>
          </w:p>
        </w:tc>
        <w:tc>
          <w:tcPr>
            <w:tcW w:type="dxa" w:w="1304"/>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EFF6FF"/>
          </w:tcPr>
          <w:p>
            <w:pPr>
              <w:spacing w:before="20" w:after="20"/>
              <w:jc w:val="center"/>
            </w:pPr>
            <w:r>
              <w:rPr>
                <w:rFonts w:ascii="Calibri" w:hAnsi="Calibri"/>
                <w:b/>
                <w:color w:val="111827"/>
                <w:sz w:val="18"/>
              </w:rPr>
              <w:t>$463.36</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EFF6FF"/>
          </w:tcPr>
          <w:p>
            <w:pPr>
              <w:spacing w:before="20" w:after="20"/>
              <w:jc w:val="center"/>
            </w:pPr>
            <w:r>
              <w:rPr>
                <w:rFonts w:ascii="Calibri" w:hAnsi="Calibri"/>
                <w:b/>
                <w:color w:val="111827"/>
                <w:sz w:val="18"/>
              </w:rPr>
              <w:t>$5,560.32</w:t>
            </w:r>
          </w:p>
        </w:tc>
      </w:tr>
    </w:tbl>
    <w:p>
      <w:pPr>
        <w:spacing w:after="60"/>
      </w:pPr>
    </w:p>
    <w:tbl>
      <w:tblPr>
        <w:tblW w:type="auto" w:w="0"/>
        <w:jc w:val="left"/>
        <w:tblLook w:firstColumn="1" w:firstRow="1" w:lastColumn="0" w:lastRow="0" w:noHBand="0" w:noVBand="1" w:val="04A0"/>
      </w:tblPr>
      <w:tblGrid>
        <w:gridCol w:w="9972"/>
      </w:tblGrid>
      <w:tr>
        <w:tc>
          <w:tcPr>
            <w:tcW w:type="dxa" w:w="9638"/>
            <w:shd w:val="clear" w:color="auto" w:fill="16A34A"/>
            <w:tcBorders>
              <w:top w:val="single" w:sz="4" w:space="0" w:color="16A34A"/>
              <w:left w:val="single" w:sz="4" w:space="0" w:color="16A34A"/>
              <w:bottom w:val="single" w:sz="4" w:space="0" w:color="16A34A"/>
              <w:right w:val="single" w:sz="4" w:space="0" w:color="16A34A"/>
            </w:tcBorders>
          </w:tcPr>
          <w:p>
            <w:pPr>
              <w:spacing w:before="60" w:after="60"/>
            </w:pPr>
            <w:r>
              <w:rPr>
                <w:rFonts w:ascii="Calibri" w:hAnsi="Calibri"/>
                <w:b/>
                <w:color w:val="FFFFFF"/>
                <w:sz w:val="20"/>
              </w:rPr>
              <w:t>3.3  Termii — Email Notifications</w:t>
            </w:r>
          </w:p>
        </w:tc>
      </w:tr>
    </w:tbl>
    <w:p>
      <w:pPr>
        <w:spacing w:after="40"/>
      </w:pPr>
    </w:p>
    <w:tbl>
      <w:tblPr>
        <w:tblStyle w:val="TableGrid"/>
        <w:tblW w:type="auto" w:w="0"/>
        <w:jc w:val="left"/>
        <w:tblLook w:firstColumn="1" w:firstRow="1" w:lastColumn="0" w:lastRow="0" w:noHBand="0" w:noVBand="1" w:val="04A0"/>
      </w:tblPr>
      <w:tblGrid>
        <w:gridCol w:w="1994"/>
        <w:gridCol w:w="1994"/>
        <w:gridCol w:w="1994"/>
        <w:gridCol w:w="1994"/>
        <w:gridCol w:w="1994"/>
      </w:tblGrid>
      <w:tr>
        <w:trPr>
          <w:trHeight w:val="369"/>
        </w:trPr>
        <w:tc>
          <w:tcPr>
            <w:tcW w:type="dxa" w:w="3402"/>
            <w:shd w:val="clear" w:color="auto" w:fill="16A34A"/>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FFFFF"/>
                <w:sz w:val="18"/>
              </w:rPr>
              <w:t>Email Type</w:t>
            </w:r>
          </w:p>
        </w:tc>
        <w:tc>
          <w:tcPr>
            <w:tcW w:type="dxa" w:w="1191"/>
            <w:shd w:val="clear" w:color="auto" w:fill="16A34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Emails/Month</w:t>
            </w:r>
          </w:p>
        </w:tc>
        <w:tc>
          <w:tcPr>
            <w:tcW w:type="dxa" w:w="1020"/>
            <w:shd w:val="clear" w:color="auto" w:fill="16A34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Rate</w:t>
            </w:r>
          </w:p>
        </w:tc>
        <w:tc>
          <w:tcPr>
            <w:tcW w:type="dxa" w:w="1304"/>
            <w:shd w:val="clear" w:color="auto" w:fill="16A34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Monthly</w:t>
            </w:r>
          </w:p>
        </w:tc>
        <w:tc>
          <w:tcPr>
            <w:tcW w:type="dxa" w:w="1587"/>
            <w:shd w:val="clear" w:color="auto" w:fill="16A34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Annual</w:t>
            </w:r>
          </w:p>
        </w:tc>
      </w:tr>
      <w:tr>
        <w:trPr>
          <w:trHeight w:val="369"/>
        </w:trPr>
        <w:tc>
          <w:tcPr>
            <w:tcW w:type="dxa" w:w="340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Shepherd Reports (appraisals)</w:t>
            </w:r>
          </w:p>
        </w:tc>
        <w:tc>
          <w:tcPr>
            <w:tcW w:type="dxa" w:w="119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1,600</w:t>
            </w:r>
          </w:p>
        </w:tc>
        <w:tc>
          <w:tcPr>
            <w:tcW w:type="dxa" w:w="1020"/>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$0.01</w:t>
            </w:r>
          </w:p>
        </w:tc>
        <w:tc>
          <w:tcPr>
            <w:tcW w:type="dxa" w:w="130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$16.00</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$192.00</w:t>
            </w:r>
          </w:p>
        </w:tc>
      </w:tr>
      <w:tr>
        <w:trPr>
          <w:trHeight w:val="369"/>
        </w:trPr>
        <w:tc>
          <w:tcPr>
            <w:tcW w:type="dxa" w:w="340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General notification emails</w:t>
            </w:r>
          </w:p>
        </w:tc>
        <w:tc>
          <w:tcPr>
            <w:tcW w:type="dxa" w:w="119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1,600</w:t>
            </w:r>
          </w:p>
        </w:tc>
        <w:tc>
          <w:tcPr>
            <w:tcW w:type="dxa" w:w="1020"/>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$0.01</w:t>
            </w:r>
          </w:p>
        </w:tc>
        <w:tc>
          <w:tcPr>
            <w:tcW w:type="dxa" w:w="130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$16.00</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$192.00</w:t>
            </w:r>
          </w:p>
        </w:tc>
      </w:tr>
      <w:tr>
        <w:trPr>
          <w:trHeight w:val="369"/>
        </w:trPr>
        <w:tc>
          <w:tcPr>
            <w:tcW w:type="dxa" w:w="3402"/>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left"/>
            </w:pPr>
            <w:r>
              <w:rPr>
                <w:rFonts w:ascii="Calibri" w:hAnsi="Calibri"/>
                <w:b/>
                <w:color w:val="111827"/>
                <w:sz w:val="18"/>
              </w:rPr>
              <w:t>Email Sub-total</w:t>
            </w:r>
          </w:p>
        </w:tc>
        <w:tc>
          <w:tcPr>
            <w:tcW w:type="dxa" w:w="1191"/>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color w:val="111827"/>
                <w:sz w:val="18"/>
              </w:rPr>
              <w:t>3,200</w:t>
            </w:r>
          </w:p>
        </w:tc>
        <w:tc>
          <w:tcPr>
            <w:tcW w:type="dxa" w:w="1020"/>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color w:val="111827"/>
                <w:sz w:val="18"/>
              </w:rPr>
            </w:r>
          </w:p>
        </w:tc>
        <w:tc>
          <w:tcPr>
            <w:tcW w:type="dxa" w:w="1304"/>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color w:val="111827"/>
                <w:sz w:val="18"/>
              </w:rPr>
              <w:t>$32.00</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color w:val="111827"/>
                <w:sz w:val="18"/>
              </w:rPr>
              <w:t>$384.00</w:t>
            </w:r>
          </w:p>
        </w:tc>
      </w:tr>
    </w:tbl>
    <w:p>
      <w:pPr>
        <w:spacing w:after="60"/>
      </w:pPr>
    </w:p>
    <w:tbl>
      <w:tblPr>
        <w:tblW w:type="auto" w:w="0"/>
        <w:jc w:val="left"/>
        <w:tblLook w:firstColumn="1" w:firstRow="1" w:lastColumn="0" w:lastRow="0" w:noHBand="0" w:noVBand="1" w:val="04A0"/>
      </w:tblPr>
      <w:tblGrid>
        <w:gridCol w:w="9972"/>
      </w:tblGrid>
      <w:tr>
        <w:tc>
          <w:tcPr>
            <w:tcW w:type="dxa" w:w="9638"/>
            <w:shd w:val="clear" w:color="auto" w:fill="92400E"/>
            <w:tcBorders>
              <w:top w:val="single" w:sz="4" w:space="0" w:color="92400E"/>
              <w:left w:val="single" w:sz="4" w:space="0" w:color="92400E"/>
              <w:bottom w:val="single" w:sz="4" w:space="0" w:color="92400E"/>
              <w:right w:val="single" w:sz="4" w:space="0" w:color="92400E"/>
            </w:tcBorders>
          </w:tcPr>
          <w:p>
            <w:pPr>
              <w:spacing w:before="60" w:after="60"/>
            </w:pPr>
            <w:r>
              <w:rPr>
                <w:rFonts w:ascii="Calibri" w:hAnsi="Calibri"/>
                <w:b/>
                <w:color w:val="FFFFFF"/>
                <w:sz w:val="20"/>
              </w:rPr>
              <w:t>3.4  Termii — WhatsApp Business API  ✓ Enabled</w:t>
            </w:r>
          </w:p>
        </w:tc>
      </w:tr>
    </w:tbl>
    <w:p>
      <w:pPr>
        <w:spacing w:after="40"/>
      </w:pPr>
    </w:p>
    <w:p>
      <w:pPr>
        <w:spacing w:after="60" w:before="0"/>
      </w:pPr>
      <w:r>
        <w:rPr>
          <w:rFonts w:ascii="Calibri" w:hAnsi="Calibri"/>
          <w:i/>
          <w:color w:val="6B7280"/>
          <w:sz w:val="16"/>
        </w:rPr>
        <w:t>Delivered via Termii's Meta-approved BSP agreement. Billed per 24-hour conversation window per user.</w:t>
      </w:r>
    </w:p>
    <w:tbl>
      <w:tblPr>
        <w:tblStyle w:val="TableGrid"/>
        <w:tblW w:type="auto" w:w="0"/>
        <w:jc w:val="left"/>
        <w:tblLook w:firstColumn="1" w:firstRow="1" w:lastColumn="0" w:lastRow="0" w:noHBand="0" w:noVBand="1" w:val="04A0"/>
      </w:tblPr>
      <w:tblGrid>
        <w:gridCol w:w="1994"/>
        <w:gridCol w:w="1994"/>
        <w:gridCol w:w="1994"/>
        <w:gridCol w:w="1994"/>
        <w:gridCol w:w="1994"/>
      </w:tblGrid>
      <w:tr>
        <w:trPr>
          <w:trHeight w:val="369"/>
        </w:trPr>
        <w:tc>
          <w:tcPr>
            <w:tcW w:type="dxa" w:w="3402"/>
            <w:shd w:val="clear" w:color="auto" w:fill="92400E"/>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FFFFF"/>
                <w:sz w:val="18"/>
              </w:rPr>
              <w:t>WhatsApp Type</w:t>
            </w:r>
          </w:p>
        </w:tc>
        <w:tc>
          <w:tcPr>
            <w:tcW w:type="dxa" w:w="1191"/>
            <w:shd w:val="clear" w:color="auto" w:fill="92400E"/>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Msgs/Month</w:t>
            </w:r>
          </w:p>
        </w:tc>
        <w:tc>
          <w:tcPr>
            <w:tcW w:type="dxa" w:w="1020"/>
            <w:shd w:val="clear" w:color="auto" w:fill="92400E"/>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Rate</w:t>
            </w:r>
          </w:p>
        </w:tc>
        <w:tc>
          <w:tcPr>
            <w:tcW w:type="dxa" w:w="1304"/>
            <w:shd w:val="clear" w:color="auto" w:fill="92400E"/>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Monthly</w:t>
            </w:r>
          </w:p>
        </w:tc>
        <w:tc>
          <w:tcPr>
            <w:tcW w:type="dxa" w:w="1587"/>
            <w:shd w:val="clear" w:color="auto" w:fill="92400E"/>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Annual</w:t>
            </w:r>
          </w:p>
        </w:tc>
      </w:tr>
      <w:tr>
        <w:trPr>
          <w:trHeight w:val="369"/>
        </w:trPr>
        <w:tc>
          <w:tcPr>
            <w:tcW w:type="dxa" w:w="340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Check-in &amp; check-out alerts</w:t>
            </w:r>
          </w:p>
        </w:tc>
        <w:tc>
          <w:tcPr>
            <w:tcW w:type="dxa" w:w="119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1,600</w:t>
            </w:r>
          </w:p>
        </w:tc>
        <w:tc>
          <w:tcPr>
            <w:tcW w:type="dxa" w:w="1020"/>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$0.07</w:t>
            </w:r>
          </w:p>
        </w:tc>
        <w:tc>
          <w:tcPr>
            <w:tcW w:type="dxa" w:w="130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$112.00</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$1,344.00</w:t>
            </w:r>
          </w:p>
        </w:tc>
      </w:tr>
      <w:tr>
        <w:trPr>
          <w:trHeight w:val="369"/>
        </w:trPr>
        <w:tc>
          <w:tcPr>
            <w:tcW w:type="dxa" w:w="340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Shepherd Report (monthly)</w:t>
            </w:r>
          </w:p>
        </w:tc>
        <w:tc>
          <w:tcPr>
            <w:tcW w:type="dxa" w:w="119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800</w:t>
            </w:r>
          </w:p>
        </w:tc>
        <w:tc>
          <w:tcPr>
            <w:tcW w:type="dxa" w:w="1020"/>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$0.07</w:t>
            </w:r>
          </w:p>
        </w:tc>
        <w:tc>
          <w:tcPr>
            <w:tcW w:type="dxa" w:w="130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$56.00</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$672.00</w:t>
            </w:r>
          </w:p>
        </w:tc>
      </w:tr>
      <w:tr>
        <w:trPr>
          <w:trHeight w:val="369"/>
        </w:trPr>
        <w:tc>
          <w:tcPr>
            <w:tcW w:type="dxa" w:w="340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Admin &amp; emergency broadcasts</w:t>
            </w:r>
          </w:p>
        </w:tc>
        <w:tc>
          <w:tcPr>
            <w:tcW w:type="dxa" w:w="119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800</w:t>
            </w:r>
          </w:p>
        </w:tc>
        <w:tc>
          <w:tcPr>
            <w:tcW w:type="dxa" w:w="1020"/>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$0.07</w:t>
            </w:r>
          </w:p>
        </w:tc>
        <w:tc>
          <w:tcPr>
            <w:tcW w:type="dxa" w:w="130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$56.00</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$672.00</w:t>
            </w:r>
          </w:p>
        </w:tc>
      </w:tr>
      <w:tr>
        <w:trPr>
          <w:trHeight w:val="369"/>
        </w:trPr>
        <w:tc>
          <w:tcPr>
            <w:tcW w:type="dxa" w:w="3402"/>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EF3C7"/>
          </w:tcPr>
          <w:p>
            <w:pPr>
              <w:spacing w:before="20" w:after="20"/>
              <w:jc w:val="left"/>
            </w:pPr>
            <w:r>
              <w:rPr>
                <w:rFonts w:ascii="Calibri" w:hAnsi="Calibri"/>
                <w:b/>
                <w:color w:val="111827"/>
                <w:sz w:val="18"/>
              </w:rPr>
              <w:t>WhatsApp Sub-total</w:t>
            </w:r>
          </w:p>
        </w:tc>
        <w:tc>
          <w:tcPr>
            <w:tcW w:type="dxa" w:w="1191"/>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EF3C7"/>
          </w:tcPr>
          <w:p>
            <w:pPr>
              <w:spacing w:before="20" w:after="20"/>
              <w:jc w:val="center"/>
            </w:pPr>
            <w:r>
              <w:rPr>
                <w:rFonts w:ascii="Calibri" w:hAnsi="Calibri"/>
                <w:b/>
                <w:color w:val="111827"/>
                <w:sz w:val="18"/>
              </w:rPr>
              <w:t>3,200</w:t>
            </w:r>
          </w:p>
        </w:tc>
        <w:tc>
          <w:tcPr>
            <w:tcW w:type="dxa" w:w="1020"/>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EF3C7"/>
          </w:tcPr>
          <w:p>
            <w:pPr>
              <w:spacing w:before="20" w:after="20"/>
              <w:jc w:val="center"/>
            </w:pPr>
            <w:r>
              <w:rPr>
                <w:rFonts w:ascii="Calibri" w:hAnsi="Calibri"/>
                <w:b/>
                <w:color w:val="111827"/>
                <w:sz w:val="18"/>
              </w:rPr>
            </w:r>
          </w:p>
        </w:tc>
        <w:tc>
          <w:tcPr>
            <w:tcW w:type="dxa" w:w="1304"/>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EF3C7"/>
          </w:tcPr>
          <w:p>
            <w:pPr>
              <w:spacing w:before="20" w:after="20"/>
              <w:jc w:val="center"/>
            </w:pPr>
            <w:r>
              <w:rPr>
                <w:rFonts w:ascii="Calibri" w:hAnsi="Calibri"/>
                <w:b/>
                <w:color w:val="111827"/>
                <w:sz w:val="18"/>
              </w:rPr>
              <w:t>$224.00</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EF3C7"/>
          </w:tcPr>
          <w:p>
            <w:pPr>
              <w:spacing w:before="20" w:after="20"/>
              <w:jc w:val="center"/>
            </w:pPr>
            <w:r>
              <w:rPr>
                <w:rFonts w:ascii="Calibri" w:hAnsi="Calibri"/>
                <w:b/>
                <w:color w:val="111827"/>
                <w:sz w:val="18"/>
              </w:rPr>
              <w:t>$2,688.00</w:t>
            </w:r>
          </w:p>
        </w:tc>
      </w:tr>
    </w:tbl>
    <w:p>
      <w:pPr>
        <w:spacing w:after="60"/>
      </w:pPr>
    </w:p>
    <w:p>
      <w:r>
        <w:br w:type="page"/>
      </w:r>
    </w:p>
    <w:p>
      <w:pPr>
        <w:spacing w:before="160" w:after="80"/>
      </w:pPr>
      <w:r>
        <w:rPr>
          <w:rFonts w:ascii="Calibri" w:hAnsi="Calibri"/>
          <w:b/>
          <w:color w:val="1E3A8A"/>
          <w:sz w:val="26"/>
        </w:rPr>
        <w:t>3.5  Year 1 — Full Annual Summary</w:t>
      </w:r>
    </w:p>
    <w:tbl>
      <w:tblPr>
        <w:tblStyle w:val="TableGrid"/>
        <w:tblW w:type="auto" w:w="0"/>
        <w:jc w:val="left"/>
        <w:tblLook w:firstColumn="1" w:firstRow="1" w:lastColumn="0" w:lastRow="0" w:noHBand="0" w:noVBand="1" w:val="04A0"/>
      </w:tblPr>
      <w:tblGrid>
        <w:gridCol w:w="2493"/>
        <w:gridCol w:w="2493"/>
        <w:gridCol w:w="2493"/>
        <w:gridCol w:w="2493"/>
      </w:tblGrid>
      <w:tr>
        <w:trPr>
          <w:trHeight w:val="369"/>
        </w:trPr>
        <w:tc>
          <w:tcPr>
            <w:tcW w:type="dxa" w:w="4139"/>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FFFFF"/>
                <w:sz w:val="18"/>
              </w:rPr>
              <w:t>Cost Category</w:t>
            </w:r>
          </w:p>
        </w:tc>
        <w:tc>
          <w:tcPr>
            <w:tcW w:type="dxa" w:w="1587"/>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Monthly (USD)</w:t>
            </w:r>
          </w:p>
        </w:tc>
        <w:tc>
          <w:tcPr>
            <w:tcW w:type="dxa" w:w="1587"/>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Annual (USD)</w:t>
            </w:r>
          </w:p>
        </w:tc>
        <w:tc>
          <w:tcPr>
            <w:tcW w:type="dxa" w:w="1191"/>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 of Total</w:t>
            </w:r>
          </w:p>
        </w:tc>
      </w:tr>
      <w:tr>
        <w:trPr>
          <w:trHeight w:val="369"/>
        </w:trPr>
        <w:tc>
          <w:tcPr>
            <w:tcW w:type="dxa" w:w="4139"/>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Replit Core</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$18.00</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$216.00</w:t>
            </w:r>
          </w:p>
        </w:tc>
        <w:tc>
          <w:tcPr>
            <w:tcW w:type="dxa" w:w="119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2.0%</w:t>
            </w:r>
          </w:p>
        </w:tc>
      </w:tr>
      <w:tr>
        <w:trPr>
          <w:trHeight w:val="369"/>
        </w:trPr>
        <w:tc>
          <w:tcPr>
            <w:tcW w:type="dxa" w:w="4139"/>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Replit Reserved VM</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$10.00</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$120.00</w:t>
            </w:r>
          </w:p>
        </w:tc>
        <w:tc>
          <w:tcPr>
            <w:tcW w:type="dxa" w:w="119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1.1%</w:t>
            </w:r>
          </w:p>
        </w:tc>
      </w:tr>
      <w:tr>
        <w:trPr>
          <w:trHeight w:val="369"/>
        </w:trPr>
        <w:tc>
          <w:tcPr>
            <w:tcW w:type="dxa" w:w="4139"/>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Termii SMS</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$463.36</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$5,560.32</w:t>
            </w:r>
          </w:p>
        </w:tc>
        <w:tc>
          <w:tcPr>
            <w:tcW w:type="dxa" w:w="119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51.9%</w:t>
            </w:r>
          </w:p>
        </w:tc>
      </w:tr>
      <w:tr>
        <w:trPr>
          <w:trHeight w:val="369"/>
        </w:trPr>
        <w:tc>
          <w:tcPr>
            <w:tcW w:type="dxa" w:w="4139"/>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Termii Email</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$32.00</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$384.00</w:t>
            </w:r>
          </w:p>
        </w:tc>
        <w:tc>
          <w:tcPr>
            <w:tcW w:type="dxa" w:w="119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3.6%</w:t>
            </w:r>
          </w:p>
        </w:tc>
      </w:tr>
      <w:tr>
        <w:trPr>
          <w:trHeight w:val="369"/>
        </w:trPr>
        <w:tc>
          <w:tcPr>
            <w:tcW w:type="dxa" w:w="4139"/>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Termii WhatsApp</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$224.00</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$2,688.00</w:t>
            </w:r>
          </w:p>
        </w:tc>
        <w:tc>
          <w:tcPr>
            <w:tcW w:type="dxa" w:w="119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25.1%</w:t>
            </w:r>
          </w:p>
        </w:tc>
      </w:tr>
      <w:tr>
        <w:trPr>
          <w:trHeight w:val="369"/>
        </w:trPr>
        <w:tc>
          <w:tcPr>
            <w:tcW w:type="dxa" w:w="4139"/>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PAYG Buffer (20% on Termii)</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$143.87</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$1,726.46</w:t>
            </w:r>
          </w:p>
        </w:tc>
        <w:tc>
          <w:tcPr>
            <w:tcW w:type="dxa" w:w="119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16.1%</w:t>
            </w:r>
          </w:p>
        </w:tc>
      </w:tr>
      <w:tr>
        <w:trPr>
          <w:trHeight w:val="369"/>
        </w:trPr>
        <w:tc>
          <w:tcPr>
            <w:tcW w:type="dxa" w:w="4139"/>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Custom domain</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$1.25</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$15.00</w:t>
            </w:r>
          </w:p>
        </w:tc>
        <w:tc>
          <w:tcPr>
            <w:tcW w:type="dxa" w:w="119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0.1%</w:t>
            </w:r>
          </w:p>
        </w:tc>
      </w:tr>
      <w:tr>
        <w:trPr>
          <w:trHeight w:val="369"/>
        </w:trPr>
        <w:tc>
          <w:tcPr>
            <w:tcW w:type="dxa" w:w="4139"/>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1E3A8A"/>
          </w:tcPr>
          <w:p>
            <w:pPr>
              <w:spacing w:before="20" w:after="20"/>
              <w:jc w:val="left"/>
            </w:pPr>
            <w:r>
              <w:rPr>
                <w:rFonts w:ascii="Calibri" w:hAnsi="Calibri"/>
                <w:b/>
                <w:color w:val="FFFFFF"/>
                <w:sz w:val="18"/>
              </w:rPr>
              <w:t>ANNUAL RECURRING TOTAL</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1E3A8A"/>
          </w:tcPr>
          <w:p>
            <w:pPr>
              <w:spacing w:before="20" w:after="20"/>
              <w:jc w:val="center"/>
            </w:pPr>
            <w:r>
              <w:rPr>
                <w:rFonts w:ascii="Calibri" w:hAnsi="Calibri"/>
                <w:b/>
                <w:color w:val="FFFFFF"/>
                <w:sz w:val="18"/>
              </w:rPr>
              <w:t>$892.48</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1E3A8A"/>
          </w:tcPr>
          <w:p>
            <w:pPr>
              <w:spacing w:before="20" w:after="20"/>
              <w:jc w:val="center"/>
            </w:pPr>
            <w:r>
              <w:rPr>
                <w:rFonts w:ascii="Calibri" w:hAnsi="Calibri"/>
                <w:b/>
                <w:color w:val="FFFFFF"/>
                <w:sz w:val="18"/>
              </w:rPr>
              <w:t>$10,709.78</w:t>
            </w:r>
          </w:p>
        </w:tc>
        <w:tc>
          <w:tcPr>
            <w:tcW w:type="dxa" w:w="1191"/>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1E3A8A"/>
          </w:tcPr>
          <w:p>
            <w:pPr>
              <w:spacing w:before="20" w:after="20"/>
              <w:jc w:val="center"/>
            </w:pPr>
            <w:r>
              <w:rPr>
                <w:rFonts w:ascii="Calibri" w:hAnsi="Calibri"/>
                <w:b/>
                <w:color w:val="FFFFFF"/>
                <w:sz w:val="18"/>
              </w:rPr>
              <w:t>100%</w:t>
            </w:r>
          </w:p>
        </w:tc>
      </w:tr>
      <w:tr>
        <w:trPr>
          <w:trHeight w:val="369"/>
        </w:trPr>
        <w:tc>
          <w:tcPr>
            <w:tcW w:type="dxa" w:w="4139"/>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F3F4F6"/>
          </w:tcPr>
          <w:p>
            <w:pPr>
              <w:spacing w:before="20" w:after="20"/>
              <w:jc w:val="left"/>
            </w:pPr>
            <w:r>
              <w:rPr>
                <w:rFonts w:ascii="Calibri" w:hAnsi="Calibri"/>
                <w:b/>
                <w:color w:val="111827"/>
                <w:sz w:val="18"/>
              </w:rPr>
              <w:t>One-time upfront Termii pre-load (2 months)</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F3F4F6"/>
          </w:tcPr>
          <w:p>
            <w:pPr>
              <w:spacing w:before="20" w:after="20"/>
              <w:jc w:val="center"/>
            </w:pPr>
            <w:r>
              <w:rPr>
                <w:rFonts w:ascii="Calibri" w:hAnsi="Calibri"/>
                <w:b/>
                <w:color w:val="111827"/>
                <w:sz w:val="18"/>
              </w:rPr>
              <w:t>—</w:t>
            </w:r>
          </w:p>
        </w:tc>
        <w:tc>
          <w:tcPr>
            <w:tcW w:type="dxa" w:w="1587"/>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F3F4F6"/>
          </w:tcPr>
          <w:p>
            <w:pPr>
              <w:spacing w:before="20" w:after="20"/>
              <w:jc w:val="center"/>
            </w:pPr>
            <w:r>
              <w:rPr>
                <w:rFonts w:ascii="Calibri" w:hAnsi="Calibri"/>
                <w:b/>
                <w:color w:val="111827"/>
                <w:sz w:val="18"/>
              </w:rPr>
              <w:t>$1,726.46</w:t>
            </w:r>
          </w:p>
        </w:tc>
        <w:tc>
          <w:tcPr>
            <w:tcW w:type="dxa" w:w="1191"/>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F3F4F6"/>
          </w:tcPr>
          <w:p>
            <w:pPr>
              <w:spacing w:before="20" w:after="20"/>
              <w:jc w:val="center"/>
            </w:pPr>
            <w:r>
              <w:rPr>
                <w:rFonts w:ascii="Calibri" w:hAnsi="Calibri"/>
                <w:b/>
                <w:color w:val="111827"/>
                <w:sz w:val="18"/>
              </w:rPr>
              <w:t>—</w:t>
            </w:r>
          </w:p>
        </w:tc>
      </w:tr>
      <w:tr>
        <w:trPr>
          <w:trHeight w:val="369"/>
        </w:trPr>
        <w:tc>
          <w:tcPr>
            <w:tcW w:type="dxa" w:w="4139"/>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59E0B"/>
          </w:tcPr>
          <w:p>
            <w:pPr>
              <w:spacing w:before="20" w:after="20"/>
              <w:jc w:val="left"/>
            </w:pPr>
            <w:r>
              <w:rPr>
                <w:rFonts w:ascii="Calibri" w:hAnsi="Calibri"/>
                <w:b/>
                <w:color w:val="1E3A8A"/>
                <w:sz w:val="18"/>
              </w:rPr>
              <w:t>FIRST-YEAR TOTAL (incl. pre-load)</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59E0B"/>
          </w:tcPr>
          <w:p>
            <w:pPr>
              <w:spacing w:before="20" w:after="20"/>
              <w:jc w:val="center"/>
            </w:pPr>
            <w:r>
              <w:rPr>
                <w:rFonts w:ascii="Calibri" w:hAnsi="Calibri"/>
                <w:b/>
                <w:color w:val="1E3A8A"/>
                <w:sz w:val="18"/>
              </w:rPr>
              <w:t>—</w:t>
            </w:r>
          </w:p>
        </w:tc>
        <w:tc>
          <w:tcPr>
            <w:tcW w:type="dxa" w:w="1587"/>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59E0B"/>
          </w:tcPr>
          <w:p>
            <w:pPr>
              <w:spacing w:before="20" w:after="20"/>
              <w:jc w:val="center"/>
            </w:pPr>
            <w:r>
              <w:rPr>
                <w:rFonts w:ascii="Calibri" w:hAnsi="Calibri"/>
                <w:b/>
                <w:color w:val="1E3A8A"/>
                <w:sz w:val="18"/>
              </w:rPr>
              <w:t>$12,436.25</w:t>
            </w:r>
          </w:p>
        </w:tc>
        <w:tc>
          <w:tcPr>
            <w:tcW w:type="dxa" w:w="1191"/>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59E0B"/>
          </w:tcPr>
          <w:p>
            <w:pPr>
              <w:spacing w:before="20" w:after="20"/>
              <w:jc w:val="center"/>
            </w:pPr>
            <w:r>
              <w:rPr>
                <w:rFonts w:ascii="Calibri" w:hAnsi="Calibri"/>
                <w:b/>
                <w:color w:val="1E3A8A"/>
                <w:sz w:val="18"/>
              </w:rPr>
              <w:t>—</w:t>
            </w:r>
          </w:p>
        </w:tc>
      </w:tr>
    </w:tbl>
    <w:p>
      <w:pPr>
        <w:spacing w:after="60"/>
      </w:pPr>
    </w:p>
    <w:p>
      <w:pPr>
        <w:spacing w:before="160" w:after="80"/>
      </w:pPr>
      <w:r>
        <w:rPr>
          <w:rFonts w:ascii="Calibri" w:hAnsi="Calibri"/>
          <w:b/>
          <w:color w:val="1E3A8A"/>
          <w:sz w:val="26"/>
        </w:rPr>
        <w:t>3.6  Pay-As-You-Go (PAYG) — Top-Up Guide</w:t>
      </w:r>
    </w:p>
    <w:tbl>
      <w:tblPr>
        <w:tblStyle w:val="TableGrid"/>
        <w:tblW w:type="auto" w:w="0"/>
        <w:jc w:val="left"/>
        <w:tblLook w:firstColumn="1" w:firstRow="1" w:lastColumn="0" w:lastRow="0" w:noHBand="0" w:noVBand="1" w:val="04A0"/>
      </w:tblPr>
      <w:tblGrid>
        <w:gridCol w:w="3324"/>
        <w:gridCol w:w="3324"/>
        <w:gridCol w:w="3324"/>
      </w:tblGrid>
      <w:tr>
        <w:trPr>
          <w:trHeight w:val="369"/>
        </w:trPr>
        <w:tc>
          <w:tcPr>
            <w:tcW w:type="dxa" w:w="2721"/>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FFFFF"/>
                <w:sz w:val="18"/>
              </w:rPr>
              <w:t>Scenario</w:t>
            </w:r>
          </w:p>
        </w:tc>
        <w:tc>
          <w:tcPr>
            <w:tcW w:type="dxa" w:w="4082"/>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Action</w:t>
            </w:r>
          </w:p>
        </w:tc>
        <w:tc>
          <w:tcPr>
            <w:tcW w:type="dxa" w:w="1701"/>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Recommended Top-Up</w:t>
            </w:r>
          </w:p>
        </w:tc>
      </w:tr>
      <w:tr>
        <w:trPr>
          <w:trHeight w:val="369"/>
        </w:trPr>
        <w:tc>
          <w:tcPr>
            <w:tcW w:type="dxa" w:w="2721"/>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left"/>
            </w:pPr>
            <w:r>
              <w:rPr>
                <w:rFonts w:ascii="Calibri" w:hAnsi="Calibri"/>
                <w:b w:val="0"/>
                <w:color w:val="111827"/>
                <w:sz w:val="18"/>
              </w:rPr>
              <w:t>Normal month</w:t>
            </w:r>
          </w:p>
        </w:tc>
        <w:tc>
          <w:tcPr>
            <w:tcW w:type="dxa" w:w="4082"/>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11827"/>
                <w:sz w:val="18"/>
              </w:rPr>
              <w:t>No action. Balance auto-deducted.</w:t>
            </w:r>
          </w:p>
        </w:tc>
        <w:tc>
          <w:tcPr>
            <w:tcW w:type="dxa" w:w="1701"/>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11827"/>
                <w:sz w:val="18"/>
              </w:rPr>
              <w:t>—</w:t>
            </w:r>
          </w:p>
        </w:tc>
      </w:tr>
      <w:tr>
        <w:trPr>
          <w:trHeight w:val="369"/>
        </w:trPr>
        <w:tc>
          <w:tcPr>
            <w:tcW w:type="dxa" w:w="272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High-attendance Sunday</w:t>
            </w:r>
          </w:p>
        </w:tc>
        <w:tc>
          <w:tcPr>
            <w:tcW w:type="dxa" w:w="408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Monitor dashboard. Top up if balance &lt; 1× monthly buffer.</w:t>
            </w:r>
          </w:p>
        </w:tc>
        <w:tc>
          <w:tcPr>
            <w:tcW w:type="dxa" w:w="170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$359.68</w:t>
            </w:r>
          </w:p>
        </w:tc>
      </w:tr>
      <w:tr>
        <w:trPr>
          <w:trHeight w:val="369"/>
        </w:trPr>
        <w:tc>
          <w:tcPr>
            <w:tcW w:type="dxa" w:w="272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Emergency broadcast month</w:t>
            </w:r>
          </w:p>
        </w:tc>
        <w:tc>
          <w:tcPr>
            <w:tcW w:type="dxa" w:w="408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Pre-load extra credit before any major church event.</w:t>
            </w:r>
          </w:p>
        </w:tc>
        <w:tc>
          <w:tcPr>
            <w:tcW w:type="dxa" w:w="170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$719.36</w:t>
            </w:r>
          </w:p>
        </w:tc>
      </w:tr>
      <w:tr>
        <w:trPr>
          <w:trHeight w:val="369"/>
        </w:trPr>
        <w:tc>
          <w:tcPr>
            <w:tcW w:type="dxa" w:w="2721"/>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EF3C7"/>
          </w:tcPr>
          <w:p>
            <w:pPr>
              <w:spacing w:before="20" w:after="20"/>
              <w:jc w:val="left"/>
            </w:pPr>
            <w:r>
              <w:rPr>
                <w:rFonts w:ascii="Calibri" w:hAnsi="Calibri"/>
                <w:b w:val="0"/>
                <w:color w:val="111827"/>
                <w:sz w:val="18"/>
              </w:rPr>
              <w:t>Balance drops below buffer</w:t>
            </w:r>
          </w:p>
        </w:tc>
        <w:tc>
          <w:tcPr>
            <w:tcW w:type="dxa" w:w="4082"/>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EF3C7"/>
          </w:tcPr>
          <w:p>
            <w:pPr>
              <w:spacing w:before="20" w:after="20"/>
              <w:jc w:val="center"/>
            </w:pPr>
            <w:r>
              <w:rPr>
                <w:rFonts w:ascii="Calibri" w:hAnsi="Calibri"/>
                <w:b w:val="0"/>
                <w:color w:val="111827"/>
                <w:sz w:val="18"/>
              </w:rPr>
              <w:t>Top up immediately to avoid missed notifications.</w:t>
            </w:r>
          </w:p>
        </w:tc>
        <w:tc>
          <w:tcPr>
            <w:tcW w:type="dxa" w:w="1701"/>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EF3C7"/>
          </w:tcPr>
          <w:p>
            <w:pPr>
              <w:spacing w:before="20" w:after="20"/>
              <w:jc w:val="center"/>
            </w:pPr>
            <w:r>
              <w:rPr>
                <w:rFonts w:ascii="Calibri" w:hAnsi="Calibri"/>
                <w:b w:val="0"/>
                <w:color w:val="111827"/>
                <w:sz w:val="18"/>
              </w:rPr>
              <w:t>$863.23</w:t>
            </w:r>
          </w:p>
        </w:tc>
      </w:tr>
      <w:tr>
        <w:trPr>
          <w:trHeight w:val="369"/>
        </w:trPr>
        <w:tc>
          <w:tcPr>
            <w:tcW w:type="dxa" w:w="272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Annual budget cycle</w:t>
            </w:r>
          </w:p>
        </w:tc>
        <w:tc>
          <w:tcPr>
            <w:tcW w:type="dxa" w:w="408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Review actual vs estimated. Adjust and reforecast.</w:t>
            </w:r>
          </w:p>
        </w:tc>
        <w:tc>
          <w:tcPr>
            <w:tcW w:type="dxa" w:w="170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 months = $1,726.46</w:t>
            </w:r>
          </w:p>
        </w:tc>
      </w:tr>
    </w:tbl>
    <w:p>
      <w:pPr>
        <w:spacing w:after="60"/>
      </w:pPr>
    </w:p>
    <w:p>
      <w:pPr>
        <w:spacing w:after="60" w:before="0"/>
      </w:pPr>
      <w:r>
        <w:rPr>
          <w:rFonts w:ascii="Calibri" w:hAnsi="Calibri"/>
          <w:i/>
          <w:color w:val="6B7280"/>
          <w:sz w:val="16"/>
        </w:rPr>
        <w:t>💡  Set a Termii low-balance alert at $863.23. Top-up bundles: $10 / $25 / $50 / $100 / $200. Unused credit rolls over with no expiry.</w:t>
      </w:r>
    </w:p>
    <w:p>
      <w:r>
        <w:br w:type="page"/>
      </w:r>
    </w:p>
    <w:p>
      <w:pPr>
        <w:spacing w:before="280" w:after="80"/>
      </w:pPr>
      <w:r>
        <w:rPr>
          <w:rFonts w:ascii="Calibri" w:hAnsi="Calibri"/>
          <w:b/>
          <w:color w:val="1E3A8A"/>
          <w:sz w:val="32"/>
        </w:rPr>
        <w:t>4.  Three-Year Cost Projection</w:t>
      </w:r>
    </w:p>
    <w:p>
      <w:pPr>
        <w:spacing w:after="80" w:before="0"/>
      </w:pPr>
      <w:r>
        <w:rPr>
          <w:rFonts w:ascii="Calibri" w:hAnsi="Calibri"/>
          <w:i w:val="0"/>
          <w:color w:val="111827"/>
          <w:sz w:val="19"/>
        </w:rPr>
        <w:t>Year 2 assumes 5% growth in active users and messaging volume. Year 3 applies a further 5% growth plus a 10% Termii volume discount (available once monthly SMS consistently exceeds 5,000 messages).</w:t>
      </w:r>
    </w:p>
    <w:p>
      <w:pPr>
        <w:spacing w:after="60"/>
      </w:pPr>
    </w:p>
    <w:tbl>
      <w:tblPr>
        <w:tblW w:type="auto" w:w="0"/>
        <w:jc w:val="left"/>
        <w:tblLook w:firstColumn="1" w:firstRow="1" w:lastColumn="0" w:lastRow="0" w:noHBand="0" w:noVBand="1" w:val="04A0"/>
      </w:tblPr>
      <w:tblGrid>
        <w:gridCol w:w="2493"/>
        <w:gridCol w:w="2493"/>
        <w:gridCol w:w="2493"/>
        <w:gridCol w:w="2493"/>
      </w:tblGrid>
      <w:tr>
        <w:tc>
          <w:tcPr>
            <w:tcW w:type="dxa" w:w="2409"/>
            <w:shd w:val="clear" w:color="auto" w:fill="1E3A8A"/>
            <w:tcBorders>
              <w:top w:val="single" w:sz="4" w:space="0" w:color="1E3A8A"/>
              <w:left w:val="single" w:sz="4" w:space="0" w:color="1E3A8A"/>
              <w:bottom w:val="single" w:sz="4" w:space="0" w:color="1E3A8A"/>
              <w:right w:val="single" w:sz="4" w:space="0" w:color="1E3A8A"/>
            </w:tcBorders>
          </w:tcPr>
          <w:p>
            <w:pPr>
              <w:spacing w:before="80" w:after="80"/>
              <w:jc w:val="center"/>
            </w:pPr>
            <w:r>
              <w:rPr>
                <w:rFonts w:ascii="Calibri" w:hAnsi="Calibri"/>
                <w:b w:val="0"/>
                <w:color w:val="FFFFFF"/>
                <w:sz w:val="16"/>
              </w:rPr>
              <w:t>Year 1</w:t>
            </w:r>
          </w:p>
        </w:tc>
        <w:tc>
          <w:tcPr>
            <w:tcW w:type="dxa" w:w="2409"/>
            <w:shd w:val="clear" w:color="auto" w:fill="1D4ED8"/>
            <w:tcBorders>
              <w:top w:val="single" w:sz="4" w:space="0" w:color="1D4ED8"/>
              <w:left w:val="single" w:sz="4" w:space="0" w:color="1D4ED8"/>
              <w:bottom w:val="single" w:sz="4" w:space="0" w:color="1D4ED8"/>
              <w:right w:val="single" w:sz="4" w:space="0" w:color="1D4ED8"/>
            </w:tcBorders>
          </w:tcPr>
          <w:p>
            <w:pPr>
              <w:spacing w:before="80" w:after="80"/>
              <w:jc w:val="center"/>
            </w:pPr>
            <w:r>
              <w:rPr>
                <w:rFonts w:ascii="Calibri" w:hAnsi="Calibri"/>
                <w:b w:val="0"/>
                <w:color w:val="FFFFFF"/>
                <w:sz w:val="16"/>
              </w:rPr>
              <w:t>Year 2</w:t>
            </w:r>
          </w:p>
        </w:tc>
        <w:tc>
          <w:tcPr>
            <w:tcW w:type="dxa" w:w="2409"/>
            <w:shd w:val="clear" w:color="auto" w:fill="16A34A"/>
            <w:tcBorders>
              <w:top w:val="single" w:sz="4" w:space="0" w:color="16A34A"/>
              <w:left w:val="single" w:sz="4" w:space="0" w:color="16A34A"/>
              <w:bottom w:val="single" w:sz="4" w:space="0" w:color="16A34A"/>
              <w:right w:val="single" w:sz="4" w:space="0" w:color="16A34A"/>
            </w:tcBorders>
          </w:tcPr>
          <w:p>
            <w:pPr>
              <w:spacing w:before="80" w:after="80"/>
              <w:jc w:val="center"/>
            </w:pPr>
            <w:r>
              <w:rPr>
                <w:rFonts w:ascii="Calibri" w:hAnsi="Calibri"/>
                <w:b w:val="0"/>
                <w:color w:val="FFFFFF"/>
                <w:sz w:val="16"/>
              </w:rPr>
              <w:t>Year 3</w:t>
            </w:r>
          </w:p>
        </w:tc>
        <w:tc>
          <w:tcPr>
            <w:tcW w:type="dxa" w:w="2409"/>
            <w:shd w:val="clear" w:color="auto" w:fill="F59E0B"/>
            <w:tcBorders>
              <w:top w:val="single" w:sz="4" w:space="0" w:color="F59E0B"/>
              <w:left w:val="single" w:sz="4" w:space="0" w:color="F59E0B"/>
              <w:bottom w:val="single" w:sz="4" w:space="0" w:color="F59E0B"/>
              <w:right w:val="single" w:sz="4" w:space="0" w:color="F59E0B"/>
            </w:tcBorders>
          </w:tcPr>
          <w:p>
            <w:pPr>
              <w:spacing w:before="80" w:after="80"/>
              <w:jc w:val="center"/>
            </w:pPr>
            <w:r>
              <w:rPr>
                <w:rFonts w:ascii="Calibri" w:hAnsi="Calibri"/>
                <w:b w:val="0"/>
                <w:color w:val="1E3A8A"/>
                <w:sz w:val="16"/>
              </w:rPr>
              <w:t>3-Year Total</w:t>
            </w:r>
          </w:p>
        </w:tc>
      </w:tr>
      <w:tr>
        <w:tc>
          <w:tcPr>
            <w:tcW w:type="dxa" w:w="2409"/>
            <w:shd w:val="clear" w:color="auto" w:fill="1E3A8A"/>
            <w:tcBorders>
              <w:top w:val="single" w:sz="4" w:space="0" w:color="1E3A8A"/>
              <w:left w:val="single" w:sz="4" w:space="0" w:color="1E3A8A"/>
              <w:bottom w:val="single" w:sz="4" w:space="0" w:color="1E3A8A"/>
              <w:right w:val="single" w:sz="4" w:space="0" w:color="1E3A8A"/>
            </w:tcBorders>
          </w:tcPr>
          <w:p>
            <w:pPr>
              <w:spacing w:before="80" w:after="80"/>
              <w:jc w:val="center"/>
            </w:pPr>
            <w:r>
              <w:rPr>
                <w:rFonts w:ascii="Calibri" w:hAnsi="Calibri"/>
                <w:b/>
                <w:color w:val="FFFFFF"/>
                <w:sz w:val="26"/>
              </w:rPr>
              <w:t>$10,709.78</w:t>
            </w:r>
          </w:p>
        </w:tc>
        <w:tc>
          <w:tcPr>
            <w:tcW w:type="dxa" w:w="2409"/>
            <w:shd w:val="clear" w:color="auto" w:fill="1D4ED8"/>
            <w:tcBorders>
              <w:top w:val="single" w:sz="4" w:space="0" w:color="1D4ED8"/>
              <w:left w:val="single" w:sz="4" w:space="0" w:color="1D4ED8"/>
              <w:bottom w:val="single" w:sz="4" w:space="0" w:color="1D4ED8"/>
              <w:right w:val="single" w:sz="4" w:space="0" w:color="1D4ED8"/>
            </w:tcBorders>
          </w:tcPr>
          <w:p>
            <w:pPr>
              <w:spacing w:before="80" w:after="80"/>
              <w:jc w:val="center"/>
            </w:pPr>
            <w:r>
              <w:rPr>
                <w:rFonts w:ascii="Calibri" w:hAnsi="Calibri"/>
                <w:b/>
                <w:color w:val="FFFFFF"/>
                <w:sz w:val="26"/>
              </w:rPr>
              <w:t>$11,227.72</w:t>
            </w:r>
          </w:p>
        </w:tc>
        <w:tc>
          <w:tcPr>
            <w:tcW w:type="dxa" w:w="2409"/>
            <w:shd w:val="clear" w:color="auto" w:fill="16A34A"/>
            <w:tcBorders>
              <w:top w:val="single" w:sz="4" w:space="0" w:color="16A34A"/>
              <w:left w:val="single" w:sz="4" w:space="0" w:color="16A34A"/>
              <w:bottom w:val="single" w:sz="4" w:space="0" w:color="16A34A"/>
              <w:right w:val="single" w:sz="4" w:space="0" w:color="16A34A"/>
            </w:tcBorders>
          </w:tcPr>
          <w:p>
            <w:pPr>
              <w:spacing w:before="80" w:after="80"/>
              <w:jc w:val="center"/>
            </w:pPr>
            <w:r>
              <w:rPr>
                <w:rFonts w:ascii="Calibri" w:hAnsi="Calibri"/>
                <w:b/>
                <w:color w:val="FFFFFF"/>
                <w:sz w:val="26"/>
              </w:rPr>
              <w:t>$10,629.50</w:t>
            </w:r>
          </w:p>
        </w:tc>
        <w:tc>
          <w:tcPr>
            <w:tcW w:type="dxa" w:w="2409"/>
            <w:shd w:val="clear" w:color="auto" w:fill="F59E0B"/>
            <w:tcBorders>
              <w:top w:val="single" w:sz="4" w:space="0" w:color="F59E0B"/>
              <w:left w:val="single" w:sz="4" w:space="0" w:color="F59E0B"/>
              <w:bottom w:val="single" w:sz="4" w:space="0" w:color="F59E0B"/>
              <w:right w:val="single" w:sz="4" w:space="0" w:color="F59E0B"/>
            </w:tcBorders>
          </w:tcPr>
          <w:p>
            <w:pPr>
              <w:spacing w:before="80" w:after="80"/>
              <w:jc w:val="center"/>
            </w:pPr>
            <w:r>
              <w:rPr>
                <w:rFonts w:ascii="Calibri" w:hAnsi="Calibri"/>
                <w:b/>
                <w:color w:val="1E3A8A"/>
                <w:sz w:val="26"/>
              </w:rPr>
              <w:t>$32,567.01</w:t>
            </w:r>
          </w:p>
        </w:tc>
      </w:tr>
      <w:tr>
        <w:tc>
          <w:tcPr>
            <w:tcW w:type="dxa" w:w="2409"/>
            <w:shd w:val="clear" w:color="auto" w:fill="1E3A8A"/>
            <w:tcBorders>
              <w:top w:val="single" w:sz="4" w:space="0" w:color="1E3A8A"/>
              <w:left w:val="single" w:sz="4" w:space="0" w:color="1E3A8A"/>
              <w:bottom w:val="single" w:sz="4" w:space="0" w:color="1E3A8A"/>
              <w:right w:val="single" w:sz="4" w:space="0" w:color="1E3A8A"/>
            </w:tcBorders>
          </w:tcPr>
          <w:p>
            <w:pPr>
              <w:spacing w:before="80" w:after="80"/>
              <w:jc w:val="center"/>
            </w:pPr>
            <w:r>
              <w:rPr>
                <w:rFonts w:ascii="Calibri" w:hAnsi="Calibri"/>
                <w:b w:val="0"/>
                <w:color w:val="FFFFFF"/>
                <w:sz w:val="16"/>
              </w:rPr>
              <w:t>Annual recurring</w:t>
            </w:r>
          </w:p>
        </w:tc>
        <w:tc>
          <w:tcPr>
            <w:tcW w:type="dxa" w:w="2409"/>
            <w:shd w:val="clear" w:color="auto" w:fill="1D4ED8"/>
            <w:tcBorders>
              <w:top w:val="single" w:sz="4" w:space="0" w:color="1D4ED8"/>
              <w:left w:val="single" w:sz="4" w:space="0" w:color="1D4ED8"/>
              <w:bottom w:val="single" w:sz="4" w:space="0" w:color="1D4ED8"/>
              <w:right w:val="single" w:sz="4" w:space="0" w:color="1D4ED8"/>
            </w:tcBorders>
          </w:tcPr>
          <w:p>
            <w:pPr>
              <w:spacing w:before="80" w:after="80"/>
              <w:jc w:val="center"/>
            </w:pPr>
            <w:r>
              <w:rPr>
                <w:rFonts w:ascii="Calibri" w:hAnsi="Calibri"/>
                <w:b w:val="0"/>
                <w:color w:val="FFFFFF"/>
                <w:sz w:val="16"/>
              </w:rPr>
              <w:t>+5% usage</w:t>
            </w:r>
          </w:p>
        </w:tc>
        <w:tc>
          <w:tcPr>
            <w:tcW w:type="dxa" w:w="2409"/>
            <w:shd w:val="clear" w:color="auto" w:fill="16A34A"/>
            <w:tcBorders>
              <w:top w:val="single" w:sz="4" w:space="0" w:color="16A34A"/>
              <w:left w:val="single" w:sz="4" w:space="0" w:color="16A34A"/>
              <w:bottom w:val="single" w:sz="4" w:space="0" w:color="16A34A"/>
              <w:right w:val="single" w:sz="4" w:space="0" w:color="16A34A"/>
            </w:tcBorders>
          </w:tcPr>
          <w:p>
            <w:pPr>
              <w:spacing w:before="80" w:after="80"/>
              <w:jc w:val="center"/>
            </w:pPr>
            <w:r>
              <w:rPr>
                <w:rFonts w:ascii="Calibri" w:hAnsi="Calibri"/>
                <w:b w:val="0"/>
                <w:color w:val="FFFFFF"/>
                <w:sz w:val="16"/>
              </w:rPr>
              <w:t>+5% &amp; −10% discount</w:t>
            </w:r>
          </w:p>
        </w:tc>
        <w:tc>
          <w:tcPr>
            <w:tcW w:type="dxa" w:w="2409"/>
            <w:shd w:val="clear" w:color="auto" w:fill="F59E0B"/>
            <w:tcBorders>
              <w:top w:val="single" w:sz="4" w:space="0" w:color="F59E0B"/>
              <w:left w:val="single" w:sz="4" w:space="0" w:color="F59E0B"/>
              <w:bottom w:val="single" w:sz="4" w:space="0" w:color="F59E0B"/>
              <w:right w:val="single" w:sz="4" w:space="0" w:color="F59E0B"/>
            </w:tcBorders>
          </w:tcPr>
          <w:p>
            <w:pPr>
              <w:spacing w:before="80" w:after="80"/>
              <w:jc w:val="center"/>
            </w:pPr>
            <w:r>
              <w:rPr>
                <w:rFonts w:ascii="Calibri" w:hAnsi="Calibri"/>
                <w:b w:val="0"/>
                <w:color w:val="1E3A8A"/>
                <w:sz w:val="16"/>
              </w:rPr>
              <w:t>Recurring total</w:t>
            </w:r>
          </w:p>
        </w:tc>
      </w:tr>
    </w:tbl>
    <w:p>
      <w:pPr>
        <w:spacing w:after="80"/>
      </w:pPr>
    </w:p>
    <w:tbl>
      <w:tblPr>
        <w:tblW w:type="auto" w:w="0"/>
        <w:jc w:val="left"/>
        <w:tblLook w:firstColumn="1" w:firstRow="1" w:lastColumn="0" w:lastRow="0" w:noHBand="0" w:noVBand="1" w:val="04A0"/>
      </w:tblPr>
      <w:tblGrid>
        <w:gridCol w:w="9972"/>
      </w:tblGrid>
      <w:tr>
        <w:tc>
          <w:tcPr>
            <w:tcW w:type="dxa" w:w="9638"/>
            <w:shd w:val="clear" w:color="auto" w:fill="1E3A8A"/>
            <w:tcBorders>
              <w:top w:val="single" w:sz="4" w:space="0" w:color="1E3A8A"/>
              <w:left w:val="single" w:sz="4" w:space="0" w:color="1E3A8A"/>
              <w:bottom w:val="single" w:sz="4" w:space="0" w:color="1E3A8A"/>
              <w:right w:val="single" w:sz="4" w:space="0" w:color="1E3A8A"/>
            </w:tcBorders>
          </w:tcPr>
          <w:p>
            <w:pPr>
              <w:spacing w:before="60" w:after="60"/>
            </w:pPr>
            <w:r>
              <w:rPr>
                <w:rFonts w:ascii="Calibri" w:hAnsi="Calibri"/>
                <w:b/>
                <w:color w:val="FFFFFF"/>
                <w:sz w:val="20"/>
              </w:rPr>
              <w:t>Monthly Cost by Year</w:t>
            </w:r>
          </w:p>
        </w:tc>
      </w:tr>
    </w:tbl>
    <w:p>
      <w:pPr>
        <w:spacing w:after="40"/>
      </w:pPr>
    </w:p>
    <w:tbl>
      <w:tblPr>
        <w:tblStyle w:val="TableGrid"/>
        <w:tblW w:type="auto" w:w="0"/>
        <w:jc w:val="left"/>
        <w:tblLook w:firstColumn="1" w:firstRow="1" w:lastColumn="0" w:lastRow="0" w:noHBand="0" w:noVBand="1" w:val="04A0"/>
      </w:tblPr>
      <w:tblGrid>
        <w:gridCol w:w="2493"/>
        <w:gridCol w:w="2493"/>
        <w:gridCol w:w="2493"/>
        <w:gridCol w:w="2493"/>
      </w:tblGrid>
      <w:tr>
        <w:trPr>
          <w:trHeight w:val="369"/>
        </w:trPr>
        <w:tc>
          <w:tcPr>
            <w:tcW w:type="dxa" w:w="3402"/>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FFFFF"/>
                <w:sz w:val="18"/>
              </w:rPr>
              <w:t>Cost Item</w:t>
            </w:r>
          </w:p>
        </w:tc>
        <w:tc>
          <w:tcPr>
            <w:tcW w:type="dxa" w:w="2081"/>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Yr 1 Monthly</w:t>
            </w:r>
          </w:p>
        </w:tc>
        <w:tc>
          <w:tcPr>
            <w:tcW w:type="dxa" w:w="2081"/>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Yr 2 Monthly</w:t>
            </w:r>
          </w:p>
        </w:tc>
        <w:tc>
          <w:tcPr>
            <w:tcW w:type="dxa" w:w="2075"/>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Yr 3 Monthly</w:t>
            </w:r>
          </w:p>
        </w:tc>
      </w:tr>
      <w:tr>
        <w:trPr>
          <w:trHeight w:val="369"/>
        </w:trPr>
        <w:tc>
          <w:tcPr>
            <w:tcW w:type="dxa" w:w="340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Replit Core</w:t>
            </w:r>
          </w:p>
        </w:tc>
        <w:tc>
          <w:tcPr>
            <w:tcW w:type="dxa" w:w="208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$18.00</w:t>
            </w:r>
          </w:p>
        </w:tc>
        <w:tc>
          <w:tcPr>
            <w:tcW w:type="dxa" w:w="208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$18.00</w:t>
            </w:r>
          </w:p>
        </w:tc>
        <w:tc>
          <w:tcPr>
            <w:tcW w:type="dxa" w:w="207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$18.00</w:t>
            </w:r>
          </w:p>
        </w:tc>
      </w:tr>
      <w:tr>
        <w:trPr>
          <w:trHeight w:val="369"/>
        </w:trPr>
        <w:tc>
          <w:tcPr>
            <w:tcW w:type="dxa" w:w="340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Reserved VM (1 vCPU / 1 GB)</w:t>
            </w:r>
          </w:p>
        </w:tc>
        <w:tc>
          <w:tcPr>
            <w:tcW w:type="dxa" w:w="208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$10.00</w:t>
            </w:r>
          </w:p>
        </w:tc>
        <w:tc>
          <w:tcPr>
            <w:tcW w:type="dxa" w:w="208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$10.00</w:t>
            </w:r>
          </w:p>
        </w:tc>
        <w:tc>
          <w:tcPr>
            <w:tcW w:type="dxa" w:w="207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$10.00</w:t>
            </w:r>
          </w:p>
        </w:tc>
      </w:tr>
      <w:tr>
        <w:trPr>
          <w:trHeight w:val="369"/>
        </w:trPr>
        <w:tc>
          <w:tcPr>
            <w:tcW w:type="dxa" w:w="340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Termii SMS</w:t>
            </w:r>
          </w:p>
        </w:tc>
        <w:tc>
          <w:tcPr>
            <w:tcW w:type="dxa" w:w="208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$463.36</w:t>
            </w:r>
          </w:p>
        </w:tc>
        <w:tc>
          <w:tcPr>
            <w:tcW w:type="dxa" w:w="208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$486.53</w:t>
            </w:r>
          </w:p>
        </w:tc>
        <w:tc>
          <w:tcPr>
            <w:tcW w:type="dxa" w:w="207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$459.77</w:t>
            </w:r>
          </w:p>
        </w:tc>
      </w:tr>
      <w:tr>
        <w:trPr>
          <w:trHeight w:val="369"/>
        </w:trPr>
        <w:tc>
          <w:tcPr>
            <w:tcW w:type="dxa" w:w="340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Termii Email</w:t>
            </w:r>
          </w:p>
        </w:tc>
        <w:tc>
          <w:tcPr>
            <w:tcW w:type="dxa" w:w="208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$32.00</w:t>
            </w:r>
          </w:p>
        </w:tc>
        <w:tc>
          <w:tcPr>
            <w:tcW w:type="dxa" w:w="208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$33.60</w:t>
            </w:r>
          </w:p>
        </w:tc>
        <w:tc>
          <w:tcPr>
            <w:tcW w:type="dxa" w:w="207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$31.75</w:t>
            </w:r>
          </w:p>
        </w:tc>
      </w:tr>
      <w:tr>
        <w:trPr>
          <w:trHeight w:val="369"/>
        </w:trPr>
        <w:tc>
          <w:tcPr>
            <w:tcW w:type="dxa" w:w="340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Termii WhatsApp</w:t>
            </w:r>
          </w:p>
        </w:tc>
        <w:tc>
          <w:tcPr>
            <w:tcW w:type="dxa" w:w="208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$224.00</w:t>
            </w:r>
          </w:p>
        </w:tc>
        <w:tc>
          <w:tcPr>
            <w:tcW w:type="dxa" w:w="208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$235.20</w:t>
            </w:r>
          </w:p>
        </w:tc>
        <w:tc>
          <w:tcPr>
            <w:tcW w:type="dxa" w:w="207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$222.26</w:t>
            </w:r>
          </w:p>
        </w:tc>
      </w:tr>
      <w:tr>
        <w:trPr>
          <w:trHeight w:val="369"/>
        </w:trPr>
        <w:tc>
          <w:tcPr>
            <w:tcW w:type="dxa" w:w="340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PAYG Buffer (20%)</w:t>
            </w:r>
          </w:p>
        </w:tc>
        <w:tc>
          <w:tcPr>
            <w:tcW w:type="dxa" w:w="208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$143.87</w:t>
            </w:r>
          </w:p>
        </w:tc>
        <w:tc>
          <w:tcPr>
            <w:tcW w:type="dxa" w:w="208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$151.07</w:t>
            </w:r>
          </w:p>
        </w:tc>
        <w:tc>
          <w:tcPr>
            <w:tcW w:type="dxa" w:w="207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$142.76</w:t>
            </w:r>
          </w:p>
        </w:tc>
      </w:tr>
      <w:tr>
        <w:trPr>
          <w:trHeight w:val="369"/>
        </w:trPr>
        <w:tc>
          <w:tcPr>
            <w:tcW w:type="dxa" w:w="3402"/>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Custom domain</w:t>
            </w:r>
          </w:p>
        </w:tc>
        <w:tc>
          <w:tcPr>
            <w:tcW w:type="dxa" w:w="208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$1.25</w:t>
            </w:r>
          </w:p>
        </w:tc>
        <w:tc>
          <w:tcPr>
            <w:tcW w:type="dxa" w:w="208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$1.25</w:t>
            </w:r>
          </w:p>
        </w:tc>
        <w:tc>
          <w:tcPr>
            <w:tcW w:type="dxa" w:w="207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$1.25</w:t>
            </w:r>
          </w:p>
        </w:tc>
      </w:tr>
      <w:tr>
        <w:trPr>
          <w:trHeight w:val="369"/>
        </w:trPr>
        <w:tc>
          <w:tcPr>
            <w:tcW w:type="dxa" w:w="3402"/>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Monthly Total</w:t>
            </w:r>
          </w:p>
        </w:tc>
        <w:tc>
          <w:tcPr>
            <w:tcW w:type="dxa" w:w="208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$892.48</w:t>
            </w:r>
          </w:p>
        </w:tc>
        <w:tc>
          <w:tcPr>
            <w:tcW w:type="dxa" w:w="208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$935.64</w:t>
            </w:r>
          </w:p>
        </w:tc>
        <w:tc>
          <w:tcPr>
            <w:tcW w:type="dxa" w:w="207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$885.79</w:t>
            </w:r>
          </w:p>
        </w:tc>
      </w:tr>
      <w:tr>
        <w:trPr>
          <w:trHeight w:val="369"/>
        </w:trPr>
        <w:tc>
          <w:tcPr>
            <w:tcW w:type="dxa" w:w="3402"/>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F3F4F6"/>
          </w:tcPr>
          <w:p>
            <w:pPr>
              <w:spacing w:before="20" w:after="20"/>
              <w:jc w:val="left"/>
            </w:pPr>
            <w:r>
              <w:rPr>
                <w:rFonts w:ascii="Calibri" w:hAnsi="Calibri"/>
                <w:b/>
                <w:color w:val="111827"/>
                <w:sz w:val="18"/>
              </w:rPr>
              <w:t>Annual Total</w:t>
            </w:r>
          </w:p>
        </w:tc>
        <w:tc>
          <w:tcPr>
            <w:tcW w:type="dxa" w:w="2081"/>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F3F4F6"/>
          </w:tcPr>
          <w:p>
            <w:pPr>
              <w:spacing w:before="20" w:after="20"/>
              <w:jc w:val="center"/>
            </w:pPr>
            <w:r>
              <w:rPr>
                <w:rFonts w:ascii="Calibri" w:hAnsi="Calibri"/>
                <w:b/>
                <w:color w:val="111827"/>
                <w:sz w:val="18"/>
              </w:rPr>
              <w:t>$10,709.78</w:t>
            </w:r>
          </w:p>
        </w:tc>
        <w:tc>
          <w:tcPr>
            <w:tcW w:type="dxa" w:w="2081"/>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F3F4F6"/>
          </w:tcPr>
          <w:p>
            <w:pPr>
              <w:spacing w:before="20" w:after="20"/>
              <w:jc w:val="center"/>
            </w:pPr>
            <w:r>
              <w:rPr>
                <w:rFonts w:ascii="Calibri" w:hAnsi="Calibri"/>
                <w:b/>
                <w:color w:val="111827"/>
                <w:sz w:val="18"/>
              </w:rPr>
              <w:t>$11,227.72</w:t>
            </w:r>
          </w:p>
        </w:tc>
        <w:tc>
          <w:tcPr>
            <w:tcW w:type="dxa" w:w="2075"/>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F3F4F6"/>
          </w:tcPr>
          <w:p>
            <w:pPr>
              <w:spacing w:before="20" w:after="20"/>
              <w:jc w:val="center"/>
            </w:pPr>
            <w:r>
              <w:rPr>
                <w:rFonts w:ascii="Calibri" w:hAnsi="Calibri"/>
                <w:b/>
                <w:color w:val="111827"/>
                <w:sz w:val="18"/>
              </w:rPr>
              <w:t>$10,629.50</w:t>
            </w:r>
          </w:p>
        </w:tc>
      </w:tr>
    </w:tbl>
    <w:p>
      <w:pPr>
        <w:spacing w:after="60"/>
      </w:pPr>
    </w:p>
    <w:tbl>
      <w:tblPr>
        <w:tblW w:type="auto" w:w="0"/>
        <w:jc w:val="left"/>
        <w:tblLook w:firstColumn="1" w:firstRow="1" w:lastColumn="0" w:lastRow="0" w:noHBand="0" w:noVBand="1" w:val="04A0"/>
      </w:tblPr>
      <w:tblGrid>
        <w:gridCol w:w="9972"/>
      </w:tblGrid>
      <w:tr>
        <w:tc>
          <w:tcPr>
            <w:tcW w:type="dxa" w:w="9638"/>
            <w:shd w:val="clear" w:color="auto" w:fill="1E3A8A"/>
            <w:tcBorders>
              <w:top w:val="single" w:sz="4" w:space="0" w:color="1E3A8A"/>
              <w:left w:val="single" w:sz="4" w:space="0" w:color="1E3A8A"/>
              <w:bottom w:val="single" w:sz="4" w:space="0" w:color="1E3A8A"/>
              <w:right w:val="single" w:sz="4" w:space="0" w:color="1E3A8A"/>
            </w:tcBorders>
          </w:tcPr>
          <w:p>
            <w:pPr>
              <w:spacing w:before="60" w:after="60"/>
            </w:pPr>
            <w:r>
              <w:rPr>
                <w:rFonts w:ascii="Calibri" w:hAnsi="Calibri"/>
                <w:b/>
                <w:color w:val="FFFFFF"/>
                <w:sz w:val="20"/>
              </w:rPr>
              <w:t>Annual Overview — 3-Year Summary</w:t>
            </w:r>
          </w:p>
        </w:tc>
      </w:tr>
    </w:tbl>
    <w:p>
      <w:pPr>
        <w:spacing w:after="40"/>
      </w:pPr>
    </w:p>
    <w:tbl>
      <w:tblPr>
        <w:tblStyle w:val="TableGrid"/>
        <w:tblW w:type="auto" w:w="0"/>
        <w:jc w:val="left"/>
        <w:tblLook w:firstColumn="1" w:firstRow="1" w:lastColumn="0" w:lastRow="0" w:noHBand="0" w:noVBand="1" w:val="04A0"/>
      </w:tblPr>
      <w:tblGrid>
        <w:gridCol w:w="1425"/>
        <w:gridCol w:w="1425"/>
        <w:gridCol w:w="1425"/>
        <w:gridCol w:w="1425"/>
        <w:gridCol w:w="1425"/>
        <w:gridCol w:w="1425"/>
        <w:gridCol w:w="1425"/>
      </w:tblGrid>
      <w:tr>
        <w:trPr>
          <w:trHeight w:val="369"/>
        </w:trPr>
        <w:tc>
          <w:tcPr>
            <w:tcW w:type="dxa" w:w="1134"/>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FFFFF"/>
                <w:sz w:val="18"/>
              </w:rPr>
              <w:t>Year</w:t>
            </w:r>
          </w:p>
        </w:tc>
        <w:tc>
          <w:tcPr>
            <w:tcW w:type="dxa" w:w="1361"/>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Platform</w:t>
            </w:r>
          </w:p>
        </w:tc>
        <w:tc>
          <w:tcPr>
            <w:tcW w:type="dxa" w:w="1814"/>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Termii (all)</w:t>
            </w:r>
          </w:p>
        </w:tc>
        <w:tc>
          <w:tcPr>
            <w:tcW w:type="dxa" w:w="1191"/>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Buffer</w:t>
            </w:r>
          </w:p>
        </w:tc>
        <w:tc>
          <w:tcPr>
            <w:tcW w:type="dxa" w:w="1077"/>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Domain</w:t>
            </w:r>
          </w:p>
        </w:tc>
        <w:tc>
          <w:tcPr>
            <w:tcW w:type="dxa" w:w="1417"/>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Annual</w:t>
            </w:r>
          </w:p>
        </w:tc>
        <w:tc>
          <w:tcPr>
            <w:tcW w:type="dxa" w:w="1644"/>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Cumulative</w:t>
            </w:r>
          </w:p>
        </w:tc>
      </w:tr>
      <w:tr>
        <w:trPr>
          <w:trHeight w:val="369"/>
        </w:trPr>
        <w:tc>
          <w:tcPr>
            <w:tcW w:type="dxa" w:w="113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Year 1</w:t>
            </w:r>
          </w:p>
        </w:tc>
        <w:tc>
          <w:tcPr>
            <w:tcW w:type="dxa" w:w="136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$336.00</w:t>
            </w:r>
          </w:p>
        </w:tc>
        <w:tc>
          <w:tcPr>
            <w:tcW w:type="dxa" w:w="181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$8,632.32</w:t>
            </w:r>
          </w:p>
        </w:tc>
        <w:tc>
          <w:tcPr>
            <w:tcW w:type="dxa" w:w="119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$1,726.46</w:t>
            </w:r>
          </w:p>
        </w:tc>
        <w:tc>
          <w:tcPr>
            <w:tcW w:type="dxa" w:w="107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$15.00</w:t>
            </w:r>
          </w:p>
        </w:tc>
        <w:tc>
          <w:tcPr>
            <w:tcW w:type="dxa" w:w="141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$10,709.78</w:t>
            </w:r>
          </w:p>
        </w:tc>
        <w:tc>
          <w:tcPr>
            <w:tcW w:type="dxa" w:w="164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$10,709.78</w:t>
            </w:r>
          </w:p>
        </w:tc>
      </w:tr>
      <w:tr>
        <w:trPr>
          <w:trHeight w:val="369"/>
        </w:trPr>
        <w:tc>
          <w:tcPr>
            <w:tcW w:type="dxa" w:w="113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Year 2</w:t>
            </w:r>
          </w:p>
        </w:tc>
        <w:tc>
          <w:tcPr>
            <w:tcW w:type="dxa" w:w="136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$336.00</w:t>
            </w:r>
          </w:p>
        </w:tc>
        <w:tc>
          <w:tcPr>
            <w:tcW w:type="dxa" w:w="181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$9,063.94</w:t>
            </w:r>
          </w:p>
        </w:tc>
        <w:tc>
          <w:tcPr>
            <w:tcW w:type="dxa" w:w="119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$1,812.79</w:t>
            </w:r>
          </w:p>
        </w:tc>
        <w:tc>
          <w:tcPr>
            <w:tcW w:type="dxa" w:w="107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$15.00</w:t>
            </w:r>
          </w:p>
        </w:tc>
        <w:tc>
          <w:tcPr>
            <w:tcW w:type="dxa" w:w="1417"/>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$11,227.72</w:t>
            </w:r>
          </w:p>
        </w:tc>
        <w:tc>
          <w:tcPr>
            <w:tcW w:type="dxa" w:w="164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$21,937.51</w:t>
            </w:r>
          </w:p>
        </w:tc>
      </w:tr>
      <w:tr>
        <w:trPr>
          <w:trHeight w:val="369"/>
        </w:trPr>
        <w:tc>
          <w:tcPr>
            <w:tcW w:type="dxa" w:w="113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Year 3</w:t>
            </w:r>
          </w:p>
        </w:tc>
        <w:tc>
          <w:tcPr>
            <w:tcW w:type="dxa" w:w="136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$336.00</w:t>
            </w:r>
          </w:p>
        </w:tc>
        <w:tc>
          <w:tcPr>
            <w:tcW w:type="dxa" w:w="181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$8,565.42</w:t>
            </w:r>
          </w:p>
        </w:tc>
        <w:tc>
          <w:tcPr>
            <w:tcW w:type="dxa" w:w="119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$1,713.08</w:t>
            </w:r>
          </w:p>
        </w:tc>
        <w:tc>
          <w:tcPr>
            <w:tcW w:type="dxa" w:w="107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$15.00</w:t>
            </w:r>
          </w:p>
        </w:tc>
        <w:tc>
          <w:tcPr>
            <w:tcW w:type="dxa" w:w="1417"/>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$10,629.50</w:t>
            </w:r>
          </w:p>
        </w:tc>
        <w:tc>
          <w:tcPr>
            <w:tcW w:type="dxa" w:w="164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$32,567.01</w:t>
            </w:r>
          </w:p>
        </w:tc>
      </w:tr>
      <w:tr>
        <w:trPr>
          <w:trHeight w:val="369"/>
        </w:trPr>
        <w:tc>
          <w:tcPr>
            <w:tcW w:type="dxa" w:w="1134"/>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59E0B"/>
          </w:tcPr>
          <w:p>
            <w:pPr>
              <w:spacing w:before="20" w:after="20"/>
              <w:jc w:val="left"/>
            </w:pPr>
            <w:r>
              <w:rPr>
                <w:rFonts w:ascii="Calibri" w:hAnsi="Calibri"/>
                <w:b/>
                <w:color w:val="1E3A8A"/>
                <w:sz w:val="18"/>
              </w:rPr>
              <w:t>3-YEAR TOTAL</w:t>
            </w:r>
          </w:p>
        </w:tc>
        <w:tc>
          <w:tcPr>
            <w:tcW w:type="dxa" w:w="1361"/>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59E0B"/>
          </w:tcPr>
          <w:p>
            <w:pPr>
              <w:spacing w:before="20" w:after="20"/>
              <w:jc w:val="center"/>
            </w:pPr>
            <w:r>
              <w:rPr>
                <w:rFonts w:ascii="Calibri" w:hAnsi="Calibri"/>
                <w:b/>
                <w:color w:val="1E3A8A"/>
                <w:sz w:val="18"/>
              </w:rPr>
              <w:t>$1,008.00</w:t>
            </w:r>
          </w:p>
        </w:tc>
        <w:tc>
          <w:tcPr>
            <w:tcW w:type="dxa" w:w="1814"/>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59E0B"/>
          </w:tcPr>
          <w:p>
            <w:pPr>
              <w:spacing w:before="20" w:after="20"/>
              <w:jc w:val="center"/>
            </w:pPr>
            <w:r>
              <w:rPr>
                <w:rFonts w:ascii="Calibri" w:hAnsi="Calibri"/>
                <w:b/>
                <w:color w:val="1E3A8A"/>
                <w:sz w:val="18"/>
              </w:rPr>
              <w:t>$26,261.68</w:t>
            </w:r>
          </w:p>
        </w:tc>
        <w:tc>
          <w:tcPr>
            <w:tcW w:type="dxa" w:w="1191"/>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59E0B"/>
          </w:tcPr>
          <w:p>
            <w:pPr>
              <w:spacing w:before="20" w:after="20"/>
              <w:jc w:val="center"/>
            </w:pPr>
            <w:r>
              <w:rPr>
                <w:rFonts w:ascii="Calibri" w:hAnsi="Calibri"/>
                <w:b/>
                <w:color w:val="1E3A8A"/>
                <w:sz w:val="18"/>
              </w:rPr>
              <w:t>$5,252.34</w:t>
            </w:r>
          </w:p>
        </w:tc>
        <w:tc>
          <w:tcPr>
            <w:tcW w:type="dxa" w:w="1077"/>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59E0B"/>
          </w:tcPr>
          <w:p>
            <w:pPr>
              <w:spacing w:before="20" w:after="20"/>
              <w:jc w:val="center"/>
            </w:pPr>
            <w:r>
              <w:rPr>
                <w:rFonts w:ascii="Calibri" w:hAnsi="Calibri"/>
                <w:b/>
                <w:color w:val="1E3A8A"/>
                <w:sz w:val="18"/>
              </w:rPr>
              <w:t>$45.00</w:t>
            </w:r>
          </w:p>
        </w:tc>
        <w:tc>
          <w:tcPr>
            <w:tcW w:type="dxa" w:w="1417"/>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59E0B"/>
          </w:tcPr>
          <w:p>
            <w:pPr>
              <w:spacing w:before="20" w:after="20"/>
              <w:jc w:val="center"/>
            </w:pPr>
            <w:r>
              <w:rPr>
                <w:rFonts w:ascii="Calibri" w:hAnsi="Calibri"/>
                <w:b/>
                <w:color w:val="1E3A8A"/>
                <w:sz w:val="18"/>
              </w:rPr>
              <w:t>$32,567.01</w:t>
            </w:r>
          </w:p>
        </w:tc>
        <w:tc>
          <w:tcPr>
            <w:tcW w:type="dxa" w:w="1644"/>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59E0B"/>
          </w:tcPr>
          <w:p>
            <w:pPr>
              <w:spacing w:before="20" w:after="20"/>
              <w:jc w:val="center"/>
            </w:pPr>
            <w:r>
              <w:rPr>
                <w:rFonts w:ascii="Calibri" w:hAnsi="Calibri"/>
                <w:b/>
                <w:color w:val="1E3A8A"/>
                <w:sz w:val="18"/>
              </w:rPr>
              <w:t>$32,567.01</w:t>
            </w:r>
          </w:p>
        </w:tc>
      </w:tr>
    </w:tbl>
    <w:p>
      <w:pPr>
        <w:spacing w:after="60"/>
      </w:pPr>
    </w:p>
    <w:p>
      <w:pPr>
        <w:spacing w:after="60" w:before="0"/>
      </w:pPr>
      <w:r>
        <w:rPr>
          <w:rFonts w:ascii="Calibri" w:hAnsi="Calibri"/>
          <w:i/>
          <w:color w:val="6B7280"/>
          <w:sz w:val="16"/>
        </w:rPr>
        <w:t>3-year recurring total: $32,567.01. Including the Year 1 one-time upfront pre-load of $1,726.46, the full 3-year outlay is $34,293.47 (₦55,555,429 est.).</w:t>
      </w:r>
    </w:p>
    <w:p>
      <w:r>
        <w:br w:type="page"/>
      </w:r>
    </w:p>
    <w:p>
      <w:pPr>
        <w:spacing w:before="280" w:after="80"/>
      </w:pPr>
      <w:r>
        <w:rPr>
          <w:rFonts w:ascii="Calibri" w:hAnsi="Calibri"/>
          <w:b/>
          <w:color w:val="1E3A8A"/>
          <w:sz w:val="32"/>
        </w:rPr>
        <w:t>5.  Deployment Options — Autoscale vs Reserved VM</w:t>
      </w:r>
    </w:p>
    <w:p>
      <w:pPr>
        <w:spacing w:after="80" w:before="0"/>
      </w:pPr>
      <w:r>
        <w:rPr>
          <w:rFonts w:ascii="Calibri" w:hAnsi="Calibri"/>
          <w:i w:val="0"/>
          <w:color w:val="111827"/>
          <w:sz w:val="19"/>
        </w:rPr>
        <w:t>This report is costed on a Reserved VM (fixed price, zero billing surprises). The table below compares both options so the finance team can make an informed choice.</w:t>
      </w:r>
    </w:p>
    <w:p>
      <w:pPr>
        <w:spacing w:after="60"/>
      </w:pPr>
    </w:p>
    <w:tbl>
      <w:tblPr>
        <w:tblStyle w:val="TableGrid"/>
        <w:tblW w:type="auto" w:w="0"/>
        <w:jc w:val="left"/>
        <w:tblLook w:firstColumn="1" w:firstRow="1" w:lastColumn="0" w:lastRow="0" w:noHBand="0" w:noVBand="1" w:val="04A0"/>
      </w:tblPr>
      <w:tblGrid>
        <w:gridCol w:w="3324"/>
        <w:gridCol w:w="3324"/>
        <w:gridCol w:w="3324"/>
      </w:tblGrid>
      <w:tr>
        <w:trPr>
          <w:trHeight w:val="369"/>
        </w:trPr>
        <w:tc>
          <w:tcPr>
            <w:tcW w:type="dxa" w:w="2551"/>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FFFFF"/>
                <w:sz w:val="18"/>
              </w:rPr>
              <w:t>Feature</w:t>
            </w:r>
          </w:p>
        </w:tc>
        <w:tc>
          <w:tcPr>
            <w:tcW w:type="dxa" w:w="3515"/>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 Autoscale (PAYG)</w:t>
            </w:r>
          </w:p>
        </w:tc>
        <w:tc>
          <w:tcPr>
            <w:tcW w:type="dxa" w:w="3572"/>
            <w:shd w:val="clear" w:color="auto" w:fill="1E3A8A"/>
            <w:tcBorders>
              <w:top w:val="single" w:sz="4" w:space="0" w:color="D1D5DB"/>
              <w:left w:val="single" w:sz="4" w:space="0" w:color="D1D5DB"/>
              <w:bottom w:val="single" w:sz="4" w:space="0" w:color="D1D5DB"/>
              <w:right w:val="single" w:sz="4" w:space="0" w:color="D1D5DB"/>
            </w:tcBorders>
            <w:vAlign w:val="center"/>
            <w:shd w:val="clear" w:color="auto" w:fill="16A34A"/>
            <w:shd w:val="clear" w:color="auto" w:fill="DCFCE7"/>
            <w:shd w:val="clear" w:color="auto" w:fill="16A34A"/>
          </w:tcPr>
          <w:p>
            <w:pPr>
              <w:spacing w:before="20" w:after="20"/>
              <w:jc w:val="center"/>
            </w:pPr>
            <w:r>
              <w:rPr>
                <w:rFonts w:ascii="Calibri" w:hAnsi="Calibri"/>
                <w:b/>
                <w:color w:val="FFFFFF"/>
                <w:sz w:val="18"/>
              </w:rPr>
              <w:t>🖥  Reserved VM  ✓ Used here</w:t>
            </w:r>
          </w:p>
        </w:tc>
      </w:tr>
      <w:tr>
        <w:trPr>
          <w:trHeight w:val="369"/>
        </w:trPr>
        <w:tc>
          <w:tcPr>
            <w:tcW w:type="dxa" w:w="255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Billing model</w:t>
            </w:r>
          </w:p>
        </w:tc>
        <w:tc>
          <w:tcPr>
            <w:tcW w:type="dxa" w:w="351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Variable — per compute second</w:t>
            </w:r>
          </w:p>
        </w:tc>
        <w:tc>
          <w:tcPr>
            <w:tcW w:type="dxa" w:w="3572"/>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11827"/>
                <w:sz w:val="18"/>
              </w:rPr>
              <w:t>Fixed monthly fee</w:t>
            </w:r>
          </w:p>
        </w:tc>
      </w:tr>
      <w:tr>
        <w:trPr>
          <w:trHeight w:val="369"/>
        </w:trPr>
        <w:tc>
          <w:tcPr>
            <w:tcW w:type="dxa" w:w="255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Est. platform/month</w:t>
            </w:r>
          </w:p>
        </w:tc>
        <w:tc>
          <w:tcPr>
            <w:tcW w:type="dxa" w:w="351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~$23–$32</w:t>
            </w:r>
          </w:p>
        </w:tc>
        <w:tc>
          <w:tcPr>
            <w:tcW w:type="dxa" w:w="3572"/>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11827"/>
                <w:sz w:val="18"/>
              </w:rPr>
              <w:t>$28.00</w:t>
            </w:r>
          </w:p>
        </w:tc>
      </w:tr>
      <w:tr>
        <w:trPr>
          <w:trHeight w:val="369"/>
        </w:trPr>
        <w:tc>
          <w:tcPr>
            <w:tcW w:type="dxa" w:w="255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Est. platform/year</w:t>
            </w:r>
          </w:p>
        </w:tc>
        <w:tc>
          <w:tcPr>
            <w:tcW w:type="dxa" w:w="351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~$276–$384</w:t>
            </w:r>
          </w:p>
        </w:tc>
        <w:tc>
          <w:tcPr>
            <w:tcW w:type="dxa" w:w="3572"/>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11827"/>
                <w:sz w:val="18"/>
              </w:rPr>
              <w:t>$336.00</w:t>
            </w:r>
          </w:p>
        </w:tc>
      </w:tr>
      <w:tr>
        <w:trPr>
          <w:trHeight w:val="369"/>
        </w:trPr>
        <w:tc>
          <w:tcPr>
            <w:tcW w:type="dxa" w:w="255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Handles 2,000 users?</w:t>
            </w:r>
          </w:p>
        </w:tc>
        <w:tc>
          <w:tcPr>
            <w:tcW w:type="dxa" w:w="351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Yes — auto-scales on demand</w:t>
            </w:r>
          </w:p>
        </w:tc>
        <w:tc>
          <w:tcPr>
            <w:tcW w:type="dxa" w:w="3572"/>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11827"/>
                <w:sz w:val="18"/>
              </w:rPr>
              <w:t>Yes — 1 vCPU handles ~500 concurrent ✓</w:t>
            </w:r>
          </w:p>
        </w:tc>
      </w:tr>
      <w:tr>
        <w:trPr>
          <w:trHeight w:val="369"/>
        </w:trPr>
        <w:tc>
          <w:tcPr>
            <w:tcW w:type="dxa" w:w="255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Sunday service peak</w:t>
            </w:r>
          </w:p>
        </w:tc>
        <w:tc>
          <w:tcPr>
            <w:tcW w:type="dxa" w:w="351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Scales instantly, no config</w:t>
            </w:r>
          </w:p>
        </w:tc>
        <w:tc>
          <w:tcPr>
            <w:tcW w:type="dxa" w:w="3572"/>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11827"/>
                <w:sz w:val="18"/>
              </w:rPr>
              <w:t>Pre-sized for expected peak load</w:t>
            </w:r>
          </w:p>
        </w:tc>
      </w:tr>
      <w:tr>
        <w:trPr>
          <w:trHeight w:val="369"/>
        </w:trPr>
        <w:tc>
          <w:tcPr>
            <w:tcW w:type="dxa" w:w="255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Quiet weekdays</w:t>
            </w:r>
          </w:p>
        </w:tc>
        <w:tc>
          <w:tcPr>
            <w:tcW w:type="dxa" w:w="351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Near-zero billing — idle ≈ free</w:t>
            </w:r>
          </w:p>
        </w:tc>
        <w:tc>
          <w:tcPr>
            <w:tcW w:type="dxa" w:w="3572"/>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11827"/>
                <w:sz w:val="18"/>
              </w:rPr>
              <w:t>Full cost even when idle</w:t>
            </w:r>
          </w:p>
        </w:tc>
      </w:tr>
      <w:tr>
        <w:trPr>
          <w:trHeight w:val="369"/>
        </w:trPr>
        <w:tc>
          <w:tcPr>
            <w:tcW w:type="dxa" w:w="255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Predictability</w:t>
            </w:r>
          </w:p>
        </w:tc>
        <w:tc>
          <w:tcPr>
            <w:tcW w:type="dxa" w:w="351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Variable (±30% estimate)</w:t>
            </w:r>
          </w:p>
        </w:tc>
        <w:tc>
          <w:tcPr>
            <w:tcW w:type="dxa" w:w="3572"/>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11827"/>
                <w:sz w:val="18"/>
              </w:rPr>
              <w:t>100% predictable — zero surprises ✓</w:t>
            </w:r>
          </w:p>
        </w:tc>
      </w:tr>
      <w:tr>
        <w:trPr>
          <w:trHeight w:val="369"/>
        </w:trPr>
        <w:tc>
          <w:tcPr>
            <w:tcW w:type="dxa" w:w="255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Database included?</w:t>
            </w:r>
          </w:p>
        </w:tc>
        <w:tc>
          <w:tcPr>
            <w:tcW w:type="dxa" w:w="351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Yes (Core — PostgreSQL) ✓</w:t>
            </w:r>
          </w:p>
        </w:tc>
        <w:tc>
          <w:tcPr>
            <w:tcW w:type="dxa" w:w="3572"/>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11827"/>
                <w:sz w:val="18"/>
              </w:rPr>
              <w:t>Yes (Core — PostgreSQL) ✓</w:t>
            </w:r>
          </w:p>
        </w:tc>
      </w:tr>
      <w:tr>
        <w:trPr>
          <w:trHeight w:val="369"/>
        </w:trPr>
        <w:tc>
          <w:tcPr>
            <w:tcW w:type="dxa" w:w="255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Storage included?</w:t>
            </w:r>
          </w:p>
        </w:tc>
        <w:tc>
          <w:tcPr>
            <w:tcW w:type="dxa" w:w="351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Yes — 50 GB ✓</w:t>
            </w:r>
          </w:p>
        </w:tc>
        <w:tc>
          <w:tcPr>
            <w:tcW w:type="dxa" w:w="3572"/>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11827"/>
                <w:sz w:val="18"/>
              </w:rPr>
              <w:t>Yes — 50 GB ✓</w:t>
            </w:r>
          </w:p>
        </w:tc>
      </w:tr>
      <w:tr>
        <w:trPr>
          <w:trHeight w:val="369"/>
        </w:trPr>
        <w:tc>
          <w:tcPr>
            <w:tcW w:type="dxa" w:w="2551"/>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Best for</w:t>
            </w:r>
          </w:p>
        </w:tc>
        <w:tc>
          <w:tcPr>
            <w:tcW w:type="dxa" w:w="351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Teams that track usage dashboards</w:t>
            </w:r>
          </w:p>
        </w:tc>
        <w:tc>
          <w:tcPr>
            <w:tcW w:type="dxa" w:w="3572"/>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11827"/>
                <w:sz w:val="18"/>
              </w:rPr>
              <w:t>Church finance teams preferring fixed bills ✓</w:t>
            </w:r>
          </w:p>
        </w:tc>
      </w:tr>
      <w:tr>
        <w:trPr>
          <w:trHeight w:val="369"/>
        </w:trPr>
        <w:tc>
          <w:tcPr>
            <w:tcW w:type="dxa" w:w="2551"/>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Recommended?</w:t>
            </w:r>
          </w:p>
        </w:tc>
        <w:tc>
          <w:tcPr>
            <w:tcW w:type="dxa" w:w="351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 If you embrace monitoring</w:t>
            </w:r>
          </w:p>
        </w:tc>
        <w:tc>
          <w:tcPr>
            <w:tcW w:type="dxa" w:w="3572"/>
            <w:shd w:val="clear" w:color="auto" w:fill="FFFFFF"/>
            <w:tcBorders>
              <w:top w:val="single" w:sz="4" w:space="0" w:color="D1D5DB"/>
              <w:left w:val="single" w:sz="4" w:space="0" w:color="D1D5DB"/>
              <w:bottom w:val="single" w:sz="4" w:space="0" w:color="D1D5DB"/>
              <w:right w:val="single" w:sz="4" w:space="0" w:color="D1D5DB"/>
            </w:tcBorders>
            <w:vAlign w:val="center"/>
            <w:shd w:val="clear" w:color="auto" w:fill="DCFCE7"/>
          </w:tcPr>
          <w:p>
            <w:pPr>
              <w:spacing w:before="20" w:after="20"/>
              <w:jc w:val="center"/>
            </w:pPr>
            <w:r>
              <w:rPr>
                <w:rFonts w:ascii="Calibri" w:hAnsi="Calibri"/>
                <w:b w:val="0"/>
                <w:color w:val="111827"/>
                <w:sz w:val="18"/>
              </w:rPr>
              <w:t>✓ Recommended for church budgets</w:t>
            </w:r>
          </w:p>
        </w:tc>
      </w:tr>
    </w:tbl>
    <w:p>
      <w:pPr>
        <w:spacing w:after="60"/>
      </w:pPr>
    </w:p>
    <w:p>
      <w:pPr>
        <w:spacing w:after="60" w:before="0"/>
      </w:pPr>
      <w:r>
        <w:rPr>
          <w:rFonts w:ascii="Calibri" w:hAnsi="Calibri"/>
          <w:i/>
          <w:color w:val="6B7280"/>
          <w:sz w:val="16"/>
        </w:rPr>
        <w:t>💡  Potential annual saving by choosing Autoscale: $60–$120/year. For a church that values predictability over savings, the Reserved VM is the right default choice.</w:t>
      </w:r>
    </w:p>
    <w:p>
      <w:pPr>
        <w:spacing w:after="120"/>
      </w:pPr>
    </w:p>
    <w:p>
      <w:pPr>
        <w:spacing w:before="280" w:after="80"/>
      </w:pPr>
      <w:r>
        <w:rPr>
          <w:rFonts w:ascii="Calibri" w:hAnsi="Calibri"/>
          <w:b/>
          <w:color w:val="1E3A8A"/>
          <w:sz w:val="32"/>
        </w:rPr>
        <w:t>6.  Naira (₦) Cost Conversion</w:t>
      </w:r>
    </w:p>
    <w:p>
      <w:pPr>
        <w:spacing w:after="80" w:before="0"/>
      </w:pPr>
      <w:r>
        <w:rPr>
          <w:rFonts w:ascii="Calibri" w:hAnsi="Calibri"/>
          <w:i w:val="0"/>
          <w:color w:val="111827"/>
          <w:sz w:val="19"/>
        </w:rPr>
        <w:t>Primary figures are in USD. The table below converts key totals to Nigerian Naira at ₦1,620 per $1. Update the rate to the current CBN figure before submitting budgets.</w:t>
      </w:r>
    </w:p>
    <w:p>
      <w:pPr>
        <w:spacing w:after="60"/>
      </w:pPr>
    </w:p>
    <w:tbl>
      <w:tblPr>
        <w:tblStyle w:val="TableGrid"/>
        <w:tblW w:type="auto" w:w="0"/>
        <w:jc w:val="left"/>
        <w:tblLook w:firstColumn="1" w:firstRow="1" w:lastColumn="0" w:lastRow="0" w:noHBand="0" w:noVBand="1" w:val="04A0"/>
      </w:tblPr>
      <w:tblGrid>
        <w:gridCol w:w="3324"/>
        <w:gridCol w:w="3324"/>
        <w:gridCol w:w="3324"/>
      </w:tblGrid>
      <w:tr>
        <w:trPr>
          <w:trHeight w:val="369"/>
        </w:trPr>
        <w:tc>
          <w:tcPr>
            <w:tcW w:type="dxa" w:w="3969"/>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FFFFF"/>
                <w:sz w:val="18"/>
              </w:rPr>
              <w:t>Cost Item</w:t>
            </w:r>
          </w:p>
        </w:tc>
        <w:tc>
          <w:tcPr>
            <w:tcW w:type="dxa" w:w="1984"/>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USD</w:t>
            </w:r>
          </w:p>
        </w:tc>
        <w:tc>
          <w:tcPr>
            <w:tcW w:type="dxa" w:w="3685"/>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NGN (@ ₦1,620/$1)</w:t>
            </w:r>
          </w:p>
        </w:tc>
      </w:tr>
      <w:tr>
        <w:trPr>
          <w:trHeight w:val="369"/>
        </w:trPr>
        <w:tc>
          <w:tcPr>
            <w:tcW w:type="dxa" w:w="3969"/>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Monthly recurring (Year 1)</w:t>
            </w:r>
          </w:p>
        </w:tc>
        <w:tc>
          <w:tcPr>
            <w:tcW w:type="dxa" w:w="198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$892.48</w:t>
            </w:r>
          </w:p>
        </w:tc>
        <w:tc>
          <w:tcPr>
            <w:tcW w:type="dxa" w:w="368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₦1,445,821</w:t>
            </w:r>
          </w:p>
        </w:tc>
      </w:tr>
      <w:tr>
        <w:trPr>
          <w:trHeight w:val="369"/>
        </w:trPr>
        <w:tc>
          <w:tcPr>
            <w:tcW w:type="dxa" w:w="3969"/>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Annual recurring (Year 1)</w:t>
            </w:r>
          </w:p>
        </w:tc>
        <w:tc>
          <w:tcPr>
            <w:tcW w:type="dxa" w:w="198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$10,709.78</w:t>
            </w:r>
          </w:p>
        </w:tc>
        <w:tc>
          <w:tcPr>
            <w:tcW w:type="dxa" w:w="368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₦17,349,850</w:t>
            </w:r>
          </w:p>
        </w:tc>
      </w:tr>
      <w:tr>
        <w:trPr>
          <w:trHeight w:val="369"/>
        </w:trPr>
        <w:tc>
          <w:tcPr>
            <w:tcW w:type="dxa" w:w="3969"/>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One-time upfront pre-load</w:t>
            </w:r>
          </w:p>
        </w:tc>
        <w:tc>
          <w:tcPr>
            <w:tcW w:type="dxa" w:w="198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$1,726.46</w:t>
            </w:r>
          </w:p>
        </w:tc>
        <w:tc>
          <w:tcPr>
            <w:tcW w:type="dxa" w:w="368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₦2,796,872</w:t>
            </w:r>
          </w:p>
        </w:tc>
      </w:tr>
      <w:tr>
        <w:trPr>
          <w:trHeight w:val="369"/>
        </w:trPr>
        <w:tc>
          <w:tcPr>
            <w:tcW w:type="dxa" w:w="3969"/>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First-year total</w:t>
            </w:r>
          </w:p>
        </w:tc>
        <w:tc>
          <w:tcPr>
            <w:tcW w:type="dxa" w:w="198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$12,436.25</w:t>
            </w:r>
          </w:p>
        </w:tc>
        <w:tc>
          <w:tcPr>
            <w:tcW w:type="dxa" w:w="368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₦20,146,722</w:t>
            </w:r>
          </w:p>
        </w:tc>
      </w:tr>
      <w:tr>
        <w:trPr>
          <w:trHeight w:val="369"/>
        </w:trPr>
        <w:tc>
          <w:tcPr>
            <w:tcW w:type="dxa" w:w="3969"/>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Year 2 annual</w:t>
            </w:r>
          </w:p>
        </w:tc>
        <w:tc>
          <w:tcPr>
            <w:tcW w:type="dxa" w:w="198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$11,227.72</w:t>
            </w:r>
          </w:p>
        </w:tc>
        <w:tc>
          <w:tcPr>
            <w:tcW w:type="dxa" w:w="368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₦18,188,912</w:t>
            </w:r>
          </w:p>
        </w:tc>
      </w:tr>
      <w:tr>
        <w:trPr>
          <w:trHeight w:val="369"/>
        </w:trPr>
        <w:tc>
          <w:tcPr>
            <w:tcW w:type="dxa" w:w="3969"/>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Year 3 annual</w:t>
            </w:r>
          </w:p>
        </w:tc>
        <w:tc>
          <w:tcPr>
            <w:tcW w:type="dxa" w:w="198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$10,629.50</w:t>
            </w:r>
          </w:p>
        </w:tc>
        <w:tc>
          <w:tcPr>
            <w:tcW w:type="dxa" w:w="3685"/>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₦17,219,796</w:t>
            </w:r>
          </w:p>
        </w:tc>
      </w:tr>
      <w:tr>
        <w:trPr>
          <w:trHeight w:val="369"/>
        </w:trPr>
        <w:tc>
          <w:tcPr>
            <w:tcW w:type="dxa" w:w="3969"/>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val="0"/>
                <w:color w:val="111827"/>
                <w:sz w:val="18"/>
              </w:rPr>
              <w:t>3-year recurring total</w:t>
            </w:r>
          </w:p>
        </w:tc>
        <w:tc>
          <w:tcPr>
            <w:tcW w:type="dxa" w:w="198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$32,567.01</w:t>
            </w:r>
          </w:p>
        </w:tc>
        <w:tc>
          <w:tcPr>
            <w:tcW w:type="dxa" w:w="3685"/>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₦52,758,557</w:t>
            </w:r>
          </w:p>
        </w:tc>
      </w:tr>
      <w:tr>
        <w:trPr>
          <w:trHeight w:val="369"/>
        </w:trPr>
        <w:tc>
          <w:tcPr>
            <w:tcW w:type="dxa" w:w="3969"/>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59E0B"/>
          </w:tcPr>
          <w:p>
            <w:pPr>
              <w:spacing w:before="20" w:after="20"/>
              <w:jc w:val="left"/>
            </w:pPr>
            <w:r>
              <w:rPr>
                <w:rFonts w:ascii="Calibri" w:hAnsi="Calibri"/>
                <w:b/>
                <w:color w:val="1E3A8A"/>
                <w:sz w:val="18"/>
              </w:rPr>
              <w:t>3-year total (incl. pre-load)</w:t>
            </w:r>
          </w:p>
        </w:tc>
        <w:tc>
          <w:tcPr>
            <w:tcW w:type="dxa" w:w="1984"/>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59E0B"/>
          </w:tcPr>
          <w:p>
            <w:pPr>
              <w:spacing w:before="20" w:after="20"/>
              <w:jc w:val="center"/>
            </w:pPr>
            <w:r>
              <w:rPr>
                <w:rFonts w:ascii="Calibri" w:hAnsi="Calibri"/>
                <w:b/>
                <w:color w:val="1E3A8A"/>
                <w:sz w:val="18"/>
              </w:rPr>
              <w:t>$34,293.47</w:t>
            </w:r>
          </w:p>
        </w:tc>
        <w:tc>
          <w:tcPr>
            <w:tcW w:type="dxa" w:w="3685"/>
            <w:shd w:val="clear" w:color="auto" w:fill="F3F4F6"/>
            <w:tcBorders>
              <w:top w:val="single" w:sz="4" w:space="0" w:color="D1D5DB"/>
              <w:left w:val="single" w:sz="4" w:space="0" w:color="D1D5DB"/>
              <w:bottom w:val="single" w:sz="4" w:space="0" w:color="D1D5DB"/>
              <w:right w:val="single" w:sz="4" w:space="0" w:color="D1D5DB"/>
            </w:tcBorders>
            <w:vAlign w:val="center"/>
            <w:shd w:val="clear" w:color="auto" w:fill="F59E0B"/>
          </w:tcPr>
          <w:p>
            <w:pPr>
              <w:spacing w:before="20" w:after="20"/>
              <w:jc w:val="center"/>
            </w:pPr>
            <w:r>
              <w:rPr>
                <w:rFonts w:ascii="Calibri" w:hAnsi="Calibri"/>
                <w:b/>
                <w:color w:val="1E3A8A"/>
                <w:sz w:val="18"/>
              </w:rPr>
              <w:t>₦55,555,429</w:t>
            </w:r>
          </w:p>
        </w:tc>
      </w:tr>
    </w:tbl>
    <w:p>
      <w:pPr>
        <w:spacing w:after="60"/>
      </w:pPr>
    </w:p>
    <w:p>
      <w:pPr>
        <w:spacing w:after="60" w:before="0"/>
      </w:pPr>
      <w:r>
        <w:rPr>
          <w:rFonts w:ascii="Calibri" w:hAnsi="Calibri"/>
          <w:i/>
          <w:color w:val="6B7280"/>
          <w:sz w:val="16"/>
        </w:rPr>
        <w:t>Exchange rate disclaimer: NGN/USD fluctuates daily. Verify at cbn.gov.ng or Google before budget submission.</w:t>
      </w:r>
    </w:p>
    <w:p>
      <w:pPr>
        <w:spacing w:after="160"/>
      </w:pPr>
    </w:p>
    <w:tbl>
      <w:tblPr>
        <w:tblW w:type="auto" w:w="0"/>
        <w:jc w:val="left"/>
        <w:tblLook w:firstColumn="1" w:firstRow="1" w:lastColumn="0" w:lastRow="0" w:noHBand="0" w:noVBand="1" w:val="04A0"/>
      </w:tblPr>
      <w:tblGrid>
        <w:gridCol w:w="9972"/>
      </w:tblGrid>
      <w:tr>
        <w:tc>
          <w:tcPr>
            <w:tcW w:type="dxa" w:w="9638"/>
            <w:shd w:val="clear" w:color="auto" w:fill="1E3A8A"/>
            <w:tcBorders>
              <w:top w:val="single" w:sz="4" w:space="0" w:color="1E3A8A"/>
              <w:left w:val="single" w:sz="4" w:space="0" w:color="1E3A8A"/>
              <w:bottom w:val="single" w:sz="4" w:space="0" w:color="1E3A8A"/>
              <w:right w:val="single" w:sz="4" w:space="0" w:color="1E3A8A"/>
            </w:tcBorders>
          </w:tcPr>
          <w:p>
            <w:pPr>
              <w:spacing w:before="60" w:after="60"/>
            </w:pPr>
            <w:r>
              <w:rPr>
                <w:rFonts w:ascii="Calibri" w:hAnsi="Calibri"/>
                <w:b/>
                <w:color w:val="FFFFFF"/>
                <w:sz w:val="22"/>
              </w:rPr>
              <w:t>7.  Budget Recommendations</w:t>
            </w:r>
          </w:p>
        </w:tc>
      </w:tr>
    </w:tbl>
    <w:p>
      <w:pPr>
        <w:spacing w:after="40"/>
      </w:pPr>
    </w:p>
    <w:p>
      <w:pPr>
        <w:spacing w:after="60"/>
      </w:pPr>
    </w:p>
    <w:tbl>
      <w:tblPr>
        <w:tblStyle w:val="TableGrid"/>
        <w:tblW w:type="auto" w:w="0"/>
        <w:jc w:val="left"/>
        <w:tblLook w:firstColumn="1" w:firstRow="1" w:lastColumn="0" w:lastRow="0" w:noHBand="0" w:noVBand="1" w:val="04A0"/>
      </w:tblPr>
      <w:tblGrid>
        <w:gridCol w:w="4986"/>
        <w:gridCol w:w="4986"/>
      </w:tblGrid>
      <w:tr>
        <w:trPr>
          <w:trHeight w:val="369"/>
        </w:trPr>
        <w:tc>
          <w:tcPr>
            <w:tcW w:type="dxa" w:w="454"/>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59E0B"/>
                <w:sz w:val="18"/>
              </w:rPr>
              <w:t>#</w:t>
            </w:r>
          </w:p>
        </w:tc>
        <w:tc>
          <w:tcPr>
            <w:tcW w:type="dxa" w:w="9184"/>
            <w:shd w:val="clear" w:color="auto" w:fill="1E3A8A"/>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color w:val="FFFFFF"/>
                <w:sz w:val="18"/>
              </w:rPr>
              <w:t>Recommendation</w:t>
            </w:r>
          </w:p>
        </w:tc>
      </w:tr>
      <w:tr>
        <w:trPr>
          <w:trHeight w:val="369"/>
        </w:trPr>
        <w:tc>
          <w:tcPr>
            <w:tcW w:type="dxa" w:w="45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59E0B"/>
                <w:sz w:val="18"/>
              </w:rPr>
              <w:t>1</w:t>
            </w:r>
          </w:p>
        </w:tc>
        <w:tc>
          <w:tcPr>
            <w:tcW w:type="dxa" w:w="918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Purchase 2 months of Termii credit upfront ($1,726.46) on go-live day as a safety reserve.</w:t>
            </w:r>
          </w:p>
        </w:tc>
      </w:tr>
      <w:tr>
        <w:trPr>
          <w:trHeight w:val="369"/>
        </w:trPr>
        <w:tc>
          <w:tcPr>
            <w:tcW w:type="dxa" w:w="45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59E0B"/>
                <w:sz w:val="18"/>
              </w:rPr>
              <w:t>2</w:t>
            </w:r>
          </w:p>
        </w:tc>
        <w:tc>
          <w:tcPr>
            <w:tcW w:type="dxa" w:w="918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Set a Termii low-balance alert at $863.23 in the dashboard to get notified before the account runs dry.</w:t>
            </w:r>
          </w:p>
        </w:tc>
      </w:tr>
      <w:tr>
        <w:trPr>
          <w:trHeight w:val="369"/>
        </w:trPr>
        <w:tc>
          <w:tcPr>
            <w:tcW w:type="dxa" w:w="45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59E0B"/>
                <w:sz w:val="18"/>
              </w:rPr>
              <w:t>3</w:t>
            </w:r>
          </w:p>
        </w:tc>
        <w:tc>
          <w:tcPr>
            <w:tcW w:type="dxa" w:w="918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Use Replit Reserved VM (1 vCPU / 1 GB) for a fully predictable monthly platform bill.</w:t>
            </w:r>
          </w:p>
        </w:tc>
      </w:tr>
      <w:tr>
        <w:trPr>
          <w:trHeight w:val="369"/>
        </w:trPr>
        <w:tc>
          <w:tcPr>
            <w:tcW w:type="dxa" w:w="45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59E0B"/>
                <w:sz w:val="18"/>
              </w:rPr>
              <w:t>4</w:t>
            </w:r>
          </w:p>
        </w:tc>
        <w:tc>
          <w:tcPr>
            <w:tcW w:type="dxa" w:w="918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Review actual vs estimated Termii usage every quarter. Negotiate a volume discount if SMS &gt; 5,000/month.</w:t>
            </w:r>
          </w:p>
        </w:tc>
      </w:tr>
      <w:tr>
        <w:trPr>
          <w:trHeight w:val="369"/>
        </w:trPr>
        <w:tc>
          <w:tcPr>
            <w:tcW w:type="dxa" w:w="45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59E0B"/>
                <w:sz w:val="18"/>
              </w:rPr>
              <w:t>5</w:t>
            </w:r>
          </w:p>
        </w:tc>
        <w:tc>
          <w:tcPr>
            <w:tcW w:type="dxa" w:w="918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Apply for WhatsApp Business API via Termii immediately — approval takes 2–4 weeks.</w:t>
            </w:r>
          </w:p>
        </w:tc>
      </w:tr>
      <w:tr>
        <w:trPr>
          <w:trHeight w:val="369"/>
        </w:trPr>
        <w:tc>
          <w:tcPr>
            <w:tcW w:type="dxa" w:w="45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59E0B"/>
                <w:sz w:val="18"/>
              </w:rPr>
              <w:t>6</w:t>
            </w:r>
          </w:p>
        </w:tc>
        <w:tc>
          <w:tcPr>
            <w:tcW w:type="dxa" w:w="9184"/>
            <w:shd w:val="clear" w:color="auto" w:fill="F3F4F6"/>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Set a calendar reminder 30 days before the custom domain expires to renew on time.</w:t>
            </w:r>
          </w:p>
        </w:tc>
      </w:tr>
      <w:tr>
        <w:trPr>
          <w:trHeight w:val="369"/>
        </w:trPr>
        <w:tc>
          <w:tcPr>
            <w:tcW w:type="dxa" w:w="45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left"/>
            </w:pPr>
            <w:r>
              <w:rPr>
                <w:rFonts w:ascii="Calibri" w:hAnsi="Calibri"/>
                <w:b/>
                <w:color w:val="F59E0B"/>
                <w:sz w:val="18"/>
              </w:rPr>
              <w:t>7</w:t>
            </w:r>
          </w:p>
        </w:tc>
        <w:tc>
          <w:tcPr>
            <w:tcW w:type="dxa" w:w="9184"/>
            <w:shd w:val="clear" w:color="auto" w:fill="FFFFFF"/>
            <w:tcBorders>
              <w:top w:val="single" w:sz="4" w:space="0" w:color="D1D5DB"/>
              <w:left w:val="single" w:sz="4" w:space="0" w:color="D1D5DB"/>
              <w:bottom w:val="single" w:sz="4" w:space="0" w:color="D1D5DB"/>
              <w:right w:val="single" w:sz="4" w:space="0" w:color="D1D5DB"/>
            </w:tcBorders>
            <w:vAlign w:val="center"/>
          </w:tcPr>
          <w:p>
            <w:pPr>
              <w:spacing w:before="20" w:after="20"/>
              <w:jc w:val="center"/>
            </w:pPr>
            <w:r>
              <w:rPr>
                <w:rFonts w:ascii="Calibri" w:hAnsi="Calibri"/>
                <w:b w:val="0"/>
                <w:color w:val="111827"/>
                <w:sz w:val="18"/>
              </w:rPr>
              <w:t>Budget $11,227.72 for Year 2 and $10,629.50 for Year 3 (growth + volume discount factored in).</w:t>
            </w:r>
          </w:p>
        </w:tc>
      </w:tr>
    </w:tbl>
    <w:p>
      <w:pPr>
        <w:spacing w:after="60"/>
      </w:pPr>
    </w:p>
    <w:p>
      <w:pPr>
        <w:spacing w:after="160"/>
      </w:pPr>
    </w:p>
    <w:p>
      <w:pPr>
        <w:spacing w:after="60" w:before="0"/>
      </w:pPr>
      <w:r>
        <w:rPr>
          <w:rFonts w:ascii="Calibri" w:hAnsi="Calibri"/>
          <w:i/>
          <w:color w:val="6B7280"/>
          <w:sz w:val="16"/>
        </w:rPr>
        <w:t>This document was generated from the Shepherd Connect Annual Cost Planner. Figures are estimates. Actual costs may vary with attendance, usage patterns, and exchange rates. Prepared for RCCG City of David · May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