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464E6" w:rsidRDefault="002A10FA">
      <w:pPr>
        <w:spacing w:before="1400"/>
      </w:pPr>
      <w:r>
        <w:rPr>
          <w:noProof/>
        </w:rPr>
        <w:drawing>
          <wp:anchor distT="0" distB="0" distL="114300" distR="114300" simplePos="0" relativeHeight="251659264" behindDoc="1" locked="0" layoutInCell="1" allowOverlap="1" wp14:anchorId="54778739" wp14:editId="088B7FA9">
            <wp:simplePos x="0" y="0"/>
            <wp:positionH relativeFrom="column">
              <wp:posOffset>1541834</wp:posOffset>
            </wp:positionH>
            <wp:positionV relativeFrom="paragraph">
              <wp:posOffset>967902</wp:posOffset>
            </wp:positionV>
            <wp:extent cx="3583706" cy="1016202"/>
            <wp:effectExtent l="0" t="0" r="0" b="0"/>
            <wp:wrapNone/>
            <wp:docPr id="1" name="Picture 1" descr="logo-day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ay (5)"/>
                    <pic:cNvPicPr>
                      <a:picLocks noChangeAspect="1"/>
                    </pic:cNvPicPr>
                  </pic:nvPicPr>
                  <pic:blipFill>
                    <a:blip r:embed="rId7"/>
                    <a:stretch>
                      <a:fillRect/>
                    </a:stretch>
                  </pic:blipFill>
                  <pic:spPr>
                    <a:xfrm>
                      <a:off x="0" y="0"/>
                      <a:ext cx="3616954" cy="1025630"/>
                    </a:xfrm>
                    <a:prstGeom prst="rect">
                      <a:avLst/>
                    </a:prstGeom>
                  </pic:spPr>
                </pic:pic>
              </a:graphicData>
            </a:graphic>
            <wp14:sizeRelH relativeFrom="margin">
              <wp14:pctWidth>0</wp14:pctWidth>
            </wp14:sizeRelH>
            <wp14:sizeRelV relativeFrom="margin">
              <wp14:pctHeight>0</wp14:pctHeight>
            </wp14:sizeRelV>
          </wp:anchor>
        </w:drawing>
      </w:r>
    </w:p>
    <w:p w:rsidR="002A10FA" w:rsidRDefault="002A10FA">
      <w:pPr>
        <w:spacing w:before="1400"/>
      </w:pPr>
    </w:p>
    <w:p w:rsidR="006464E6" w:rsidRPr="002A10FA" w:rsidRDefault="00000000">
      <w:pPr>
        <w:spacing w:after="500"/>
        <w:jc w:val="center"/>
        <w:rPr>
          <w:sz w:val="28"/>
          <w:szCs w:val="28"/>
        </w:rPr>
      </w:pPr>
      <w:r w:rsidRPr="002A10FA">
        <w:rPr>
          <w:i/>
          <w:iCs/>
          <w:color w:val="595959"/>
          <w:sz w:val="28"/>
          <w:szCs w:val="28"/>
        </w:rPr>
        <w:t>Connecting People. Connecting Currencies. Connecting Benefit.</w:t>
      </w:r>
    </w:p>
    <w:p w:rsidR="002A10FA" w:rsidRDefault="002A10FA">
      <w:pPr>
        <w:spacing w:after="100"/>
        <w:jc w:val="center"/>
        <w:rPr>
          <w:b/>
          <w:bCs/>
          <w:color w:val="12284B"/>
          <w:sz w:val="52"/>
          <w:szCs w:val="52"/>
        </w:rPr>
      </w:pPr>
    </w:p>
    <w:p w:rsidR="00033B1A" w:rsidRPr="00033B1A" w:rsidRDefault="00033B1A" w:rsidP="00033B1A">
      <w:pPr>
        <w:spacing w:before="600" w:after="120"/>
        <w:jc w:val="center"/>
        <w:rPr>
          <w:sz w:val="28"/>
          <w:szCs w:val="28"/>
        </w:rPr>
      </w:pPr>
      <w:r w:rsidRPr="00033B1A">
        <w:rPr>
          <w:b/>
          <w:bCs/>
          <w:color w:val="1B7A3D"/>
          <w:sz w:val="36"/>
          <w:szCs w:val="36"/>
        </w:rPr>
        <w:t>THE PATH TO A UNICORN</w:t>
      </w:r>
    </w:p>
    <w:p w:rsidR="00033B1A" w:rsidRPr="00033B1A" w:rsidRDefault="00033B1A" w:rsidP="00033B1A">
      <w:pPr>
        <w:spacing w:after="100"/>
        <w:jc w:val="center"/>
        <w:rPr>
          <w:sz w:val="28"/>
          <w:szCs w:val="28"/>
        </w:rPr>
      </w:pPr>
      <w:r w:rsidRPr="00033B1A">
        <w:rPr>
          <w:b/>
          <w:bCs/>
          <w:color w:val="12284B"/>
          <w:sz w:val="40"/>
          <w:szCs w:val="40"/>
        </w:rPr>
        <w:t xml:space="preserve">A </w:t>
      </w:r>
      <w:r w:rsidR="00102129">
        <w:rPr>
          <w:b/>
          <w:bCs/>
          <w:color w:val="12284B"/>
          <w:sz w:val="40"/>
          <w:szCs w:val="40"/>
          <w:lang w:val="en-GB"/>
        </w:rPr>
        <w:t>5</w:t>
      </w:r>
      <w:r w:rsidRPr="00033B1A">
        <w:rPr>
          <w:b/>
          <w:bCs/>
          <w:color w:val="12284B"/>
          <w:sz w:val="40"/>
          <w:szCs w:val="40"/>
        </w:rPr>
        <w:t>-Year Business Plan, Financial Model &amp; Capital Strategy</w:t>
      </w:r>
    </w:p>
    <w:p w:rsidR="00033B1A" w:rsidRPr="00033B1A" w:rsidRDefault="00033B1A" w:rsidP="00033B1A">
      <w:pPr>
        <w:spacing w:after="700"/>
        <w:jc w:val="center"/>
        <w:rPr>
          <w:sz w:val="28"/>
          <w:szCs w:val="28"/>
        </w:rPr>
      </w:pPr>
      <w:r w:rsidRPr="00033B1A">
        <w:rPr>
          <w:color w:val="595959"/>
          <w:sz w:val="28"/>
          <w:szCs w:val="28"/>
        </w:rPr>
        <w:t>Building Africa's Trusted Cross-Border Currency Exchange Infrastructure</w:t>
      </w:r>
    </w:p>
    <w:p w:rsidR="00033B1A" w:rsidRDefault="00033B1A" w:rsidP="00033B1A">
      <w:pPr>
        <w:spacing w:after="100"/>
        <w:jc w:val="center"/>
        <w:rPr>
          <w:b/>
          <w:bCs/>
          <w:i/>
          <w:iCs/>
          <w:sz w:val="72"/>
          <w:szCs w:val="72"/>
        </w:rPr>
      </w:pPr>
    </w:p>
    <w:p w:rsidR="002A10FA" w:rsidRDefault="002A10FA">
      <w:pPr>
        <w:spacing w:after="80"/>
        <w:jc w:val="center"/>
        <w:rPr>
          <w:color w:val="595959"/>
          <w:sz w:val="20"/>
          <w:szCs w:val="20"/>
        </w:rPr>
      </w:pPr>
    </w:p>
    <w:p w:rsidR="006464E6" w:rsidRPr="002A10FA" w:rsidRDefault="00000000">
      <w:pPr>
        <w:spacing w:after="80"/>
        <w:jc w:val="center"/>
        <w:rPr>
          <w:sz w:val="24"/>
          <w:szCs w:val="24"/>
        </w:rPr>
      </w:pPr>
      <w:r w:rsidRPr="002A10FA">
        <w:rPr>
          <w:color w:val="595959"/>
          <w:sz w:val="21"/>
          <w:szCs w:val="21"/>
        </w:rPr>
        <w:t xml:space="preserve">Version: 0.1 |  Date: </w:t>
      </w:r>
      <w:r w:rsidR="002A10FA" w:rsidRPr="002A10FA">
        <w:rPr>
          <w:color w:val="595959"/>
          <w:sz w:val="21"/>
          <w:szCs w:val="21"/>
          <w:lang w:val="en-GB"/>
        </w:rPr>
        <w:t>August 2026</w:t>
      </w:r>
    </w:p>
    <w:p w:rsidR="006464E6" w:rsidRPr="002A10FA" w:rsidRDefault="00000000">
      <w:pPr>
        <w:spacing w:after="80"/>
        <w:jc w:val="center"/>
        <w:rPr>
          <w:sz w:val="24"/>
          <w:szCs w:val="24"/>
        </w:rPr>
      </w:pPr>
      <w:r w:rsidRPr="002A10FA">
        <w:rPr>
          <w:color w:val="595959"/>
          <w:sz w:val="21"/>
          <w:szCs w:val="21"/>
        </w:rPr>
        <w:t>Classification: Confidential</w:t>
      </w:r>
    </w:p>
    <w:p w:rsidR="00810C2C" w:rsidRPr="00810C2C" w:rsidRDefault="00810C2C">
      <w:pPr>
        <w:rPr>
          <w:b/>
          <w:bCs/>
          <w:color w:val="12284B"/>
          <w:sz w:val="30"/>
          <w:szCs w:val="30"/>
        </w:rPr>
      </w:pPr>
      <w:r>
        <w:br w:type="page"/>
      </w:r>
    </w:p>
    <w:p w:rsidR="00102129" w:rsidRDefault="00102129" w:rsidP="00102129">
      <w:pPr>
        <w:pStyle w:val="Heading1"/>
        <w:spacing w:before="360" w:after="200"/>
      </w:pPr>
      <w:r>
        <w:lastRenderedPageBreak/>
        <w:t>Executive Dashboard — Year 5 Target State</w:t>
      </w: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3"/>
        <w:gridCol w:w="3022"/>
        <w:gridCol w:w="3073"/>
      </w:tblGrid>
      <w:tr w:rsidR="00102129" w:rsidTr="00102129">
        <w:tblPrEx>
          <w:tblCellMar>
            <w:top w:w="0" w:type="dxa"/>
            <w:bottom w:w="0" w:type="dxa"/>
          </w:tblCellMar>
        </w:tblPrEx>
        <w:trPr>
          <w:trHeight w:val="309"/>
          <w:tblHeader/>
        </w:trPr>
        <w:tc>
          <w:tcPr>
            <w:tcW w:w="3483" w:type="dxa"/>
            <w:shd w:val="clear" w:color="auto" w:fill="12284B"/>
            <w:tcMar>
              <w:top w:w="80" w:type="dxa"/>
              <w:left w:w="100" w:type="dxa"/>
              <w:bottom w:w="80" w:type="dxa"/>
              <w:right w:w="100" w:type="dxa"/>
            </w:tcMar>
          </w:tcPr>
          <w:p w:rsidR="00102129" w:rsidRDefault="00102129" w:rsidP="00CE15F7">
            <w:r>
              <w:rPr>
                <w:b/>
                <w:bCs/>
                <w:color w:val="FFFFFF"/>
                <w:sz w:val="19"/>
                <w:szCs w:val="19"/>
              </w:rPr>
              <w:t>Metric</w:t>
            </w:r>
          </w:p>
        </w:tc>
        <w:tc>
          <w:tcPr>
            <w:tcW w:w="3022" w:type="dxa"/>
            <w:shd w:val="clear" w:color="auto" w:fill="12284B"/>
            <w:tcMar>
              <w:top w:w="80" w:type="dxa"/>
              <w:left w:w="100" w:type="dxa"/>
              <w:bottom w:w="80" w:type="dxa"/>
              <w:right w:w="100" w:type="dxa"/>
            </w:tcMar>
          </w:tcPr>
          <w:p w:rsidR="00102129" w:rsidRDefault="00102129" w:rsidP="00CE15F7">
            <w:r>
              <w:rPr>
                <w:b/>
                <w:bCs/>
                <w:color w:val="FFFFFF"/>
                <w:sz w:val="19"/>
                <w:szCs w:val="19"/>
              </w:rPr>
              <w:t>Year 1 (Today)</w:t>
            </w:r>
          </w:p>
        </w:tc>
        <w:tc>
          <w:tcPr>
            <w:tcW w:w="3073" w:type="dxa"/>
            <w:shd w:val="clear" w:color="auto" w:fill="12284B"/>
            <w:tcMar>
              <w:top w:w="80" w:type="dxa"/>
              <w:left w:w="100" w:type="dxa"/>
              <w:bottom w:w="80" w:type="dxa"/>
              <w:right w:w="100" w:type="dxa"/>
            </w:tcMar>
          </w:tcPr>
          <w:p w:rsidR="00102129" w:rsidRDefault="00102129" w:rsidP="00CE15F7">
            <w:r>
              <w:rPr>
                <w:b/>
                <w:bCs/>
                <w:color w:val="FFFFFF"/>
                <w:sz w:val="19"/>
                <w:szCs w:val="19"/>
              </w:rPr>
              <w:t>Year 5 (Target)</w:t>
            </w:r>
          </w:p>
        </w:tc>
      </w:tr>
      <w:tr w:rsidR="00102129" w:rsidTr="00102129">
        <w:tblPrEx>
          <w:tblCellMar>
            <w:top w:w="0" w:type="dxa"/>
            <w:bottom w:w="0" w:type="dxa"/>
          </w:tblCellMar>
        </w:tblPrEx>
        <w:trPr>
          <w:trHeight w:val="309"/>
        </w:trPr>
        <w:tc>
          <w:tcPr>
            <w:tcW w:w="3483" w:type="dxa"/>
            <w:shd w:val="clear" w:color="auto" w:fill="FFFFFF"/>
            <w:tcMar>
              <w:top w:w="80" w:type="dxa"/>
              <w:left w:w="100" w:type="dxa"/>
              <w:bottom w:w="80" w:type="dxa"/>
              <w:right w:w="100" w:type="dxa"/>
            </w:tcMar>
          </w:tcPr>
          <w:p w:rsidR="00102129" w:rsidRDefault="00102129" w:rsidP="00CE15F7">
            <w:r>
              <w:rPr>
                <w:color w:val="000000"/>
                <w:sz w:val="19"/>
                <w:szCs w:val="19"/>
              </w:rPr>
              <w:t>Active corridors</w:t>
            </w:r>
          </w:p>
        </w:tc>
        <w:tc>
          <w:tcPr>
            <w:tcW w:w="3022" w:type="dxa"/>
            <w:shd w:val="clear" w:color="auto" w:fill="FFFFFF"/>
            <w:tcMar>
              <w:top w:w="80" w:type="dxa"/>
              <w:left w:w="100" w:type="dxa"/>
              <w:bottom w:w="80" w:type="dxa"/>
              <w:right w:w="100" w:type="dxa"/>
            </w:tcMar>
          </w:tcPr>
          <w:p w:rsidR="00102129" w:rsidRDefault="00102129" w:rsidP="00CE15F7">
            <w:r>
              <w:rPr>
                <w:color w:val="000000"/>
                <w:sz w:val="19"/>
                <w:szCs w:val="19"/>
              </w:rPr>
              <w:t>1 (pilot)</w:t>
            </w:r>
          </w:p>
        </w:tc>
        <w:tc>
          <w:tcPr>
            <w:tcW w:w="3073" w:type="dxa"/>
            <w:shd w:val="clear" w:color="auto" w:fill="FFFFFF"/>
            <w:tcMar>
              <w:top w:w="80" w:type="dxa"/>
              <w:left w:w="100" w:type="dxa"/>
              <w:bottom w:w="80" w:type="dxa"/>
              <w:right w:w="100" w:type="dxa"/>
            </w:tcMar>
          </w:tcPr>
          <w:p w:rsidR="00102129" w:rsidRDefault="00102129" w:rsidP="00CE15F7">
            <w:r>
              <w:rPr>
                <w:color w:val="000000"/>
                <w:sz w:val="19"/>
                <w:szCs w:val="19"/>
              </w:rPr>
              <w:t>22</w:t>
            </w:r>
          </w:p>
        </w:tc>
      </w:tr>
      <w:tr w:rsidR="00102129" w:rsidTr="00102129">
        <w:tblPrEx>
          <w:tblCellMar>
            <w:top w:w="0" w:type="dxa"/>
            <w:bottom w:w="0" w:type="dxa"/>
          </w:tblCellMar>
        </w:tblPrEx>
        <w:trPr>
          <w:trHeight w:val="330"/>
        </w:trPr>
        <w:tc>
          <w:tcPr>
            <w:tcW w:w="3483" w:type="dxa"/>
            <w:shd w:val="clear" w:color="auto" w:fill="F2F2F2"/>
            <w:tcMar>
              <w:top w:w="80" w:type="dxa"/>
              <w:left w:w="100" w:type="dxa"/>
              <w:bottom w:w="80" w:type="dxa"/>
              <w:right w:w="100" w:type="dxa"/>
            </w:tcMar>
          </w:tcPr>
          <w:p w:rsidR="00102129" w:rsidRDefault="00102129" w:rsidP="00CE15F7">
            <w:r>
              <w:rPr>
                <w:color w:val="000000"/>
                <w:sz w:val="19"/>
                <w:szCs w:val="19"/>
              </w:rPr>
              <w:t>Verified users (cumulative)</w:t>
            </w:r>
          </w:p>
        </w:tc>
        <w:tc>
          <w:tcPr>
            <w:tcW w:w="3022" w:type="dxa"/>
            <w:shd w:val="clear" w:color="auto" w:fill="F2F2F2"/>
            <w:tcMar>
              <w:top w:w="80" w:type="dxa"/>
              <w:left w:w="100" w:type="dxa"/>
              <w:bottom w:w="80" w:type="dxa"/>
              <w:right w:w="100" w:type="dxa"/>
            </w:tcMar>
          </w:tcPr>
          <w:p w:rsidR="00102129" w:rsidRDefault="00102129" w:rsidP="00CE15F7">
            <w:r>
              <w:rPr>
                <w:color w:val="000000"/>
                <w:sz w:val="19"/>
                <w:szCs w:val="19"/>
              </w:rPr>
              <w:t>5,000</w:t>
            </w:r>
          </w:p>
        </w:tc>
        <w:tc>
          <w:tcPr>
            <w:tcW w:w="3073" w:type="dxa"/>
            <w:shd w:val="clear" w:color="auto" w:fill="F2F2F2"/>
            <w:tcMar>
              <w:top w:w="80" w:type="dxa"/>
              <w:left w:w="100" w:type="dxa"/>
              <w:bottom w:w="80" w:type="dxa"/>
              <w:right w:w="100" w:type="dxa"/>
            </w:tcMar>
          </w:tcPr>
          <w:p w:rsidR="00102129" w:rsidRDefault="00102129" w:rsidP="00CE15F7">
            <w:r>
              <w:rPr>
                <w:color w:val="000000"/>
                <w:sz w:val="19"/>
                <w:szCs w:val="19"/>
              </w:rPr>
              <w:t>6.0M</w:t>
            </w:r>
          </w:p>
        </w:tc>
      </w:tr>
      <w:tr w:rsidR="00102129" w:rsidTr="00102129">
        <w:tblPrEx>
          <w:tblCellMar>
            <w:top w:w="0" w:type="dxa"/>
            <w:bottom w:w="0" w:type="dxa"/>
          </w:tblCellMar>
        </w:tblPrEx>
        <w:trPr>
          <w:trHeight w:val="309"/>
        </w:trPr>
        <w:tc>
          <w:tcPr>
            <w:tcW w:w="3483" w:type="dxa"/>
            <w:shd w:val="clear" w:color="auto" w:fill="FFFFFF"/>
            <w:tcMar>
              <w:top w:w="80" w:type="dxa"/>
              <w:left w:w="100" w:type="dxa"/>
              <w:bottom w:w="80" w:type="dxa"/>
              <w:right w:w="100" w:type="dxa"/>
            </w:tcMar>
          </w:tcPr>
          <w:p w:rsidR="00102129" w:rsidRDefault="00102129" w:rsidP="00CE15F7">
            <w:r>
              <w:rPr>
                <w:color w:val="000000"/>
                <w:sz w:val="19"/>
                <w:szCs w:val="19"/>
              </w:rPr>
              <w:t>Annual matched GMV</w:t>
            </w:r>
          </w:p>
        </w:tc>
        <w:tc>
          <w:tcPr>
            <w:tcW w:w="3022" w:type="dxa"/>
            <w:shd w:val="clear" w:color="auto" w:fill="FFFFFF"/>
            <w:tcMar>
              <w:top w:w="80" w:type="dxa"/>
              <w:left w:w="100" w:type="dxa"/>
              <w:bottom w:w="80" w:type="dxa"/>
              <w:right w:w="100" w:type="dxa"/>
            </w:tcMar>
          </w:tcPr>
          <w:p w:rsidR="00102129" w:rsidRDefault="00102129" w:rsidP="00CE15F7">
            <w:r>
              <w:rPr>
                <w:color w:val="000000"/>
                <w:sz w:val="19"/>
                <w:szCs w:val="19"/>
              </w:rPr>
              <w:t>$10M</w:t>
            </w:r>
          </w:p>
        </w:tc>
        <w:tc>
          <w:tcPr>
            <w:tcW w:w="3073" w:type="dxa"/>
            <w:shd w:val="clear" w:color="auto" w:fill="FFFFFF"/>
            <w:tcMar>
              <w:top w:w="80" w:type="dxa"/>
              <w:left w:w="100" w:type="dxa"/>
              <w:bottom w:w="80" w:type="dxa"/>
              <w:right w:w="100" w:type="dxa"/>
            </w:tcMar>
          </w:tcPr>
          <w:p w:rsidR="00102129" w:rsidRDefault="00102129" w:rsidP="00CE15F7">
            <w:r>
              <w:rPr>
                <w:color w:val="000000"/>
                <w:sz w:val="19"/>
                <w:szCs w:val="19"/>
              </w:rPr>
              <w:t>$22B</w:t>
            </w:r>
          </w:p>
        </w:tc>
      </w:tr>
      <w:tr w:rsidR="00102129" w:rsidTr="00102129">
        <w:tblPrEx>
          <w:tblCellMar>
            <w:top w:w="0" w:type="dxa"/>
            <w:bottom w:w="0" w:type="dxa"/>
          </w:tblCellMar>
        </w:tblPrEx>
        <w:trPr>
          <w:trHeight w:val="309"/>
        </w:trPr>
        <w:tc>
          <w:tcPr>
            <w:tcW w:w="3483" w:type="dxa"/>
            <w:shd w:val="clear" w:color="auto" w:fill="F2F2F2"/>
            <w:tcMar>
              <w:top w:w="80" w:type="dxa"/>
              <w:left w:w="100" w:type="dxa"/>
              <w:bottom w:w="80" w:type="dxa"/>
              <w:right w:w="100" w:type="dxa"/>
            </w:tcMar>
          </w:tcPr>
          <w:p w:rsidR="00102129" w:rsidRDefault="00102129" w:rsidP="00CE15F7">
            <w:r>
              <w:rPr>
                <w:color w:val="000000"/>
                <w:sz w:val="19"/>
                <w:szCs w:val="19"/>
              </w:rPr>
              <w:t>Annual revenue</w:t>
            </w:r>
          </w:p>
        </w:tc>
        <w:tc>
          <w:tcPr>
            <w:tcW w:w="3022" w:type="dxa"/>
            <w:shd w:val="clear" w:color="auto" w:fill="F2F2F2"/>
            <w:tcMar>
              <w:top w:w="80" w:type="dxa"/>
              <w:left w:w="100" w:type="dxa"/>
              <w:bottom w:w="80" w:type="dxa"/>
              <w:right w:w="100" w:type="dxa"/>
            </w:tcMar>
          </w:tcPr>
          <w:p w:rsidR="00102129" w:rsidRDefault="00102129" w:rsidP="00CE15F7">
            <w:r>
              <w:rPr>
                <w:color w:val="000000"/>
                <w:sz w:val="19"/>
                <w:szCs w:val="19"/>
              </w:rPr>
              <w:t>$150K</w:t>
            </w:r>
          </w:p>
        </w:tc>
        <w:tc>
          <w:tcPr>
            <w:tcW w:w="3073" w:type="dxa"/>
            <w:shd w:val="clear" w:color="auto" w:fill="F2F2F2"/>
            <w:tcMar>
              <w:top w:w="80" w:type="dxa"/>
              <w:left w:w="100" w:type="dxa"/>
              <w:bottom w:w="80" w:type="dxa"/>
              <w:right w:w="100" w:type="dxa"/>
            </w:tcMar>
          </w:tcPr>
          <w:p w:rsidR="00102129" w:rsidRDefault="00102129" w:rsidP="00CE15F7">
            <w:r>
              <w:rPr>
                <w:color w:val="000000"/>
                <w:sz w:val="19"/>
                <w:szCs w:val="19"/>
              </w:rPr>
              <w:t>$260M</w:t>
            </w:r>
          </w:p>
        </w:tc>
      </w:tr>
      <w:tr w:rsidR="00102129" w:rsidTr="00102129">
        <w:tblPrEx>
          <w:tblCellMar>
            <w:top w:w="0" w:type="dxa"/>
            <w:bottom w:w="0" w:type="dxa"/>
          </w:tblCellMar>
        </w:tblPrEx>
        <w:trPr>
          <w:trHeight w:val="309"/>
        </w:trPr>
        <w:tc>
          <w:tcPr>
            <w:tcW w:w="3483" w:type="dxa"/>
            <w:shd w:val="clear" w:color="auto" w:fill="FFFFFF"/>
            <w:tcMar>
              <w:top w:w="80" w:type="dxa"/>
              <w:left w:w="100" w:type="dxa"/>
              <w:bottom w:w="80" w:type="dxa"/>
              <w:right w:w="100" w:type="dxa"/>
            </w:tcMar>
          </w:tcPr>
          <w:p w:rsidR="00102129" w:rsidRDefault="00102129" w:rsidP="00CE15F7">
            <w:r>
              <w:rPr>
                <w:color w:val="000000"/>
                <w:sz w:val="19"/>
                <w:szCs w:val="19"/>
              </w:rPr>
              <w:t>EBITDA margin</w:t>
            </w:r>
          </w:p>
        </w:tc>
        <w:tc>
          <w:tcPr>
            <w:tcW w:w="3022" w:type="dxa"/>
            <w:shd w:val="clear" w:color="auto" w:fill="FFFFFF"/>
            <w:tcMar>
              <w:top w:w="80" w:type="dxa"/>
              <w:left w:w="100" w:type="dxa"/>
              <w:bottom w:w="80" w:type="dxa"/>
              <w:right w:w="100" w:type="dxa"/>
            </w:tcMar>
          </w:tcPr>
          <w:p w:rsidR="00102129" w:rsidRDefault="00102129" w:rsidP="00CE15F7">
            <w:r>
              <w:rPr>
                <w:color w:val="000000"/>
                <w:sz w:val="19"/>
                <w:szCs w:val="19"/>
              </w:rPr>
              <w:t>Negative (build phase)</w:t>
            </w:r>
          </w:p>
        </w:tc>
        <w:tc>
          <w:tcPr>
            <w:tcW w:w="3073" w:type="dxa"/>
            <w:shd w:val="clear" w:color="auto" w:fill="FFFFFF"/>
            <w:tcMar>
              <w:top w:w="80" w:type="dxa"/>
              <w:left w:w="100" w:type="dxa"/>
              <w:bottom w:w="80" w:type="dxa"/>
              <w:right w:w="100" w:type="dxa"/>
            </w:tcMar>
          </w:tcPr>
          <w:p w:rsidR="00102129" w:rsidRDefault="00102129" w:rsidP="00CE15F7">
            <w:r>
              <w:rPr>
                <w:color w:val="000000"/>
                <w:sz w:val="19"/>
                <w:szCs w:val="19"/>
              </w:rPr>
              <w:t>~22%</w:t>
            </w:r>
          </w:p>
        </w:tc>
      </w:tr>
      <w:tr w:rsidR="00102129" w:rsidTr="00102129">
        <w:tblPrEx>
          <w:tblCellMar>
            <w:top w:w="0" w:type="dxa"/>
            <w:bottom w:w="0" w:type="dxa"/>
          </w:tblCellMar>
        </w:tblPrEx>
        <w:trPr>
          <w:trHeight w:val="330"/>
        </w:trPr>
        <w:tc>
          <w:tcPr>
            <w:tcW w:w="3483" w:type="dxa"/>
            <w:shd w:val="clear" w:color="auto" w:fill="F2F2F2"/>
            <w:tcMar>
              <w:top w:w="80" w:type="dxa"/>
              <w:left w:w="100" w:type="dxa"/>
              <w:bottom w:w="80" w:type="dxa"/>
              <w:right w:w="100" w:type="dxa"/>
            </w:tcMar>
          </w:tcPr>
          <w:p w:rsidR="00102129" w:rsidRDefault="00102129" w:rsidP="00CE15F7">
            <w:r>
              <w:rPr>
                <w:color w:val="000000"/>
                <w:sz w:val="19"/>
                <w:szCs w:val="19"/>
              </w:rPr>
              <w:t>Banking partners</w:t>
            </w:r>
          </w:p>
        </w:tc>
        <w:tc>
          <w:tcPr>
            <w:tcW w:w="3022" w:type="dxa"/>
            <w:shd w:val="clear" w:color="auto" w:fill="F2F2F2"/>
            <w:tcMar>
              <w:top w:w="80" w:type="dxa"/>
              <w:left w:w="100" w:type="dxa"/>
              <w:bottom w:w="80" w:type="dxa"/>
              <w:right w:w="100" w:type="dxa"/>
            </w:tcMar>
          </w:tcPr>
          <w:p w:rsidR="00102129" w:rsidRDefault="00102129" w:rsidP="00CE15F7">
            <w:r>
              <w:rPr>
                <w:color w:val="000000"/>
                <w:sz w:val="19"/>
                <w:szCs w:val="19"/>
              </w:rPr>
              <w:t>1 (anchor)</w:t>
            </w:r>
          </w:p>
        </w:tc>
        <w:tc>
          <w:tcPr>
            <w:tcW w:w="3073" w:type="dxa"/>
            <w:shd w:val="clear" w:color="auto" w:fill="F2F2F2"/>
            <w:tcMar>
              <w:top w:w="80" w:type="dxa"/>
              <w:left w:w="100" w:type="dxa"/>
              <w:bottom w:w="80" w:type="dxa"/>
              <w:right w:w="100" w:type="dxa"/>
            </w:tcMar>
          </w:tcPr>
          <w:p w:rsidR="00102129" w:rsidRDefault="00102129" w:rsidP="00CE15F7">
            <w:r>
              <w:rPr>
                <w:color w:val="000000"/>
                <w:sz w:val="19"/>
                <w:szCs w:val="19"/>
              </w:rPr>
              <w:t>6–8</w:t>
            </w:r>
          </w:p>
        </w:tc>
      </w:tr>
      <w:tr w:rsidR="00102129" w:rsidTr="00102129">
        <w:tblPrEx>
          <w:tblCellMar>
            <w:top w:w="0" w:type="dxa"/>
            <w:bottom w:w="0" w:type="dxa"/>
          </w:tblCellMar>
        </w:tblPrEx>
        <w:trPr>
          <w:trHeight w:val="309"/>
        </w:trPr>
        <w:tc>
          <w:tcPr>
            <w:tcW w:w="3483" w:type="dxa"/>
            <w:shd w:val="clear" w:color="auto" w:fill="FFFFFF"/>
            <w:tcMar>
              <w:top w:w="80" w:type="dxa"/>
              <w:left w:w="100" w:type="dxa"/>
              <w:bottom w:w="80" w:type="dxa"/>
              <w:right w:w="100" w:type="dxa"/>
            </w:tcMar>
          </w:tcPr>
          <w:p w:rsidR="00102129" w:rsidRDefault="00102129" w:rsidP="00CE15F7">
            <w:r>
              <w:rPr>
                <w:color w:val="000000"/>
                <w:sz w:val="19"/>
                <w:szCs w:val="19"/>
              </w:rPr>
              <w:t>Post-money valuation (illustrative)</w:t>
            </w:r>
          </w:p>
        </w:tc>
        <w:tc>
          <w:tcPr>
            <w:tcW w:w="3022" w:type="dxa"/>
            <w:shd w:val="clear" w:color="auto" w:fill="FFFFFF"/>
            <w:tcMar>
              <w:top w:w="80" w:type="dxa"/>
              <w:left w:w="100" w:type="dxa"/>
              <w:bottom w:w="80" w:type="dxa"/>
              <w:right w:w="100" w:type="dxa"/>
            </w:tcMar>
          </w:tcPr>
          <w:p w:rsidR="00102129" w:rsidRDefault="00102129" w:rsidP="00CE15F7">
            <w:r>
              <w:rPr>
                <w:color w:val="000000"/>
                <w:sz w:val="19"/>
                <w:szCs w:val="19"/>
              </w:rPr>
              <w:t>$5M</w:t>
            </w:r>
          </w:p>
        </w:tc>
        <w:tc>
          <w:tcPr>
            <w:tcW w:w="3073" w:type="dxa"/>
            <w:shd w:val="clear" w:color="auto" w:fill="FFFFFF"/>
            <w:tcMar>
              <w:top w:w="80" w:type="dxa"/>
              <w:left w:w="100" w:type="dxa"/>
              <w:bottom w:w="80" w:type="dxa"/>
              <w:right w:w="100" w:type="dxa"/>
            </w:tcMar>
          </w:tcPr>
          <w:p w:rsidR="00102129" w:rsidRDefault="00102129" w:rsidP="00CE15F7">
            <w:r>
              <w:rPr>
                <w:color w:val="000000"/>
                <w:sz w:val="19"/>
                <w:szCs w:val="19"/>
              </w:rPr>
              <w:t>$1.2B+ (unicorn threshold)</w:t>
            </w:r>
          </w:p>
        </w:tc>
      </w:tr>
      <w:tr w:rsidR="00102129" w:rsidTr="00102129">
        <w:tblPrEx>
          <w:tblCellMar>
            <w:top w:w="0" w:type="dxa"/>
            <w:bottom w:w="0" w:type="dxa"/>
          </w:tblCellMar>
        </w:tblPrEx>
        <w:trPr>
          <w:trHeight w:val="309"/>
        </w:trPr>
        <w:tc>
          <w:tcPr>
            <w:tcW w:w="3483" w:type="dxa"/>
            <w:shd w:val="clear" w:color="auto" w:fill="F2F2F2"/>
            <w:tcMar>
              <w:top w:w="80" w:type="dxa"/>
              <w:left w:w="100" w:type="dxa"/>
              <w:bottom w:w="80" w:type="dxa"/>
              <w:right w:w="100" w:type="dxa"/>
            </w:tcMar>
          </w:tcPr>
          <w:p w:rsidR="00102129" w:rsidRDefault="00102129" w:rsidP="00CE15F7">
            <w:r>
              <w:rPr>
                <w:color w:val="000000"/>
                <w:sz w:val="19"/>
                <w:szCs w:val="19"/>
              </w:rPr>
              <w:t>Cumulative capital raised (illustrative)</w:t>
            </w:r>
          </w:p>
        </w:tc>
        <w:tc>
          <w:tcPr>
            <w:tcW w:w="3022" w:type="dxa"/>
            <w:shd w:val="clear" w:color="auto" w:fill="F2F2F2"/>
            <w:tcMar>
              <w:top w:w="80" w:type="dxa"/>
              <w:left w:w="100" w:type="dxa"/>
              <w:bottom w:w="80" w:type="dxa"/>
              <w:right w:w="100" w:type="dxa"/>
            </w:tcMar>
          </w:tcPr>
          <w:p w:rsidR="00102129" w:rsidRDefault="00102129" w:rsidP="00CE15F7">
            <w:r>
              <w:rPr>
                <w:color w:val="000000"/>
                <w:sz w:val="19"/>
                <w:szCs w:val="19"/>
              </w:rPr>
              <w:t>$0.75M</w:t>
            </w:r>
          </w:p>
        </w:tc>
        <w:tc>
          <w:tcPr>
            <w:tcW w:w="3073" w:type="dxa"/>
            <w:shd w:val="clear" w:color="auto" w:fill="F2F2F2"/>
            <w:tcMar>
              <w:top w:w="80" w:type="dxa"/>
              <w:left w:w="100" w:type="dxa"/>
              <w:bottom w:w="80" w:type="dxa"/>
              <w:right w:w="100" w:type="dxa"/>
            </w:tcMar>
          </w:tcPr>
          <w:p w:rsidR="00102129" w:rsidRDefault="00102129" w:rsidP="00CE15F7">
            <w:r>
              <w:rPr>
                <w:color w:val="000000"/>
                <w:sz w:val="19"/>
                <w:szCs w:val="19"/>
              </w:rPr>
              <w:t>~$236M across 5 rounds</w:t>
            </w:r>
          </w:p>
        </w:tc>
      </w:tr>
    </w:tbl>
    <w:p w:rsidR="00102129" w:rsidRDefault="00102129" w:rsidP="00102129">
      <w:pPr>
        <w:spacing w:before="60" w:after="200"/>
      </w:pPr>
      <w:r>
        <w:rPr>
          <w:i/>
          <w:iCs/>
          <w:color w:val="595959"/>
          <w:sz w:val="18"/>
          <w:szCs w:val="18"/>
        </w:rPr>
        <w:t>This dashboard summarizes the base-case scenario detailed in Sections 8–10. See Section 10.4 for bull/bear sensitivity.</w:t>
      </w:r>
    </w:p>
    <w:p w:rsidR="00102129" w:rsidRDefault="00102129" w:rsidP="00102129">
      <w:r>
        <w:br w:type="page"/>
      </w:r>
    </w:p>
    <w:p w:rsidR="00102129" w:rsidRPr="00102129" w:rsidRDefault="00102129" w:rsidP="00102129">
      <w:pPr>
        <w:pStyle w:val="Heading1"/>
        <w:spacing w:before="360" w:after="200" w:line="360" w:lineRule="auto"/>
        <w:rPr>
          <w:sz w:val="36"/>
          <w:szCs w:val="36"/>
        </w:rPr>
      </w:pPr>
      <w:r w:rsidRPr="00102129">
        <w:rPr>
          <w:sz w:val="36"/>
          <w:szCs w:val="36"/>
        </w:rPr>
        <w:lastRenderedPageBreak/>
        <w:t>Table of Contents</w:t>
      </w:r>
    </w:p>
    <w:p w:rsidR="00102129" w:rsidRPr="00102129" w:rsidRDefault="00102129" w:rsidP="00102129">
      <w:pPr>
        <w:spacing w:after="90" w:line="360" w:lineRule="auto"/>
        <w:rPr>
          <w:sz w:val="28"/>
          <w:szCs w:val="28"/>
        </w:rPr>
      </w:pPr>
      <w:r w:rsidRPr="00102129">
        <w:rPr>
          <w:b/>
          <w:bCs/>
          <w:sz w:val="28"/>
          <w:szCs w:val="28"/>
        </w:rPr>
        <w:t>1. Executive Summary</w:t>
      </w:r>
    </w:p>
    <w:p w:rsidR="00102129" w:rsidRPr="00102129" w:rsidRDefault="00102129" w:rsidP="00102129">
      <w:pPr>
        <w:spacing w:after="90" w:line="360" w:lineRule="auto"/>
        <w:rPr>
          <w:sz w:val="28"/>
          <w:szCs w:val="28"/>
        </w:rPr>
      </w:pPr>
      <w:r w:rsidRPr="00102129">
        <w:rPr>
          <w:b/>
          <w:bCs/>
          <w:sz w:val="28"/>
          <w:szCs w:val="28"/>
        </w:rPr>
        <w:t>2. The Unicorn Thesis — Why Xspeeria, Why Now, Why Five Years</w:t>
      </w:r>
    </w:p>
    <w:p w:rsidR="00102129" w:rsidRPr="00102129" w:rsidRDefault="00102129" w:rsidP="00102129">
      <w:pPr>
        <w:spacing w:after="90" w:line="360" w:lineRule="auto"/>
        <w:rPr>
          <w:sz w:val="28"/>
          <w:szCs w:val="28"/>
        </w:rPr>
      </w:pPr>
      <w:r w:rsidRPr="00102129">
        <w:rPr>
          <w:b/>
          <w:bCs/>
          <w:sz w:val="28"/>
          <w:szCs w:val="28"/>
        </w:rPr>
        <w:t>3. Market Opportunity &amp; The Currency Stability Problem</w:t>
      </w:r>
    </w:p>
    <w:p w:rsidR="00102129" w:rsidRPr="00102129" w:rsidRDefault="00102129" w:rsidP="00102129">
      <w:pPr>
        <w:spacing w:after="90" w:line="360" w:lineRule="auto"/>
        <w:rPr>
          <w:sz w:val="28"/>
          <w:szCs w:val="28"/>
        </w:rPr>
      </w:pPr>
      <w:r w:rsidRPr="00102129">
        <w:rPr>
          <w:b/>
          <w:bCs/>
          <w:sz w:val="28"/>
          <w:szCs w:val="28"/>
        </w:rPr>
        <w:t>4. Product &amp; Business Model</w:t>
      </w:r>
    </w:p>
    <w:p w:rsidR="00102129" w:rsidRPr="00102129" w:rsidRDefault="00102129" w:rsidP="00102129">
      <w:pPr>
        <w:spacing w:after="90" w:line="360" w:lineRule="auto"/>
        <w:rPr>
          <w:sz w:val="28"/>
          <w:szCs w:val="28"/>
        </w:rPr>
      </w:pPr>
      <w:r w:rsidRPr="00102129">
        <w:rPr>
          <w:b/>
          <w:bCs/>
          <w:sz w:val="28"/>
          <w:szCs w:val="28"/>
        </w:rPr>
        <w:t>5. Pricing Model &amp; Cost Advantage vs. Incumbents</w:t>
      </w:r>
    </w:p>
    <w:p w:rsidR="00102129" w:rsidRPr="00102129" w:rsidRDefault="00102129" w:rsidP="00102129">
      <w:pPr>
        <w:spacing w:after="90" w:line="360" w:lineRule="auto"/>
        <w:rPr>
          <w:sz w:val="28"/>
          <w:szCs w:val="28"/>
        </w:rPr>
      </w:pPr>
      <w:r w:rsidRPr="00102129">
        <w:rPr>
          <w:b/>
          <w:bCs/>
          <w:sz w:val="28"/>
          <w:szCs w:val="28"/>
        </w:rPr>
        <w:t>6. Competitive Positioning</w:t>
      </w:r>
    </w:p>
    <w:p w:rsidR="00102129" w:rsidRPr="00102129" w:rsidRDefault="00102129" w:rsidP="00102129">
      <w:pPr>
        <w:spacing w:after="90" w:line="360" w:lineRule="auto"/>
        <w:rPr>
          <w:sz w:val="28"/>
          <w:szCs w:val="28"/>
        </w:rPr>
      </w:pPr>
      <w:r w:rsidRPr="00102129">
        <w:rPr>
          <w:b/>
          <w:bCs/>
          <w:sz w:val="28"/>
          <w:szCs w:val="28"/>
        </w:rPr>
        <w:t>7. Banking Partner Strategy</w:t>
      </w:r>
    </w:p>
    <w:p w:rsidR="00102129" w:rsidRPr="00102129" w:rsidRDefault="00102129" w:rsidP="00102129">
      <w:pPr>
        <w:spacing w:after="90" w:line="360" w:lineRule="auto"/>
        <w:rPr>
          <w:sz w:val="28"/>
          <w:szCs w:val="28"/>
        </w:rPr>
      </w:pPr>
      <w:r w:rsidRPr="00102129">
        <w:rPr>
          <w:b/>
          <w:bCs/>
          <w:sz w:val="28"/>
          <w:szCs w:val="28"/>
        </w:rPr>
        <w:t>8. 5-Year Corridor Expansion Roadmap</w:t>
      </w:r>
    </w:p>
    <w:p w:rsidR="00102129" w:rsidRPr="00102129" w:rsidRDefault="00102129" w:rsidP="00102129">
      <w:pPr>
        <w:spacing w:after="90" w:line="360" w:lineRule="auto"/>
        <w:rPr>
          <w:sz w:val="28"/>
          <w:szCs w:val="28"/>
        </w:rPr>
      </w:pPr>
      <w:r w:rsidRPr="00102129">
        <w:rPr>
          <w:b/>
          <w:bCs/>
          <w:sz w:val="28"/>
          <w:szCs w:val="28"/>
        </w:rPr>
        <w:t>9. Leadership Team &amp; Board of Advisors</w:t>
      </w:r>
    </w:p>
    <w:p w:rsidR="00102129" w:rsidRPr="00102129" w:rsidRDefault="00102129" w:rsidP="00102129">
      <w:pPr>
        <w:spacing w:after="90" w:line="360" w:lineRule="auto"/>
        <w:rPr>
          <w:sz w:val="28"/>
          <w:szCs w:val="28"/>
        </w:rPr>
      </w:pPr>
      <w:r w:rsidRPr="00102129">
        <w:rPr>
          <w:b/>
          <w:bCs/>
          <w:sz w:val="28"/>
          <w:szCs w:val="28"/>
        </w:rPr>
        <w:t>10. Financial Plan — 5-Year Projections &amp; Scenario Analysis</w:t>
      </w:r>
    </w:p>
    <w:p w:rsidR="00102129" w:rsidRPr="00102129" w:rsidRDefault="00102129" w:rsidP="00102129">
      <w:pPr>
        <w:spacing w:after="90" w:line="360" w:lineRule="auto"/>
        <w:rPr>
          <w:sz w:val="28"/>
          <w:szCs w:val="28"/>
        </w:rPr>
      </w:pPr>
      <w:r w:rsidRPr="00102129">
        <w:rPr>
          <w:b/>
          <w:bCs/>
          <w:sz w:val="28"/>
          <w:szCs w:val="28"/>
        </w:rPr>
        <w:t>11. Capital Raise Strategy &amp; Valuation Trajectory</w:t>
      </w:r>
    </w:p>
    <w:p w:rsidR="00102129" w:rsidRPr="00102129" w:rsidRDefault="00102129" w:rsidP="00102129">
      <w:pPr>
        <w:spacing w:after="90" w:line="360" w:lineRule="auto"/>
        <w:rPr>
          <w:sz w:val="28"/>
          <w:szCs w:val="28"/>
        </w:rPr>
      </w:pPr>
      <w:r w:rsidRPr="00102129">
        <w:rPr>
          <w:b/>
          <w:bCs/>
          <w:sz w:val="28"/>
          <w:szCs w:val="28"/>
        </w:rPr>
        <w:t>12. Path to Unicorn — Milestones &amp; Value Drivers</w:t>
      </w:r>
    </w:p>
    <w:p w:rsidR="00102129" w:rsidRPr="00102129" w:rsidRDefault="00102129" w:rsidP="00102129">
      <w:pPr>
        <w:spacing w:after="90" w:line="360" w:lineRule="auto"/>
        <w:rPr>
          <w:sz w:val="28"/>
          <w:szCs w:val="28"/>
        </w:rPr>
      </w:pPr>
      <w:r w:rsidRPr="00102129">
        <w:rPr>
          <w:b/>
          <w:bCs/>
          <w:sz w:val="28"/>
          <w:szCs w:val="28"/>
        </w:rPr>
        <w:t>13. SWOT Analysis</w:t>
      </w:r>
    </w:p>
    <w:p w:rsidR="00102129" w:rsidRPr="00102129" w:rsidRDefault="00102129" w:rsidP="00102129">
      <w:pPr>
        <w:spacing w:after="90" w:line="360" w:lineRule="auto"/>
        <w:rPr>
          <w:sz w:val="28"/>
          <w:szCs w:val="28"/>
        </w:rPr>
      </w:pPr>
      <w:r w:rsidRPr="00102129">
        <w:rPr>
          <w:b/>
          <w:bCs/>
          <w:sz w:val="28"/>
          <w:szCs w:val="28"/>
        </w:rPr>
        <w:t>14. Impact Thesis — Nigeria &amp; Global Currency Stability</w:t>
      </w:r>
    </w:p>
    <w:p w:rsidR="00102129" w:rsidRPr="00102129" w:rsidRDefault="00102129" w:rsidP="00102129">
      <w:pPr>
        <w:spacing w:after="90" w:line="360" w:lineRule="auto"/>
        <w:rPr>
          <w:sz w:val="28"/>
          <w:szCs w:val="28"/>
        </w:rPr>
      </w:pPr>
      <w:r w:rsidRPr="00102129">
        <w:rPr>
          <w:b/>
          <w:bCs/>
          <w:sz w:val="28"/>
          <w:szCs w:val="28"/>
        </w:rPr>
        <w:t>15. Risk Factors &amp; Mitigants</w:t>
      </w:r>
    </w:p>
    <w:p w:rsidR="00102129" w:rsidRPr="00102129" w:rsidRDefault="00102129" w:rsidP="00102129">
      <w:pPr>
        <w:spacing w:after="90" w:line="360" w:lineRule="auto"/>
        <w:rPr>
          <w:sz w:val="28"/>
          <w:szCs w:val="28"/>
        </w:rPr>
      </w:pPr>
      <w:r w:rsidRPr="00102129">
        <w:rPr>
          <w:b/>
          <w:bCs/>
          <w:sz w:val="28"/>
          <w:szCs w:val="28"/>
        </w:rPr>
        <w:t>16. Exit Strategy &amp; Long-Term Optionality</w:t>
      </w:r>
    </w:p>
    <w:p w:rsidR="00102129" w:rsidRPr="00102129" w:rsidRDefault="00102129" w:rsidP="00102129">
      <w:pPr>
        <w:spacing w:after="90" w:line="360" w:lineRule="auto"/>
        <w:rPr>
          <w:sz w:val="28"/>
          <w:szCs w:val="28"/>
        </w:rPr>
      </w:pPr>
      <w:r w:rsidRPr="00102129">
        <w:rPr>
          <w:b/>
          <w:bCs/>
          <w:sz w:val="28"/>
          <w:szCs w:val="28"/>
        </w:rPr>
        <w:t>17. Conclusion &amp; The Ask</w:t>
      </w:r>
    </w:p>
    <w:p w:rsidR="00102129" w:rsidRDefault="00102129" w:rsidP="00102129">
      <w:r>
        <w:br w:type="page"/>
      </w:r>
    </w:p>
    <w:p w:rsidR="00102129" w:rsidRDefault="00102129" w:rsidP="00102129">
      <w:pPr>
        <w:pStyle w:val="Heading1"/>
        <w:spacing w:before="360" w:after="200"/>
      </w:pPr>
      <w:r>
        <w:lastRenderedPageBreak/>
        <w:t>1. Executive Summary</w:t>
      </w:r>
    </w:p>
    <w:p w:rsidR="00102129" w:rsidRDefault="00102129" w:rsidP="00102129">
      <w:pPr>
        <w:spacing w:after="160" w:line="300" w:lineRule="auto"/>
        <w:jc w:val="both"/>
      </w:pPr>
      <w:r>
        <w:t>Xspeeria is a non-custodial, peer-to-peer foreign exchange matching platform that connects individuals and businesses with complementary currency needs, and settles every matched transaction through licensed banking partners. It does not hold customer funds, does not run an FX book, and does not take a spread on the exchange rate. It earns a flat, transparent coordination fee, charged locally on both sides of every match.</w:t>
      </w:r>
    </w:p>
    <w:p w:rsidR="00102129" w:rsidRDefault="00102129" w:rsidP="00102129">
      <w:pPr>
        <w:spacing w:after="160" w:line="300" w:lineRule="auto"/>
        <w:jc w:val="both"/>
      </w:pPr>
      <w:r>
        <w:t>This document sets out an accelerated five-year strategic scenario under which Xspeeria compresses the corridor-expansion, multi-bank-network, and capital-raise trajectory previously modeled over ten years into five, targeting the $1 billion — “unicorn” — valuation threshold by Year 5. This is a deliberately aggressive planning case: it should be read alongside the scenario analysis in Section 10.4, which models a base, bull, and bear case rather than a single number, because a five-year unicorn trajectory in a regulated financial-infrastructure category carries meaningfully more execution risk than the original ten-year plan.</w:t>
      </w:r>
    </w:p>
    <w:p w:rsidR="00102129" w:rsidRDefault="00102129" w:rsidP="00102129">
      <w:pPr>
        <w:pStyle w:val="Heading2"/>
        <w:spacing w:before="260" w:after="140"/>
      </w:pPr>
      <w:r>
        <w:t>1.1 The Case in Five Points</w:t>
      </w:r>
    </w:p>
    <w:p w:rsidR="00102129" w:rsidRDefault="00102129" w:rsidP="00102129">
      <w:pPr>
        <w:pStyle w:val="ListParagraph"/>
        <w:numPr>
          <w:ilvl w:val="0"/>
          <w:numId w:val="11"/>
        </w:numPr>
        <w:spacing w:after="90"/>
      </w:pPr>
      <w:r>
        <w:t>A large, provable market: high two-way FX demand in African diaspora corridors, much of it currently served by informal, opaque, or margin-heavy channels.</w:t>
      </w:r>
    </w:p>
    <w:p w:rsidR="00102129" w:rsidRDefault="00102129" w:rsidP="00102129">
      <w:pPr>
        <w:pStyle w:val="ListParagraph"/>
        <w:numPr>
          <w:ilvl w:val="0"/>
          <w:numId w:val="11"/>
        </w:numPr>
        <w:spacing w:after="90"/>
      </w:pPr>
      <w:r>
        <w:t>A structurally cheaper pricing model: a flat, disclosed coordination fee tied to local transfer costs, rather than a hidden percentage margin embedded in the exchange rate.</w:t>
      </w:r>
    </w:p>
    <w:p w:rsidR="00102129" w:rsidRDefault="00102129" w:rsidP="00102129">
      <w:pPr>
        <w:pStyle w:val="ListParagraph"/>
        <w:numPr>
          <w:ilvl w:val="0"/>
          <w:numId w:val="11"/>
        </w:numPr>
        <w:spacing w:after="90"/>
      </w:pPr>
      <w:r>
        <w:t>A capital-light, bank-partnered infrastructure model: no FX book, no custodial risk, low balance-sheet requirement — capital is spent on technology, compliance, and growth, not on funding a trading book.</w:t>
      </w:r>
    </w:p>
    <w:p w:rsidR="00102129" w:rsidRDefault="00102129" w:rsidP="00102129">
      <w:pPr>
        <w:pStyle w:val="ListParagraph"/>
        <w:numPr>
          <w:ilvl w:val="0"/>
          <w:numId w:val="11"/>
        </w:numPr>
        <w:spacing w:after="90"/>
      </w:pPr>
      <w:r>
        <w:t>A network-effect business, compressed: aggressive, parallel (not sequential) corridor and bank-partner rollout from Year 2 onward is the single biggest lever that makes a five-year timeline plausible.</w:t>
      </w:r>
    </w:p>
    <w:p w:rsidR="00102129" w:rsidRDefault="00102129" w:rsidP="00102129">
      <w:pPr>
        <w:pStyle w:val="ListParagraph"/>
        <w:numPr>
          <w:ilvl w:val="0"/>
          <w:numId w:val="11"/>
        </w:numPr>
        <w:spacing w:after="90"/>
      </w:pPr>
      <w:r>
        <w:t>A public-good dimension: formalizing currently invisible P2P FX flows into monitored, licensed banking channels supports AML visibility and orderly, transparent currency markets — a story that resonates with regulators, not just investors.</w:t>
      </w:r>
    </w:p>
    <w:p w:rsidR="00102129" w:rsidRDefault="00102129" w:rsidP="00102129">
      <w:r>
        <w:br w:type="page"/>
      </w:r>
    </w:p>
    <w:p w:rsidR="00102129" w:rsidRDefault="00102129" w:rsidP="00102129">
      <w:pPr>
        <w:pStyle w:val="Heading1"/>
        <w:spacing w:before="360" w:after="200"/>
      </w:pPr>
      <w:r>
        <w:lastRenderedPageBreak/>
        <w:t>2. The Unicorn Thesis — Why Xspeeria, Why Now, Why Five Years</w:t>
      </w:r>
    </w:p>
    <w:p w:rsidR="00102129" w:rsidRDefault="00102129" w:rsidP="00102129">
      <w:pPr>
        <w:spacing w:after="160" w:line="300" w:lineRule="auto"/>
        <w:jc w:val="both"/>
      </w:pPr>
      <w:r>
        <w:t>Compressing this plan from ten years to five years is not simply 'the same plan, faster.' It requires a different operating posture from Year 2 onward: parallel rather than sequential corridor launches, simultaneous rather than staged bank-partner onboarding, and front-loaded capital deployment. The thesis below explains why this compression is plausible — not certain — for this specific category.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102129" w:rsidTr="00CE15F7">
        <w:tblPrEx>
          <w:tblCellMar>
            <w:top w:w="0" w:type="dxa"/>
            <w:bottom w:w="0" w:type="dxa"/>
          </w:tblCellMar>
        </w:tblPrEx>
        <w:trPr>
          <w:tblHeader/>
        </w:trPr>
        <w:tc>
          <w:tcPr>
            <w:tcW w:w="2900" w:type="dxa"/>
            <w:shd w:val="clear" w:color="auto" w:fill="12284B"/>
            <w:tcMar>
              <w:top w:w="80" w:type="dxa"/>
              <w:left w:w="100" w:type="dxa"/>
              <w:bottom w:w="80" w:type="dxa"/>
              <w:right w:w="100" w:type="dxa"/>
            </w:tcMar>
          </w:tcPr>
          <w:p w:rsidR="00102129" w:rsidRDefault="00102129" w:rsidP="00CE15F7">
            <w:r>
              <w:rPr>
                <w:b/>
                <w:bCs/>
                <w:color w:val="FFFFFF"/>
                <w:sz w:val="19"/>
                <w:szCs w:val="19"/>
              </w:rPr>
              <w:t>Unicorn Pattern</w:t>
            </w:r>
          </w:p>
        </w:tc>
        <w:tc>
          <w:tcPr>
            <w:tcW w:w="6450" w:type="dxa"/>
            <w:shd w:val="clear" w:color="auto" w:fill="12284B"/>
            <w:tcMar>
              <w:top w:w="80" w:type="dxa"/>
              <w:left w:w="100" w:type="dxa"/>
              <w:bottom w:w="80" w:type="dxa"/>
              <w:right w:w="100" w:type="dxa"/>
            </w:tcMar>
          </w:tcPr>
          <w:p w:rsidR="00102129" w:rsidRDefault="00102129" w:rsidP="00CE15F7">
            <w:r>
              <w:rPr>
                <w:b/>
                <w:bCs/>
                <w:color w:val="FFFFFF"/>
                <w:sz w:val="19"/>
                <w:szCs w:val="19"/>
              </w:rPr>
              <w:t>How Xspeeria Fits, on a 5-Year Clock</w:t>
            </w:r>
          </w:p>
        </w:tc>
      </w:tr>
      <w:tr w:rsidR="00102129" w:rsidTr="00CE15F7">
        <w:tblPrEx>
          <w:tblCellMar>
            <w:top w:w="0" w:type="dxa"/>
            <w:bottom w:w="0" w:type="dxa"/>
          </w:tblCellMar>
        </w:tblPrEx>
        <w:tc>
          <w:tcPr>
            <w:tcW w:w="2900" w:type="dxa"/>
            <w:shd w:val="clear" w:color="auto" w:fill="FFFFFF"/>
            <w:tcMar>
              <w:top w:w="80" w:type="dxa"/>
              <w:left w:w="100" w:type="dxa"/>
              <w:bottom w:w="80" w:type="dxa"/>
              <w:right w:w="100" w:type="dxa"/>
            </w:tcMar>
          </w:tcPr>
          <w:p w:rsidR="00102129" w:rsidRDefault="00102129" w:rsidP="00CE15F7">
            <w:r>
              <w:rPr>
                <w:color w:val="000000"/>
                <w:sz w:val="19"/>
                <w:szCs w:val="19"/>
              </w:rPr>
              <w:t>Large, underserved pain point</w:t>
            </w:r>
          </w:p>
        </w:tc>
        <w:tc>
          <w:tcPr>
            <w:tcW w:w="6450" w:type="dxa"/>
            <w:shd w:val="clear" w:color="auto" w:fill="FFFFFF"/>
            <w:tcMar>
              <w:top w:w="80" w:type="dxa"/>
              <w:left w:w="100" w:type="dxa"/>
              <w:bottom w:w="80" w:type="dxa"/>
              <w:right w:w="100" w:type="dxa"/>
            </w:tcMar>
          </w:tcPr>
          <w:p w:rsidR="00102129" w:rsidRDefault="00102129" w:rsidP="00CE15F7">
            <w:r>
              <w:rPr>
                <w:color w:val="000000"/>
                <w:sz w:val="19"/>
                <w:szCs w:val="19"/>
              </w:rPr>
              <w:t>Cross-border FX for African diaspora corridors is high-volume, high-friction, and currently served by a mix of costly formal channels and risky informal ones — demand does not need to be created, only captured.</w:t>
            </w:r>
          </w:p>
        </w:tc>
      </w:tr>
      <w:tr w:rsidR="00102129" w:rsidTr="00CE15F7">
        <w:tblPrEx>
          <w:tblCellMar>
            <w:top w:w="0" w:type="dxa"/>
            <w:bottom w:w="0" w:type="dxa"/>
          </w:tblCellMar>
        </w:tblPrEx>
        <w:tc>
          <w:tcPr>
            <w:tcW w:w="2900" w:type="dxa"/>
            <w:shd w:val="clear" w:color="auto" w:fill="F2F2F2"/>
            <w:tcMar>
              <w:top w:w="80" w:type="dxa"/>
              <w:left w:w="100" w:type="dxa"/>
              <w:bottom w:w="80" w:type="dxa"/>
              <w:right w:w="100" w:type="dxa"/>
            </w:tcMar>
          </w:tcPr>
          <w:p w:rsidR="00102129" w:rsidRDefault="00102129" w:rsidP="00CE15F7">
            <w:r>
              <w:rPr>
                <w:color w:val="000000"/>
                <w:sz w:val="19"/>
                <w:szCs w:val="19"/>
              </w:rPr>
              <w:t>Capital-efficient model</w:t>
            </w:r>
          </w:p>
        </w:tc>
        <w:tc>
          <w:tcPr>
            <w:tcW w:w="6450" w:type="dxa"/>
            <w:shd w:val="clear" w:color="auto" w:fill="F2F2F2"/>
            <w:tcMar>
              <w:top w:w="80" w:type="dxa"/>
              <w:left w:w="100" w:type="dxa"/>
              <w:bottom w:w="80" w:type="dxa"/>
              <w:right w:w="100" w:type="dxa"/>
            </w:tcMar>
          </w:tcPr>
          <w:p w:rsidR="00102129" w:rsidRDefault="00102129" w:rsidP="00CE15F7">
            <w:r>
              <w:rPr>
                <w:color w:val="000000"/>
                <w:sz w:val="19"/>
                <w:szCs w:val="19"/>
              </w:rPr>
              <w:t>Xspeeria never holds an FX book or custodial balance — capital raised funds technology, compliance, and growth, not a balance sheet, which is precisely what allows front-loaded, parallel expansion without proportionally front-loaded capital risk.</w:t>
            </w:r>
          </w:p>
        </w:tc>
      </w:tr>
      <w:tr w:rsidR="00102129" w:rsidTr="00CE15F7">
        <w:tblPrEx>
          <w:tblCellMar>
            <w:top w:w="0" w:type="dxa"/>
            <w:bottom w:w="0" w:type="dxa"/>
          </w:tblCellMar>
        </w:tblPrEx>
        <w:tc>
          <w:tcPr>
            <w:tcW w:w="2900" w:type="dxa"/>
            <w:shd w:val="clear" w:color="auto" w:fill="FFFFFF"/>
            <w:tcMar>
              <w:top w:w="80" w:type="dxa"/>
              <w:left w:w="100" w:type="dxa"/>
              <w:bottom w:w="80" w:type="dxa"/>
              <w:right w:w="100" w:type="dxa"/>
            </w:tcMar>
          </w:tcPr>
          <w:p w:rsidR="00102129" w:rsidRDefault="00102129" w:rsidP="00CE15F7">
            <w:r>
              <w:rPr>
                <w:color w:val="000000"/>
                <w:sz w:val="19"/>
                <w:szCs w:val="19"/>
              </w:rPr>
              <w:t>Network effects that compound fast once triggered</w:t>
            </w:r>
          </w:p>
        </w:tc>
        <w:tc>
          <w:tcPr>
            <w:tcW w:w="6450" w:type="dxa"/>
            <w:shd w:val="clear" w:color="auto" w:fill="FFFFFF"/>
            <w:tcMar>
              <w:top w:w="80" w:type="dxa"/>
              <w:left w:w="100" w:type="dxa"/>
              <w:bottom w:w="80" w:type="dxa"/>
              <w:right w:w="100" w:type="dxa"/>
            </w:tcMar>
          </w:tcPr>
          <w:p w:rsidR="00102129" w:rsidRDefault="00102129" w:rsidP="00CE15F7">
            <w:r>
              <w:rPr>
                <w:color w:val="000000"/>
                <w:sz w:val="19"/>
                <w:szCs w:val="19"/>
              </w:rPr>
              <w:t>Every new verified user increases match speed for the next user; every new bank partner unlocks new corridors instantly rather than requiring a fresh multi-month build — once the anchor integration and playbook exist (Section 7), replication is materially faster than the first build.</w:t>
            </w:r>
          </w:p>
        </w:tc>
      </w:tr>
      <w:tr w:rsidR="00102129" w:rsidTr="00CE15F7">
        <w:tblPrEx>
          <w:tblCellMar>
            <w:top w:w="0" w:type="dxa"/>
            <w:bottom w:w="0" w:type="dxa"/>
          </w:tblCellMar>
        </w:tblPrEx>
        <w:tc>
          <w:tcPr>
            <w:tcW w:w="2900" w:type="dxa"/>
            <w:shd w:val="clear" w:color="auto" w:fill="F2F2F2"/>
            <w:tcMar>
              <w:top w:w="80" w:type="dxa"/>
              <w:left w:w="100" w:type="dxa"/>
              <w:bottom w:w="80" w:type="dxa"/>
              <w:right w:w="100" w:type="dxa"/>
            </w:tcMar>
          </w:tcPr>
          <w:p w:rsidR="00102129" w:rsidRDefault="00102129" w:rsidP="00CE15F7">
            <w:r>
              <w:rPr>
                <w:color w:val="000000"/>
                <w:sz w:val="19"/>
                <w:szCs w:val="19"/>
              </w:rPr>
              <w:t>Defensible trust layer built early, not late</w:t>
            </w:r>
          </w:p>
        </w:tc>
        <w:tc>
          <w:tcPr>
            <w:tcW w:w="6450" w:type="dxa"/>
            <w:shd w:val="clear" w:color="auto" w:fill="F2F2F2"/>
            <w:tcMar>
              <w:top w:w="80" w:type="dxa"/>
              <w:left w:w="100" w:type="dxa"/>
              <w:bottom w:w="80" w:type="dxa"/>
              <w:right w:w="100" w:type="dxa"/>
            </w:tcMar>
          </w:tcPr>
          <w:p w:rsidR="00102129" w:rsidRDefault="00102129" w:rsidP="00CE15F7">
            <w:r>
              <w:rPr>
                <w:color w:val="000000"/>
                <w:sz w:val="19"/>
                <w:szCs w:val="19"/>
              </w:rPr>
              <w:t>A regulation-first posture and dual-confirmation settlement, proven in the pilot, become a reusable credibility asset for every subsequent bank and corridor negotiation — the second, third, and fourth bank conversations move faster than the first.</w:t>
            </w:r>
          </w:p>
        </w:tc>
      </w:tr>
      <w:tr w:rsidR="00102129" w:rsidTr="00CE15F7">
        <w:tblPrEx>
          <w:tblCellMar>
            <w:top w:w="0" w:type="dxa"/>
            <w:bottom w:w="0" w:type="dxa"/>
          </w:tblCellMar>
        </w:tblPrEx>
        <w:tc>
          <w:tcPr>
            <w:tcW w:w="2900" w:type="dxa"/>
            <w:shd w:val="clear" w:color="auto" w:fill="FFFFFF"/>
            <w:tcMar>
              <w:top w:w="80" w:type="dxa"/>
              <w:left w:w="100" w:type="dxa"/>
              <w:bottom w:w="80" w:type="dxa"/>
              <w:right w:w="100" w:type="dxa"/>
            </w:tcMar>
          </w:tcPr>
          <w:p w:rsidR="00102129" w:rsidRDefault="00102129" w:rsidP="00CE15F7">
            <w:r>
              <w:rPr>
                <w:color w:val="000000"/>
                <w:sz w:val="19"/>
                <w:szCs w:val="19"/>
              </w:rPr>
              <w:t>Comparable precedent for pace</w:t>
            </w:r>
          </w:p>
        </w:tc>
        <w:tc>
          <w:tcPr>
            <w:tcW w:w="6450" w:type="dxa"/>
            <w:shd w:val="clear" w:color="auto" w:fill="FFFFFF"/>
            <w:tcMar>
              <w:top w:w="80" w:type="dxa"/>
              <w:left w:w="100" w:type="dxa"/>
              <w:bottom w:w="80" w:type="dxa"/>
              <w:right w:w="100" w:type="dxa"/>
            </w:tcMar>
          </w:tcPr>
          <w:p w:rsidR="00102129" w:rsidRDefault="00102129" w:rsidP="00CE15F7">
            <w:r>
              <w:rPr>
                <w:color w:val="000000"/>
                <w:sz w:val="19"/>
                <w:szCs w:val="19"/>
              </w:rPr>
              <w:t>Several cross-border African/diaspora fintechs have shown category-level evidence that five-year paths from single-digit-million to billion-dollar valuations are achievable when corridor density and trust compound quickly — this plan targets a comparable pace, not a guaranteed one.</w:t>
            </w:r>
          </w:p>
        </w:tc>
      </w:tr>
    </w:tbl>
    <w:p w:rsidR="00102129" w:rsidRDefault="00102129" w:rsidP="00102129">
      <w:pPr>
        <w:spacing w:before="60" w:after="200"/>
      </w:pPr>
      <w:r>
        <w:rPr>
          <w:i/>
          <w:iCs/>
          <w:color w:val="595959"/>
          <w:sz w:val="18"/>
          <w:szCs w:val="18"/>
        </w:rPr>
        <w:t>Table 2.1: A strategic analogy to observed category patterns, not a claim that Xspeeria will replicate any specific company's outcome or timeline.</w:t>
      </w:r>
    </w:p>
    <w:p w:rsidR="00102129" w:rsidRDefault="00102129" w:rsidP="00102129">
      <w:r>
        <w:br w:type="page"/>
      </w:r>
    </w:p>
    <w:p w:rsidR="00102129" w:rsidRDefault="00102129" w:rsidP="00102129">
      <w:pPr>
        <w:pStyle w:val="Heading1"/>
        <w:spacing w:before="360" w:after="200"/>
      </w:pPr>
      <w:r>
        <w:lastRenderedPageBreak/>
        <w:t>3. Market Opportunity &amp; The Currency Stability Problem</w:t>
      </w:r>
    </w:p>
    <w:p w:rsidR="00102129" w:rsidRDefault="00102129" w:rsidP="00102129">
      <w:pPr>
        <w:pStyle w:val="Heading2"/>
        <w:spacing w:before="260" w:after="140"/>
      </w:pPr>
      <w:r>
        <w:t>3.1 The Nigeria Angle</w:t>
      </w:r>
    </w:p>
    <w:p w:rsidR="00102129" w:rsidRDefault="00102129" w:rsidP="00102129">
      <w:pPr>
        <w:spacing w:after="160" w:line="300" w:lineRule="auto"/>
        <w:jc w:val="both"/>
      </w:pPr>
      <w:r>
        <w:t>Nigeria's foreign exchange market has, in recent years, struggled with parallel-market premiums, FX scarcity at official windows, and a large volume of transactions pushed into informal, untracked P2P and “black market” channels. This is not simply a convenience problem — it is a market-transparency problem: when a large share of real FX demand and supply is invisible to the banking system and the central bank, official and unofficial rates diverge, price discovery is distorted, and monetary policy has a harder time working as intended.</w:t>
      </w:r>
    </w:p>
    <w:p w:rsidR="00102129" w:rsidRDefault="00102129" w:rsidP="00102129">
      <w:pPr>
        <w:pStyle w:val="Heading2"/>
        <w:spacing w:before="260" w:after="140"/>
      </w:pPr>
      <w:r>
        <w:t>3.2 The Global Angle</w:t>
      </w:r>
    </w:p>
    <w:p w:rsidR="00102129" w:rsidRDefault="00102129" w:rsidP="00102129">
      <w:pPr>
        <w:spacing w:after="160" w:line="300" w:lineRule="auto"/>
        <w:jc w:val="both"/>
      </w:pPr>
      <w:r>
        <w:t>The same dynamic, at smaller scale, plays out across many emerging-market corridors: Ghana, Kenya, and other African markets with capital controls or FX scarcity see similar informal-channel leakage. Meanwhile, diaspora communities in the UK, US, Canada, and elsewhere face a remittance and FX industry that is improving on transparency but still charges margin-based pricing that is opaque to the average sender.</w:t>
      </w:r>
    </w:p>
    <w:p w:rsidR="00102129" w:rsidRDefault="00102129" w:rsidP="00102129">
      <w:pPr>
        <w:pStyle w:val="Heading2"/>
        <w:spacing w:before="260" w:after="140"/>
      </w:pPr>
      <w:r>
        <w:t>3.3 Market Sizing (Indicative)</w:t>
      </w:r>
    </w:p>
    <w:p w:rsidR="00102129" w:rsidRDefault="00102129" w:rsidP="00102129">
      <w:pPr>
        <w:spacing w:after="160" w:line="300" w:lineRule="auto"/>
        <w:jc w:val="both"/>
      </w:pPr>
      <w:r>
        <w:t>Global cross-border payments revenue is estimated in industry commentary to grow from roughly $213B in 2025 to roughly $320B by 2030. Xspeeria's addressable slice is the peer-to-peer-matchable portion of this flow in its target corridors — a figure that should be built bottom-up from corridor-level remittance and trade-FX data during Phase 1 diligence, rather than asserted top-down; the estimate above is a directional industry reference, not Xspeeria's own sizing.</w:t>
      </w:r>
    </w:p>
    <w:p w:rsidR="00102129" w:rsidRDefault="00102129" w:rsidP="00102129">
      <w:r>
        <w:br w:type="page"/>
      </w:r>
    </w:p>
    <w:p w:rsidR="00102129" w:rsidRDefault="00102129" w:rsidP="00102129">
      <w:pPr>
        <w:pStyle w:val="Heading1"/>
        <w:spacing w:before="360" w:after="200"/>
      </w:pPr>
      <w:r>
        <w:lastRenderedPageBreak/>
        <w:t>4. Product &amp; Business Model</w:t>
      </w:r>
    </w:p>
    <w:p w:rsidR="00102129" w:rsidRDefault="00102129" w:rsidP="00102129">
      <w:pPr>
        <w:spacing w:after="160" w:line="300" w:lineRule="auto"/>
        <w:jc w:val="both"/>
      </w:pPr>
      <w:r>
        <w:t>Xspeeria matches a verified user who holds Currency A and wants Currency B with a verified user who holds Currency B and wants Currency A, in the same or comparable amount. Both parties fund a bank-held escrow account in their own local currency; the partner bank releases funds to both sides only once both deposits are confirmed (dual confirmation). Xspeeria never takes custody of funds and never operates a proprietary trading book.</w:t>
      </w:r>
    </w:p>
    <w:p w:rsidR="00102129" w:rsidRDefault="00102129" w:rsidP="00102129">
      <w:pPr>
        <w:pStyle w:val="Heading2"/>
        <w:spacing w:before="260" w:after="140"/>
      </w:pPr>
      <w:r>
        <w:t>4.1 Why This Model Scales Efficiently — and Fast</w:t>
      </w:r>
    </w:p>
    <w:p w:rsidR="00102129" w:rsidRDefault="00102129" w:rsidP="00102129">
      <w:pPr>
        <w:pStyle w:val="ListParagraph"/>
        <w:numPr>
          <w:ilvl w:val="0"/>
          <w:numId w:val="11"/>
        </w:numPr>
        <w:spacing w:after="90"/>
      </w:pPr>
      <w:r>
        <w:t>No FX inventory risk — Xspeeria is never exposed to currency movements between matching and settlement.</w:t>
      </w:r>
    </w:p>
    <w:p w:rsidR="00102129" w:rsidRDefault="00102129" w:rsidP="00102129">
      <w:pPr>
        <w:pStyle w:val="ListParagraph"/>
        <w:numPr>
          <w:ilvl w:val="0"/>
          <w:numId w:val="11"/>
        </w:numPr>
        <w:spacing w:after="90"/>
      </w:pPr>
      <w:r>
        <w:t>No balance-sheet funding requirement to hold customer funds — capital raised goes into product, compliance, and growth, not into a trading or lending book, which is what enables the front-loaded expansion this 5-year plan requires.</w:t>
      </w:r>
    </w:p>
    <w:p w:rsidR="00102129" w:rsidRDefault="00102129" w:rsidP="00102129">
      <w:pPr>
        <w:pStyle w:val="ListParagraph"/>
        <w:numPr>
          <w:ilvl w:val="0"/>
          <w:numId w:val="11"/>
        </w:numPr>
        <w:spacing w:after="90"/>
      </w:pPr>
      <w:r>
        <w:t>Marginal cost of an additional matched transaction is near-zero once the platform and bank integration exist, supporting high operating leverage as volume scales.</w:t>
      </w:r>
    </w:p>
    <w:p w:rsidR="00102129" w:rsidRDefault="00102129" w:rsidP="00102129">
      <w:pPr>
        <w:pStyle w:val="ListParagraph"/>
        <w:numPr>
          <w:ilvl w:val="0"/>
          <w:numId w:val="11"/>
        </w:numPr>
        <w:spacing w:after="90"/>
      </w:pPr>
      <w:r>
        <w:t>Multi-sided network effect: more users → faster matches → more users; more banks → more corridors/payout options → more users; more corridors → more cross-corridor matching flexibility — and each loop tightens as the base grows, which is the structural reason a compressed timeline is plausible rather than merely aspirational.</w:t>
      </w:r>
    </w:p>
    <w:p w:rsidR="00102129" w:rsidRDefault="00102129" w:rsidP="00102129">
      <w:r>
        <w:br w:type="page"/>
      </w:r>
    </w:p>
    <w:p w:rsidR="00102129" w:rsidRDefault="00102129" w:rsidP="00102129">
      <w:pPr>
        <w:pStyle w:val="Heading1"/>
        <w:spacing w:before="360" w:after="200"/>
      </w:pPr>
      <w:r>
        <w:lastRenderedPageBreak/>
        <w:t>5. Pricing Model &amp; Cost Advantage vs. Incumbents</w:t>
      </w:r>
    </w:p>
    <w:p w:rsidR="00102129" w:rsidRDefault="00102129" w:rsidP="00102129">
      <w:pPr>
        <w:pStyle w:val="Heading2"/>
        <w:spacing w:before="260" w:after="140"/>
      </w:pPr>
      <w:r>
        <w:t>5.1 The Pricing Principle</w:t>
      </w:r>
    </w:p>
    <w:p w:rsidR="00102129" w:rsidRDefault="00102129" w:rsidP="00102129">
      <w:pPr>
        <w:spacing w:after="160" w:line="300" w:lineRule="auto"/>
        <w:jc w:val="both"/>
      </w:pPr>
      <w:r>
        <w:t>Xspeeria charges a flat coordination fee on each side of a matched transaction, in local currency, calculated as a multiple of the standard local instant-transfer cost in that country — rather than a percentage of the transaction amount, and rather than a margin embedded inside the exchange rate. The proposed benchmark multiple is 7.5x the prevailing local domestic instant-transfer fee, with a minimum floor fee applied in corridors where domestic transfers are priced near zero, to keep the model commercially sustainable.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02129" w:rsidTr="00CE15F7">
        <w:tblPrEx>
          <w:tblCellMar>
            <w:top w:w="0" w:type="dxa"/>
            <w:bottom w:w="0" w:type="dxa"/>
          </w:tblCellMar>
        </w:tblPrEx>
        <w:tc>
          <w:tcPr>
            <w:tcW w:w="0" w:type="auto"/>
            <w:tcBorders>
              <w:top w:val="single" w:sz="6" w:space="0" w:color="9C2B2B"/>
              <w:left w:val="single" w:sz="6" w:space="0" w:color="9C2B2B"/>
              <w:bottom w:val="single" w:sz="6" w:space="0" w:color="9C2B2B"/>
              <w:right w:val="single" w:sz="6" w:space="0" w:color="9C2B2B"/>
            </w:tcBorders>
            <w:shd w:val="clear" w:color="auto" w:fill="FBEAEA"/>
            <w:tcMar>
              <w:top w:w="120" w:type="dxa"/>
              <w:left w:w="160" w:type="dxa"/>
              <w:bottom w:w="120" w:type="dxa"/>
              <w:right w:w="160" w:type="dxa"/>
            </w:tcMar>
          </w:tcPr>
          <w:p w:rsidR="00102129" w:rsidRDefault="00102129" w:rsidP="00CE15F7">
            <w:pPr>
              <w:spacing w:after="60"/>
            </w:pPr>
            <w:r>
              <w:rPr>
                <w:b/>
                <w:bCs/>
                <w:color w:val="9C2B2B"/>
                <w:sz w:val="20"/>
                <w:szCs w:val="20"/>
              </w:rPr>
              <w:t>Worked Example — Nigeria Leg (Illustrative)</w:t>
            </w:r>
          </w:p>
          <w:p w:rsidR="00102129" w:rsidRDefault="00102129" w:rsidP="00CE15F7">
            <w:r>
              <w:rPr>
                <w:color w:val="3A1414"/>
                <w:sz w:val="20"/>
                <w:szCs w:val="20"/>
              </w:rPr>
              <w:t>Nigeria's interbank instant transfer (NIP) fee is tiered by regulator/industry convention, commonly around ₦10–₦50 depending on amount sent. Using the ₦50 tier as the benchmark: Xspeeria's Nigeria-side coordination fee = ₦50 × 7.5 = ₦375 per matched transaction, regardless of whether the matched amount is ₦200,000 or ₦2,000,000. This is a flat fee, not a percentage — it does not grow with the size of the transfer. Actual NIP fee tiers, and the multiple applied, should be reconfirmed against current NIBSS/CBN published rates before publishing this figure externally.</w:t>
            </w:r>
          </w:p>
        </w:tc>
      </w:tr>
    </w:tbl>
    <w:p w:rsidR="00102129" w:rsidRDefault="00102129" w:rsidP="00102129">
      <w:pPr>
        <w:spacing w:after="160" w:line="300" w:lineRule="auto"/>
        <w:jc w:val="both"/>
      </w:pPr>
      <w:r>
        <w:t>On the counterpart leg (e.g., a UK Faster Payments transfer, which is typically free to consumers), the 7.5x multiplier would round to zero; in such corridors Xspeeria applies a minimum flat coordination fee (e.g., a small fixed amount in the local currency) instead, so the model remains commercially viable while still being priced off a local, low-cost benchmark rather than a percentage of the FX amount.</w:t>
      </w:r>
    </w:p>
    <w:p w:rsidR="00102129" w:rsidRDefault="00102129" w:rsidP="00102129">
      <w:pPr>
        <w:pStyle w:val="Heading2"/>
        <w:spacing w:before="260" w:after="140"/>
      </w:pPr>
      <w:r>
        <w:t>5.2 How This Compares to LemFi's Model</w:t>
      </w:r>
    </w:p>
    <w:p w:rsidR="00102129" w:rsidRDefault="00102129" w:rsidP="00102129">
      <w:pPr>
        <w:spacing w:after="160" w:line="300" w:lineRule="auto"/>
        <w:jc w:val="both"/>
      </w:pPr>
      <w:r>
        <w:t>Independent reviews of LemFi's pricing consistently describe the same structure: LemFi charges a zero or near-zero flat transfer fee on most corridors, including Nigeria, Ghana, and Kenya, and instead earns its margin inside the exchange rate itself, typically in a range of roughly 0.5% to 2% on its busiest African routes. Because that margin is a percentage of the amount sent, the absolute cost to the customer rises in direct proportion to transaction size — a small transfer and a large transfer pay the same percentage, but very different absolute amounts.</w:t>
      </w:r>
    </w:p>
    <w:p w:rsidR="00102129" w:rsidRDefault="00102129" w:rsidP="00102129">
      <w:pPr>
        <w:spacing w:after="160" w:line="300" w:lineRule="auto"/>
        <w:jc w:val="both"/>
      </w:pPr>
      <w:r>
        <w:t>Xspeeria's flat, local-transfer-cost-based fee behaves the opposite way: the absolute fee stays roughly constant as transaction size grows, so the effective cost as a percentage of the transaction falls the larger the transfer. This produces a genuine, structural crossover point beyond which Xspeeria is materially cheaper than a percentage-margin competitor — and the advantage compounds for the SME, trade, and larger remittance transactions Xspeeria is also targeting, not just small personal remittances.</w:t>
      </w:r>
    </w:p>
    <w:p w:rsidR="00102129" w:rsidRDefault="00102129" w:rsidP="00102129">
      <w:pPr>
        <w:pStyle w:val="Heading2"/>
        <w:spacing w:before="260" w:after="140"/>
      </w:pPr>
      <w:r>
        <w:t>5.3 Illustrative Cost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450"/>
        <w:gridCol w:w="2450"/>
        <w:gridCol w:w="1550"/>
      </w:tblGrid>
      <w:tr w:rsidR="00102129" w:rsidTr="00CE15F7">
        <w:tblPrEx>
          <w:tblCellMar>
            <w:top w:w="0" w:type="dxa"/>
            <w:bottom w:w="0" w:type="dxa"/>
          </w:tblCellMar>
        </w:tblPrEx>
        <w:trPr>
          <w:tblHeader/>
        </w:trPr>
        <w:tc>
          <w:tcPr>
            <w:tcW w:w="2900" w:type="dxa"/>
            <w:shd w:val="clear" w:color="auto" w:fill="12284B"/>
            <w:tcMar>
              <w:top w:w="80" w:type="dxa"/>
              <w:left w:w="100" w:type="dxa"/>
              <w:bottom w:w="80" w:type="dxa"/>
              <w:right w:w="100" w:type="dxa"/>
            </w:tcMar>
          </w:tcPr>
          <w:p w:rsidR="00102129" w:rsidRDefault="00102129" w:rsidP="00CE15F7">
            <w:r>
              <w:rPr>
                <w:b/>
                <w:bCs/>
                <w:color w:val="FFFFFF"/>
                <w:sz w:val="19"/>
                <w:szCs w:val="19"/>
              </w:rPr>
              <w:t>Transaction Size (NGN equivalent)</w:t>
            </w:r>
          </w:p>
        </w:tc>
        <w:tc>
          <w:tcPr>
            <w:tcW w:w="2450" w:type="dxa"/>
            <w:shd w:val="clear" w:color="auto" w:fill="12284B"/>
            <w:tcMar>
              <w:top w:w="80" w:type="dxa"/>
              <w:left w:w="100" w:type="dxa"/>
              <w:bottom w:w="80" w:type="dxa"/>
              <w:right w:w="100" w:type="dxa"/>
            </w:tcMar>
          </w:tcPr>
          <w:p w:rsidR="00102129" w:rsidRDefault="00102129" w:rsidP="00CE15F7">
            <w:r>
              <w:rPr>
                <w:b/>
                <w:bCs/>
                <w:color w:val="FFFFFF"/>
                <w:sz w:val="19"/>
                <w:szCs w:val="19"/>
              </w:rPr>
              <w:t>Xspeeria Flat Fee (both legs, illustrative)</w:t>
            </w:r>
          </w:p>
        </w:tc>
        <w:tc>
          <w:tcPr>
            <w:tcW w:w="2450" w:type="dxa"/>
            <w:shd w:val="clear" w:color="auto" w:fill="12284B"/>
            <w:tcMar>
              <w:top w:w="80" w:type="dxa"/>
              <w:left w:w="100" w:type="dxa"/>
              <w:bottom w:w="80" w:type="dxa"/>
              <w:right w:w="100" w:type="dxa"/>
            </w:tcMar>
          </w:tcPr>
          <w:p w:rsidR="00102129" w:rsidRDefault="00102129" w:rsidP="00CE15F7">
            <w:r>
              <w:rPr>
                <w:b/>
                <w:bCs/>
                <w:color w:val="FFFFFF"/>
                <w:sz w:val="19"/>
                <w:szCs w:val="19"/>
              </w:rPr>
              <w:t>LemFi-style FX Margin @ 0.5%–2.0%</w:t>
            </w:r>
          </w:p>
        </w:tc>
        <w:tc>
          <w:tcPr>
            <w:tcW w:w="1550" w:type="dxa"/>
            <w:shd w:val="clear" w:color="auto" w:fill="12284B"/>
            <w:tcMar>
              <w:top w:w="80" w:type="dxa"/>
              <w:left w:w="100" w:type="dxa"/>
              <w:bottom w:w="80" w:type="dxa"/>
              <w:right w:w="100" w:type="dxa"/>
            </w:tcMar>
          </w:tcPr>
          <w:p w:rsidR="00102129" w:rsidRDefault="00102129" w:rsidP="00CE15F7">
            <w:r>
              <w:rPr>
                <w:b/>
                <w:bCs/>
                <w:color w:val="FFFFFF"/>
                <w:sz w:val="19"/>
                <w:szCs w:val="19"/>
              </w:rPr>
              <w:t>Xspeeria Advantage</w:t>
            </w:r>
          </w:p>
        </w:tc>
      </w:tr>
      <w:tr w:rsidR="00102129" w:rsidTr="00CE15F7">
        <w:tblPrEx>
          <w:tblCellMar>
            <w:top w:w="0" w:type="dxa"/>
            <w:bottom w:w="0" w:type="dxa"/>
          </w:tblCellMar>
        </w:tblPrEx>
        <w:tc>
          <w:tcPr>
            <w:tcW w:w="2900" w:type="dxa"/>
            <w:shd w:val="clear" w:color="auto" w:fill="FFFFFF"/>
            <w:tcMar>
              <w:top w:w="80" w:type="dxa"/>
              <w:left w:w="100" w:type="dxa"/>
              <w:bottom w:w="80" w:type="dxa"/>
              <w:right w:w="100" w:type="dxa"/>
            </w:tcMar>
          </w:tcPr>
          <w:p w:rsidR="00102129" w:rsidRDefault="00102129" w:rsidP="00CE15F7">
            <w:r>
              <w:rPr>
                <w:color w:val="000000"/>
                <w:sz w:val="19"/>
                <w:szCs w:val="19"/>
              </w:rPr>
              <w:t>₦100,000</w:t>
            </w:r>
          </w:p>
        </w:tc>
        <w:tc>
          <w:tcPr>
            <w:tcW w:w="2450" w:type="dxa"/>
            <w:shd w:val="clear" w:color="auto" w:fill="FFFFFF"/>
            <w:tcMar>
              <w:top w:w="80" w:type="dxa"/>
              <w:left w:w="100" w:type="dxa"/>
              <w:bottom w:w="80" w:type="dxa"/>
              <w:right w:w="100" w:type="dxa"/>
            </w:tcMar>
          </w:tcPr>
          <w:p w:rsidR="00102129" w:rsidRDefault="00102129" w:rsidP="00CE15F7">
            <w:r>
              <w:rPr>
                <w:color w:val="000000"/>
                <w:sz w:val="19"/>
                <w:szCs w:val="19"/>
              </w:rPr>
              <w:t>~₦4,400 (fixed)</w:t>
            </w:r>
          </w:p>
        </w:tc>
        <w:tc>
          <w:tcPr>
            <w:tcW w:w="2450" w:type="dxa"/>
            <w:shd w:val="clear" w:color="auto" w:fill="FFFFFF"/>
            <w:tcMar>
              <w:top w:w="80" w:type="dxa"/>
              <w:left w:w="100" w:type="dxa"/>
              <w:bottom w:w="80" w:type="dxa"/>
              <w:right w:w="100" w:type="dxa"/>
            </w:tcMar>
          </w:tcPr>
          <w:p w:rsidR="00102129" w:rsidRDefault="00102129" w:rsidP="00CE15F7">
            <w:r>
              <w:rPr>
                <w:color w:val="000000"/>
                <w:sz w:val="19"/>
                <w:szCs w:val="19"/>
              </w:rPr>
              <w:t>₦500 – ₦2,000</w:t>
            </w:r>
          </w:p>
        </w:tc>
        <w:tc>
          <w:tcPr>
            <w:tcW w:w="1550" w:type="dxa"/>
            <w:shd w:val="clear" w:color="auto" w:fill="FFFFFF"/>
            <w:tcMar>
              <w:top w:w="80" w:type="dxa"/>
              <w:left w:w="100" w:type="dxa"/>
              <w:bottom w:w="80" w:type="dxa"/>
              <w:right w:w="100" w:type="dxa"/>
            </w:tcMar>
          </w:tcPr>
          <w:p w:rsidR="00102129" w:rsidRDefault="00102129" w:rsidP="00CE15F7">
            <w:r>
              <w:rPr>
                <w:color w:val="000000"/>
                <w:sz w:val="19"/>
                <w:szCs w:val="19"/>
              </w:rPr>
              <w:t>LemFi-style model cheaper at this size</w:t>
            </w:r>
          </w:p>
        </w:tc>
      </w:tr>
      <w:tr w:rsidR="00102129" w:rsidTr="00CE15F7">
        <w:tblPrEx>
          <w:tblCellMar>
            <w:top w:w="0" w:type="dxa"/>
            <w:bottom w:w="0" w:type="dxa"/>
          </w:tblCellMar>
        </w:tblPrEx>
        <w:tc>
          <w:tcPr>
            <w:tcW w:w="2900" w:type="dxa"/>
            <w:shd w:val="clear" w:color="auto" w:fill="F2F2F2"/>
            <w:tcMar>
              <w:top w:w="80" w:type="dxa"/>
              <w:left w:w="100" w:type="dxa"/>
              <w:bottom w:w="80" w:type="dxa"/>
              <w:right w:w="100" w:type="dxa"/>
            </w:tcMar>
          </w:tcPr>
          <w:p w:rsidR="00102129" w:rsidRDefault="00102129" w:rsidP="00CE15F7">
            <w:r>
              <w:rPr>
                <w:color w:val="000000"/>
                <w:sz w:val="19"/>
                <w:szCs w:val="19"/>
              </w:rPr>
              <w:lastRenderedPageBreak/>
              <w:t>₦500,000</w:t>
            </w:r>
          </w:p>
        </w:tc>
        <w:tc>
          <w:tcPr>
            <w:tcW w:w="2450" w:type="dxa"/>
            <w:shd w:val="clear" w:color="auto" w:fill="F2F2F2"/>
            <w:tcMar>
              <w:top w:w="80" w:type="dxa"/>
              <w:left w:w="100" w:type="dxa"/>
              <w:bottom w:w="80" w:type="dxa"/>
              <w:right w:w="100" w:type="dxa"/>
            </w:tcMar>
          </w:tcPr>
          <w:p w:rsidR="00102129" w:rsidRDefault="00102129" w:rsidP="00CE15F7">
            <w:r>
              <w:rPr>
                <w:color w:val="000000"/>
                <w:sz w:val="19"/>
                <w:szCs w:val="19"/>
              </w:rPr>
              <w:t>~₦4,400 (fixed)</w:t>
            </w:r>
          </w:p>
        </w:tc>
        <w:tc>
          <w:tcPr>
            <w:tcW w:w="2450" w:type="dxa"/>
            <w:shd w:val="clear" w:color="auto" w:fill="F2F2F2"/>
            <w:tcMar>
              <w:top w:w="80" w:type="dxa"/>
              <w:left w:w="100" w:type="dxa"/>
              <w:bottom w:w="80" w:type="dxa"/>
              <w:right w:w="100" w:type="dxa"/>
            </w:tcMar>
          </w:tcPr>
          <w:p w:rsidR="00102129" w:rsidRDefault="00102129" w:rsidP="00CE15F7">
            <w:r>
              <w:rPr>
                <w:color w:val="000000"/>
                <w:sz w:val="19"/>
                <w:szCs w:val="19"/>
              </w:rPr>
              <w:t>₦2,500 – ₦10,000</w:t>
            </w:r>
          </w:p>
        </w:tc>
        <w:tc>
          <w:tcPr>
            <w:tcW w:w="1550" w:type="dxa"/>
            <w:shd w:val="clear" w:color="auto" w:fill="F2F2F2"/>
            <w:tcMar>
              <w:top w:w="80" w:type="dxa"/>
              <w:left w:w="100" w:type="dxa"/>
              <w:bottom w:w="80" w:type="dxa"/>
              <w:right w:w="100" w:type="dxa"/>
            </w:tcMar>
          </w:tcPr>
          <w:p w:rsidR="00102129" w:rsidRDefault="00102129" w:rsidP="00CE15F7">
            <w:r>
              <w:rPr>
                <w:color w:val="000000"/>
                <w:sz w:val="19"/>
                <w:szCs w:val="19"/>
              </w:rPr>
              <w:t>Comparable to modestly cheaper</w:t>
            </w:r>
          </w:p>
        </w:tc>
      </w:tr>
      <w:tr w:rsidR="00102129" w:rsidTr="00CE15F7">
        <w:tblPrEx>
          <w:tblCellMar>
            <w:top w:w="0" w:type="dxa"/>
            <w:bottom w:w="0" w:type="dxa"/>
          </w:tblCellMar>
        </w:tblPrEx>
        <w:tc>
          <w:tcPr>
            <w:tcW w:w="2900" w:type="dxa"/>
            <w:shd w:val="clear" w:color="auto" w:fill="FFFFFF"/>
            <w:tcMar>
              <w:top w:w="80" w:type="dxa"/>
              <w:left w:w="100" w:type="dxa"/>
              <w:bottom w:w="80" w:type="dxa"/>
              <w:right w:w="100" w:type="dxa"/>
            </w:tcMar>
          </w:tcPr>
          <w:p w:rsidR="00102129" w:rsidRDefault="00102129" w:rsidP="00CE15F7">
            <w:r>
              <w:rPr>
                <w:color w:val="000000"/>
                <w:sz w:val="19"/>
                <w:szCs w:val="19"/>
              </w:rPr>
              <w:t>₦2,000,000</w:t>
            </w:r>
          </w:p>
        </w:tc>
        <w:tc>
          <w:tcPr>
            <w:tcW w:w="2450" w:type="dxa"/>
            <w:shd w:val="clear" w:color="auto" w:fill="FFFFFF"/>
            <w:tcMar>
              <w:top w:w="80" w:type="dxa"/>
              <w:left w:w="100" w:type="dxa"/>
              <w:bottom w:w="80" w:type="dxa"/>
              <w:right w:w="100" w:type="dxa"/>
            </w:tcMar>
          </w:tcPr>
          <w:p w:rsidR="00102129" w:rsidRDefault="00102129" w:rsidP="00CE15F7">
            <w:r>
              <w:rPr>
                <w:color w:val="000000"/>
                <w:sz w:val="19"/>
                <w:szCs w:val="19"/>
              </w:rPr>
              <w:t>~₦4,400 (fixed)</w:t>
            </w:r>
          </w:p>
        </w:tc>
        <w:tc>
          <w:tcPr>
            <w:tcW w:w="2450" w:type="dxa"/>
            <w:shd w:val="clear" w:color="auto" w:fill="FFFFFF"/>
            <w:tcMar>
              <w:top w:w="80" w:type="dxa"/>
              <w:left w:w="100" w:type="dxa"/>
              <w:bottom w:w="80" w:type="dxa"/>
              <w:right w:w="100" w:type="dxa"/>
            </w:tcMar>
          </w:tcPr>
          <w:p w:rsidR="00102129" w:rsidRDefault="00102129" w:rsidP="00CE15F7">
            <w:r>
              <w:rPr>
                <w:color w:val="000000"/>
                <w:sz w:val="19"/>
                <w:szCs w:val="19"/>
              </w:rPr>
              <w:t>₦10,000 – ₦40,000</w:t>
            </w:r>
          </w:p>
        </w:tc>
        <w:tc>
          <w:tcPr>
            <w:tcW w:w="1550" w:type="dxa"/>
            <w:shd w:val="clear" w:color="auto" w:fill="FFFFFF"/>
            <w:tcMar>
              <w:top w:w="80" w:type="dxa"/>
              <w:left w:w="100" w:type="dxa"/>
              <w:bottom w:w="80" w:type="dxa"/>
              <w:right w:w="100" w:type="dxa"/>
            </w:tcMar>
          </w:tcPr>
          <w:p w:rsidR="00102129" w:rsidRDefault="00102129" w:rsidP="00CE15F7">
            <w:r>
              <w:rPr>
                <w:color w:val="000000"/>
                <w:sz w:val="19"/>
                <w:szCs w:val="19"/>
              </w:rPr>
              <w:t>Xspeeria materially cheaper</w:t>
            </w:r>
          </w:p>
        </w:tc>
      </w:tr>
      <w:tr w:rsidR="00102129" w:rsidTr="00CE15F7">
        <w:tblPrEx>
          <w:tblCellMar>
            <w:top w:w="0" w:type="dxa"/>
            <w:bottom w:w="0" w:type="dxa"/>
          </w:tblCellMar>
        </w:tblPrEx>
        <w:tc>
          <w:tcPr>
            <w:tcW w:w="2900" w:type="dxa"/>
            <w:shd w:val="clear" w:color="auto" w:fill="F2F2F2"/>
            <w:tcMar>
              <w:top w:w="80" w:type="dxa"/>
              <w:left w:w="100" w:type="dxa"/>
              <w:bottom w:w="80" w:type="dxa"/>
              <w:right w:w="100" w:type="dxa"/>
            </w:tcMar>
          </w:tcPr>
          <w:p w:rsidR="00102129" w:rsidRDefault="00102129" w:rsidP="00CE15F7">
            <w:r>
              <w:rPr>
                <w:color w:val="000000"/>
                <w:sz w:val="19"/>
                <w:szCs w:val="19"/>
              </w:rPr>
              <w:t>₦10,000,000</w:t>
            </w:r>
          </w:p>
        </w:tc>
        <w:tc>
          <w:tcPr>
            <w:tcW w:w="2450" w:type="dxa"/>
            <w:shd w:val="clear" w:color="auto" w:fill="F2F2F2"/>
            <w:tcMar>
              <w:top w:w="80" w:type="dxa"/>
              <w:left w:w="100" w:type="dxa"/>
              <w:bottom w:w="80" w:type="dxa"/>
              <w:right w:w="100" w:type="dxa"/>
            </w:tcMar>
          </w:tcPr>
          <w:p w:rsidR="00102129" w:rsidRDefault="00102129" w:rsidP="00CE15F7">
            <w:r>
              <w:rPr>
                <w:color w:val="000000"/>
                <w:sz w:val="19"/>
                <w:szCs w:val="19"/>
              </w:rPr>
              <w:t>~₦4,400 (fixed)</w:t>
            </w:r>
          </w:p>
        </w:tc>
        <w:tc>
          <w:tcPr>
            <w:tcW w:w="2450" w:type="dxa"/>
            <w:shd w:val="clear" w:color="auto" w:fill="F2F2F2"/>
            <w:tcMar>
              <w:top w:w="80" w:type="dxa"/>
              <w:left w:w="100" w:type="dxa"/>
              <w:bottom w:w="80" w:type="dxa"/>
              <w:right w:w="100" w:type="dxa"/>
            </w:tcMar>
          </w:tcPr>
          <w:p w:rsidR="00102129" w:rsidRDefault="00102129" w:rsidP="00CE15F7">
            <w:r>
              <w:rPr>
                <w:color w:val="000000"/>
                <w:sz w:val="19"/>
                <w:szCs w:val="19"/>
              </w:rPr>
              <w:t>₦50,000 – ₦200,000</w:t>
            </w:r>
          </w:p>
        </w:tc>
        <w:tc>
          <w:tcPr>
            <w:tcW w:w="1550" w:type="dxa"/>
            <w:shd w:val="clear" w:color="auto" w:fill="F2F2F2"/>
            <w:tcMar>
              <w:top w:w="80" w:type="dxa"/>
              <w:left w:w="100" w:type="dxa"/>
              <w:bottom w:w="80" w:type="dxa"/>
              <w:right w:w="100" w:type="dxa"/>
            </w:tcMar>
          </w:tcPr>
          <w:p w:rsidR="00102129" w:rsidRDefault="00102129" w:rsidP="00CE15F7">
            <w:r>
              <w:rPr>
                <w:color w:val="000000"/>
                <w:sz w:val="19"/>
                <w:szCs w:val="19"/>
              </w:rPr>
              <w:t>Xspeeria dramatically cheaper</w:t>
            </w:r>
          </w:p>
        </w:tc>
      </w:tr>
    </w:tbl>
    <w:p w:rsidR="00102129" w:rsidRDefault="00102129" w:rsidP="00102129">
      <w:pPr>
        <w:spacing w:before="60" w:after="200"/>
      </w:pPr>
      <w:r>
        <w:rPr>
          <w:i/>
          <w:iCs/>
          <w:color w:val="595959"/>
          <w:sz w:val="18"/>
          <w:szCs w:val="18"/>
        </w:rPr>
        <w:t>Table 5.1: Illustrative only, using placeholder fee levels and a hypothetical GBP-side minimum floor fee combined with the Nigeria-side worked example above. Real figures depend on final commercial terms with the settlement bank(s) and must be validated corridor-by-corridor before publication.</w:t>
      </w:r>
    </w:p>
    <w:p w:rsidR="00102129" w:rsidRDefault="00102129" w:rsidP="00102129">
      <w:pPr>
        <w:pStyle w:val="Heading2"/>
        <w:spacing w:before="260" w:after="140"/>
      </w:pPr>
      <w:r>
        <w:t>5.4 Why This Matters Strategically</w:t>
      </w:r>
    </w:p>
    <w:p w:rsidR="00102129" w:rsidRDefault="00102129" w:rsidP="00102129">
      <w:pPr>
        <w:pStyle w:val="ListParagraph"/>
        <w:numPr>
          <w:ilvl w:val="0"/>
          <w:numId w:val="11"/>
        </w:numPr>
        <w:spacing w:after="90"/>
      </w:pPr>
      <w:r>
        <w:t>Transparency as differentiation: a flat, disclosed fee is simpler to explain and trust than a rate margin the average consumer cannot easily benchmark against the mid-market rate.</w:t>
      </w:r>
    </w:p>
    <w:p w:rsidR="00102129" w:rsidRDefault="00102129" w:rsidP="00102129">
      <w:pPr>
        <w:pStyle w:val="ListParagraph"/>
        <w:numPr>
          <w:ilvl w:val="0"/>
          <w:numId w:val="11"/>
        </w:numPr>
        <w:spacing w:after="90"/>
      </w:pPr>
      <w:r>
        <w:t>A pricing model that rewards larger, more valuable transactions is a natural fit for Xspeeria's SME and trade-finance ambitions — a segment percentage-margin remittance apps are not optimized to serve well.</w:t>
      </w:r>
    </w:p>
    <w:p w:rsidR="00102129" w:rsidRDefault="00102129" w:rsidP="00102129">
      <w:pPr>
        <w:pStyle w:val="ListParagraph"/>
        <w:numPr>
          <w:ilvl w:val="0"/>
          <w:numId w:val="11"/>
        </w:numPr>
        <w:spacing w:after="90"/>
      </w:pPr>
      <w:r>
        <w:t>Both sides pay locally and separately, meaning Xspeeria never needs to hold or price cross-border FX risk itself — reinforcing the non-custodial, capital-light model in Section 4.1.</w:t>
      </w:r>
    </w:p>
    <w:p w:rsidR="00102129" w:rsidRDefault="00102129" w:rsidP="00102129">
      <w:r>
        <w:br w:type="page"/>
      </w:r>
    </w:p>
    <w:p w:rsidR="00102129" w:rsidRDefault="00102129" w:rsidP="00102129">
      <w:pPr>
        <w:pStyle w:val="Heading1"/>
        <w:spacing w:before="360" w:after="200"/>
      </w:pPr>
      <w:r>
        <w:lastRenderedPageBreak/>
        <w:t>6. Competitive Positioning</w:t>
      </w:r>
    </w:p>
    <w:p w:rsidR="00102129" w:rsidRDefault="00102129" w:rsidP="00102129">
      <w:pPr>
        <w:spacing w:after="160" w:line="300" w:lineRule="auto"/>
        <w:jc w:val="both"/>
      </w:pPr>
      <w:r>
        <w:t>A world-class plan positions the company not just against one named competitor, but across the category. The matrix below plots Xspeeria against the main archetypes it will be judged against by both users and a prospective banking partner: cost efficiency at scale versus trust/compliance depth.</w:t>
      </w:r>
    </w:p>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5"/>
        <w:gridCol w:w="2137"/>
        <w:gridCol w:w="2137"/>
        <w:gridCol w:w="2697"/>
      </w:tblGrid>
      <w:tr w:rsidR="00102129" w:rsidTr="00102129">
        <w:tblPrEx>
          <w:tblCellMar>
            <w:top w:w="0" w:type="dxa"/>
            <w:bottom w:w="0" w:type="dxa"/>
          </w:tblCellMar>
        </w:tblPrEx>
        <w:trPr>
          <w:trHeight w:val="563"/>
          <w:tblHeader/>
        </w:trPr>
        <w:tc>
          <w:tcPr>
            <w:tcW w:w="2545" w:type="dxa"/>
            <w:shd w:val="clear" w:color="auto" w:fill="12284B"/>
            <w:tcMar>
              <w:top w:w="80" w:type="dxa"/>
              <w:left w:w="100" w:type="dxa"/>
              <w:bottom w:w="80" w:type="dxa"/>
              <w:right w:w="100" w:type="dxa"/>
            </w:tcMar>
          </w:tcPr>
          <w:p w:rsidR="00102129" w:rsidRDefault="00102129" w:rsidP="00CE15F7">
            <w:r>
              <w:rPr>
                <w:b/>
                <w:bCs/>
                <w:color w:val="FFFFFF"/>
                <w:sz w:val="19"/>
                <w:szCs w:val="19"/>
              </w:rPr>
              <w:t>Competitor Archetype</w:t>
            </w:r>
          </w:p>
        </w:tc>
        <w:tc>
          <w:tcPr>
            <w:tcW w:w="2137" w:type="dxa"/>
            <w:shd w:val="clear" w:color="auto" w:fill="12284B"/>
            <w:tcMar>
              <w:top w:w="80" w:type="dxa"/>
              <w:left w:w="100" w:type="dxa"/>
              <w:bottom w:w="80" w:type="dxa"/>
              <w:right w:w="100" w:type="dxa"/>
            </w:tcMar>
          </w:tcPr>
          <w:p w:rsidR="00102129" w:rsidRDefault="00102129" w:rsidP="00CE15F7">
            <w:r>
              <w:rPr>
                <w:b/>
                <w:bCs/>
                <w:color w:val="FFFFFF"/>
                <w:sz w:val="19"/>
                <w:szCs w:val="19"/>
              </w:rPr>
              <w:t>Cost Position</w:t>
            </w:r>
          </w:p>
        </w:tc>
        <w:tc>
          <w:tcPr>
            <w:tcW w:w="2137" w:type="dxa"/>
            <w:shd w:val="clear" w:color="auto" w:fill="12284B"/>
            <w:tcMar>
              <w:top w:w="80" w:type="dxa"/>
              <w:left w:w="100" w:type="dxa"/>
              <w:bottom w:w="80" w:type="dxa"/>
              <w:right w:w="100" w:type="dxa"/>
            </w:tcMar>
          </w:tcPr>
          <w:p w:rsidR="00102129" w:rsidRDefault="00102129" w:rsidP="00CE15F7">
            <w:r>
              <w:rPr>
                <w:b/>
                <w:bCs/>
                <w:color w:val="FFFFFF"/>
                <w:sz w:val="19"/>
                <w:szCs w:val="19"/>
              </w:rPr>
              <w:t>Trust/Compliance Depth</w:t>
            </w:r>
          </w:p>
        </w:tc>
        <w:tc>
          <w:tcPr>
            <w:tcW w:w="2697" w:type="dxa"/>
            <w:shd w:val="clear" w:color="auto" w:fill="12284B"/>
            <w:tcMar>
              <w:top w:w="80" w:type="dxa"/>
              <w:left w:w="100" w:type="dxa"/>
              <w:bottom w:w="80" w:type="dxa"/>
              <w:right w:w="100" w:type="dxa"/>
            </w:tcMar>
          </w:tcPr>
          <w:p w:rsidR="00102129" w:rsidRDefault="00102129" w:rsidP="00CE15F7">
            <w:r>
              <w:rPr>
                <w:b/>
                <w:bCs/>
                <w:color w:val="FFFFFF"/>
                <w:sz w:val="19"/>
                <w:szCs w:val="19"/>
              </w:rPr>
              <w:t>Xspeeria's Relative Edge</w:t>
            </w:r>
          </w:p>
        </w:tc>
      </w:tr>
      <w:tr w:rsidR="00102129" w:rsidTr="00102129">
        <w:tblPrEx>
          <w:tblCellMar>
            <w:top w:w="0" w:type="dxa"/>
            <w:bottom w:w="0" w:type="dxa"/>
          </w:tblCellMar>
        </w:tblPrEx>
        <w:trPr>
          <w:trHeight w:val="862"/>
        </w:trPr>
        <w:tc>
          <w:tcPr>
            <w:tcW w:w="2545" w:type="dxa"/>
            <w:shd w:val="clear" w:color="auto" w:fill="FFFFFF"/>
            <w:tcMar>
              <w:top w:w="80" w:type="dxa"/>
              <w:left w:w="100" w:type="dxa"/>
              <w:bottom w:w="80" w:type="dxa"/>
              <w:right w:w="100" w:type="dxa"/>
            </w:tcMar>
          </w:tcPr>
          <w:p w:rsidR="00102129" w:rsidRDefault="00102129" w:rsidP="00CE15F7">
            <w:r>
              <w:rPr>
                <w:color w:val="000000"/>
                <w:sz w:val="19"/>
                <w:szCs w:val="19"/>
              </w:rPr>
              <w:t>LemFi (margin-based remittance/wallet)</w:t>
            </w:r>
          </w:p>
        </w:tc>
        <w:tc>
          <w:tcPr>
            <w:tcW w:w="2137" w:type="dxa"/>
            <w:shd w:val="clear" w:color="auto" w:fill="FFFFFF"/>
            <w:tcMar>
              <w:top w:w="80" w:type="dxa"/>
              <w:left w:w="100" w:type="dxa"/>
              <w:bottom w:w="80" w:type="dxa"/>
              <w:right w:w="100" w:type="dxa"/>
            </w:tcMar>
          </w:tcPr>
          <w:p w:rsidR="00102129" w:rsidRDefault="00102129" w:rsidP="00CE15F7">
            <w:r>
              <w:rPr>
                <w:color w:val="000000"/>
                <w:sz w:val="19"/>
                <w:szCs w:val="19"/>
              </w:rPr>
              <w:t>Cheap at small sizes, costlier at scale (% margin)</w:t>
            </w:r>
          </w:p>
        </w:tc>
        <w:tc>
          <w:tcPr>
            <w:tcW w:w="2137" w:type="dxa"/>
            <w:shd w:val="clear" w:color="auto" w:fill="FFFFFF"/>
            <w:tcMar>
              <w:top w:w="80" w:type="dxa"/>
              <w:left w:w="100" w:type="dxa"/>
              <w:bottom w:w="80" w:type="dxa"/>
              <w:right w:w="100" w:type="dxa"/>
            </w:tcMar>
          </w:tcPr>
          <w:p w:rsidR="00102129" w:rsidRDefault="00102129" w:rsidP="00CE15F7">
            <w:r>
              <w:rPr>
                <w:color w:val="000000"/>
                <w:sz w:val="19"/>
                <w:szCs w:val="19"/>
              </w:rPr>
              <w:t>Regulated EMI, strong brand trust</w:t>
            </w:r>
          </w:p>
        </w:tc>
        <w:tc>
          <w:tcPr>
            <w:tcW w:w="2697" w:type="dxa"/>
            <w:shd w:val="clear" w:color="auto" w:fill="FFFFFF"/>
            <w:tcMar>
              <w:top w:w="80" w:type="dxa"/>
              <w:left w:w="100" w:type="dxa"/>
              <w:bottom w:w="80" w:type="dxa"/>
              <w:right w:w="100" w:type="dxa"/>
            </w:tcMar>
          </w:tcPr>
          <w:p w:rsidR="00102129" w:rsidRDefault="00102129" w:rsidP="00CE15F7">
            <w:r>
              <w:rPr>
                <w:color w:val="000000"/>
                <w:sz w:val="19"/>
                <w:szCs w:val="19"/>
              </w:rPr>
              <w:t>Structurally cheaper at SME/trade-size transactions; fully transparent pricing</w:t>
            </w:r>
          </w:p>
        </w:tc>
      </w:tr>
      <w:tr w:rsidR="00102129" w:rsidTr="00102129">
        <w:tblPrEx>
          <w:tblCellMar>
            <w:top w:w="0" w:type="dxa"/>
            <w:bottom w:w="0" w:type="dxa"/>
          </w:tblCellMar>
        </w:tblPrEx>
        <w:trPr>
          <w:trHeight w:val="843"/>
        </w:trPr>
        <w:tc>
          <w:tcPr>
            <w:tcW w:w="2545" w:type="dxa"/>
            <w:shd w:val="clear" w:color="auto" w:fill="F2F2F2"/>
            <w:tcMar>
              <w:top w:w="80" w:type="dxa"/>
              <w:left w:w="100" w:type="dxa"/>
              <w:bottom w:w="80" w:type="dxa"/>
              <w:right w:w="100" w:type="dxa"/>
            </w:tcMar>
          </w:tcPr>
          <w:p w:rsidR="00102129" w:rsidRDefault="00102129" w:rsidP="00CE15F7">
            <w:r>
              <w:rPr>
                <w:color w:val="000000"/>
                <w:sz w:val="19"/>
                <w:szCs w:val="19"/>
              </w:rPr>
              <w:t>Binance P2P (crypto-based P2P)</w:t>
            </w:r>
          </w:p>
        </w:tc>
        <w:tc>
          <w:tcPr>
            <w:tcW w:w="2137" w:type="dxa"/>
            <w:shd w:val="clear" w:color="auto" w:fill="F2F2F2"/>
            <w:tcMar>
              <w:top w:w="80" w:type="dxa"/>
              <w:left w:w="100" w:type="dxa"/>
              <w:bottom w:w="80" w:type="dxa"/>
              <w:right w:w="100" w:type="dxa"/>
            </w:tcMar>
          </w:tcPr>
          <w:p w:rsidR="00102129" w:rsidRDefault="00102129" w:rsidP="00CE15F7">
            <w:r>
              <w:rPr>
                <w:color w:val="000000"/>
                <w:sz w:val="19"/>
                <w:szCs w:val="19"/>
              </w:rPr>
              <w:t>Variable, crypto-volatility exposed</w:t>
            </w:r>
          </w:p>
        </w:tc>
        <w:tc>
          <w:tcPr>
            <w:tcW w:w="2137" w:type="dxa"/>
            <w:shd w:val="clear" w:color="auto" w:fill="F2F2F2"/>
            <w:tcMar>
              <w:top w:w="80" w:type="dxa"/>
              <w:left w:w="100" w:type="dxa"/>
              <w:bottom w:w="80" w:type="dxa"/>
              <w:right w:w="100" w:type="dxa"/>
            </w:tcMar>
          </w:tcPr>
          <w:p w:rsidR="00102129" w:rsidRDefault="00102129" w:rsidP="00CE15F7">
            <w:r>
              <w:rPr>
                <w:color w:val="000000"/>
                <w:sz w:val="19"/>
                <w:szCs w:val="19"/>
              </w:rPr>
              <w:t>Weaker regulatory alignment in many markets</w:t>
            </w:r>
          </w:p>
        </w:tc>
        <w:tc>
          <w:tcPr>
            <w:tcW w:w="2697" w:type="dxa"/>
            <w:shd w:val="clear" w:color="auto" w:fill="F2F2F2"/>
            <w:tcMar>
              <w:top w:w="80" w:type="dxa"/>
              <w:left w:w="100" w:type="dxa"/>
              <w:bottom w:w="80" w:type="dxa"/>
              <w:right w:w="100" w:type="dxa"/>
            </w:tcMar>
          </w:tcPr>
          <w:p w:rsidR="00102129" w:rsidRDefault="00102129" w:rsidP="00CE15F7">
            <w:r>
              <w:rPr>
                <w:color w:val="000000"/>
                <w:sz w:val="19"/>
                <w:szCs w:val="19"/>
              </w:rPr>
              <w:t>No crypto volatility; works entirely in licensed fiat rails</w:t>
            </w:r>
          </w:p>
        </w:tc>
      </w:tr>
      <w:tr w:rsidR="00102129" w:rsidTr="00102129">
        <w:tblPrEx>
          <w:tblCellMar>
            <w:top w:w="0" w:type="dxa"/>
            <w:bottom w:w="0" w:type="dxa"/>
          </w:tblCellMar>
        </w:tblPrEx>
        <w:trPr>
          <w:trHeight w:val="862"/>
        </w:trPr>
        <w:tc>
          <w:tcPr>
            <w:tcW w:w="2545" w:type="dxa"/>
            <w:shd w:val="clear" w:color="auto" w:fill="FFFFFF"/>
            <w:tcMar>
              <w:top w:w="80" w:type="dxa"/>
              <w:left w:w="100" w:type="dxa"/>
              <w:bottom w:w="80" w:type="dxa"/>
              <w:right w:w="100" w:type="dxa"/>
            </w:tcMar>
          </w:tcPr>
          <w:p w:rsidR="00102129" w:rsidRDefault="00102129" w:rsidP="00CE15F7">
            <w:r>
              <w:rPr>
                <w:color w:val="000000"/>
                <w:sz w:val="19"/>
                <w:szCs w:val="19"/>
              </w:rPr>
              <w:t>Chipper Cash (wallet-based remittance)</w:t>
            </w:r>
          </w:p>
        </w:tc>
        <w:tc>
          <w:tcPr>
            <w:tcW w:w="2137" w:type="dxa"/>
            <w:shd w:val="clear" w:color="auto" w:fill="FFFFFF"/>
            <w:tcMar>
              <w:top w:w="80" w:type="dxa"/>
              <w:left w:w="100" w:type="dxa"/>
              <w:bottom w:w="80" w:type="dxa"/>
              <w:right w:w="100" w:type="dxa"/>
            </w:tcMar>
          </w:tcPr>
          <w:p w:rsidR="00102129" w:rsidRDefault="00102129" w:rsidP="00CE15F7">
            <w:r>
              <w:rPr>
                <w:color w:val="000000"/>
                <w:sz w:val="19"/>
                <w:szCs w:val="19"/>
              </w:rPr>
              <w:t>Low/no fee on core routes, wallet custody risk</w:t>
            </w:r>
          </w:p>
        </w:tc>
        <w:tc>
          <w:tcPr>
            <w:tcW w:w="2137" w:type="dxa"/>
            <w:shd w:val="clear" w:color="auto" w:fill="FFFFFF"/>
            <w:tcMar>
              <w:top w:w="80" w:type="dxa"/>
              <w:left w:w="100" w:type="dxa"/>
              <w:bottom w:w="80" w:type="dxa"/>
              <w:right w:w="100" w:type="dxa"/>
            </w:tcMar>
          </w:tcPr>
          <w:p w:rsidR="00102129" w:rsidRDefault="00102129" w:rsidP="00CE15F7">
            <w:r>
              <w:rPr>
                <w:color w:val="000000"/>
                <w:sz w:val="19"/>
                <w:szCs w:val="19"/>
              </w:rPr>
              <w:t>Moderate; wallet-based</w:t>
            </w:r>
          </w:p>
        </w:tc>
        <w:tc>
          <w:tcPr>
            <w:tcW w:w="2697" w:type="dxa"/>
            <w:shd w:val="clear" w:color="auto" w:fill="FFFFFF"/>
            <w:tcMar>
              <w:top w:w="80" w:type="dxa"/>
              <w:left w:w="100" w:type="dxa"/>
              <w:bottom w:w="80" w:type="dxa"/>
              <w:right w:w="100" w:type="dxa"/>
            </w:tcMar>
          </w:tcPr>
          <w:p w:rsidR="00102129" w:rsidRDefault="00102129" w:rsidP="00CE15F7">
            <w:r>
              <w:rPr>
                <w:color w:val="000000"/>
                <w:sz w:val="19"/>
                <w:szCs w:val="19"/>
              </w:rPr>
              <w:t>Non-custodial; no wallet risk; user-set rate discovery</w:t>
            </w:r>
          </w:p>
        </w:tc>
      </w:tr>
      <w:tr w:rsidR="00102129" w:rsidTr="00102129">
        <w:tblPrEx>
          <w:tblCellMar>
            <w:top w:w="0" w:type="dxa"/>
            <w:bottom w:w="0" w:type="dxa"/>
          </w:tblCellMar>
        </w:tblPrEx>
        <w:trPr>
          <w:trHeight w:val="843"/>
        </w:trPr>
        <w:tc>
          <w:tcPr>
            <w:tcW w:w="2545" w:type="dxa"/>
            <w:shd w:val="clear" w:color="auto" w:fill="F2F2F2"/>
            <w:tcMar>
              <w:top w:w="80" w:type="dxa"/>
              <w:left w:w="100" w:type="dxa"/>
              <w:bottom w:w="80" w:type="dxa"/>
              <w:right w:w="100" w:type="dxa"/>
            </w:tcMar>
          </w:tcPr>
          <w:p w:rsidR="00102129" w:rsidRDefault="00102129" w:rsidP="00CE15F7">
            <w:r>
              <w:rPr>
                <w:color w:val="000000"/>
                <w:sz w:val="19"/>
                <w:szCs w:val="19"/>
              </w:rPr>
              <w:t>Flutterwave (B2B payment infrastructure)</w:t>
            </w:r>
          </w:p>
        </w:tc>
        <w:tc>
          <w:tcPr>
            <w:tcW w:w="2137" w:type="dxa"/>
            <w:shd w:val="clear" w:color="auto" w:fill="F2F2F2"/>
            <w:tcMar>
              <w:top w:w="80" w:type="dxa"/>
              <w:left w:w="100" w:type="dxa"/>
              <w:bottom w:w="80" w:type="dxa"/>
              <w:right w:w="100" w:type="dxa"/>
            </w:tcMar>
          </w:tcPr>
          <w:p w:rsidR="00102129" w:rsidRDefault="00102129" w:rsidP="00CE15F7">
            <w:r>
              <w:rPr>
                <w:color w:val="000000"/>
                <w:sz w:val="19"/>
                <w:szCs w:val="19"/>
              </w:rPr>
              <w:t>Merchant-fee model, not consumer P2P</w:t>
            </w:r>
          </w:p>
        </w:tc>
        <w:tc>
          <w:tcPr>
            <w:tcW w:w="2137" w:type="dxa"/>
            <w:shd w:val="clear" w:color="auto" w:fill="F2F2F2"/>
            <w:tcMar>
              <w:top w:w="80" w:type="dxa"/>
              <w:left w:w="100" w:type="dxa"/>
              <w:bottom w:w="80" w:type="dxa"/>
              <w:right w:w="100" w:type="dxa"/>
            </w:tcMar>
          </w:tcPr>
          <w:p w:rsidR="00102129" w:rsidRDefault="00102129" w:rsidP="00CE15F7">
            <w:r>
              <w:rPr>
                <w:color w:val="000000"/>
                <w:sz w:val="19"/>
                <w:szCs w:val="19"/>
              </w:rPr>
              <w:t>Fully regulated, merchant-focused</w:t>
            </w:r>
          </w:p>
        </w:tc>
        <w:tc>
          <w:tcPr>
            <w:tcW w:w="2697" w:type="dxa"/>
            <w:shd w:val="clear" w:color="auto" w:fill="F2F2F2"/>
            <w:tcMar>
              <w:top w:w="80" w:type="dxa"/>
              <w:left w:w="100" w:type="dxa"/>
              <w:bottom w:w="80" w:type="dxa"/>
              <w:right w:w="100" w:type="dxa"/>
            </w:tcMar>
          </w:tcPr>
          <w:p w:rsidR="00102129" w:rsidRDefault="00102129" w:rsidP="00CE15F7">
            <w:r>
              <w:rPr>
                <w:color w:val="000000"/>
                <w:sz w:val="19"/>
                <w:szCs w:val="19"/>
              </w:rPr>
              <w:t>Consumer-facing marketplace layer on top of infrastructure, not a competing rail</w:t>
            </w:r>
          </w:p>
        </w:tc>
      </w:tr>
      <w:tr w:rsidR="00102129" w:rsidTr="00102129">
        <w:tblPrEx>
          <w:tblCellMar>
            <w:top w:w="0" w:type="dxa"/>
            <w:bottom w:w="0" w:type="dxa"/>
          </w:tblCellMar>
        </w:tblPrEx>
        <w:trPr>
          <w:trHeight w:val="1143"/>
        </w:trPr>
        <w:tc>
          <w:tcPr>
            <w:tcW w:w="2545" w:type="dxa"/>
            <w:shd w:val="clear" w:color="auto" w:fill="FFFFFF"/>
            <w:tcMar>
              <w:top w:w="80" w:type="dxa"/>
              <w:left w:w="100" w:type="dxa"/>
              <w:bottom w:w="80" w:type="dxa"/>
              <w:right w:w="100" w:type="dxa"/>
            </w:tcMar>
          </w:tcPr>
          <w:p w:rsidR="00102129" w:rsidRDefault="00102129" w:rsidP="00CE15F7">
            <w:r>
              <w:rPr>
                <w:color w:val="000000"/>
                <w:sz w:val="19"/>
                <w:szCs w:val="19"/>
              </w:rPr>
              <w:t>Traditional banks (correspondent FX)</w:t>
            </w:r>
          </w:p>
        </w:tc>
        <w:tc>
          <w:tcPr>
            <w:tcW w:w="2137" w:type="dxa"/>
            <w:shd w:val="clear" w:color="auto" w:fill="FFFFFF"/>
            <w:tcMar>
              <w:top w:w="80" w:type="dxa"/>
              <w:left w:w="100" w:type="dxa"/>
              <w:bottom w:w="80" w:type="dxa"/>
              <w:right w:w="100" w:type="dxa"/>
            </w:tcMar>
          </w:tcPr>
          <w:p w:rsidR="00102129" w:rsidRDefault="00102129" w:rsidP="00CE15F7">
            <w:r>
              <w:rPr>
                <w:color w:val="000000"/>
                <w:sz w:val="19"/>
                <w:szCs w:val="19"/>
              </w:rPr>
              <w:t>Expensive, slow, multiple intermediary hops</w:t>
            </w:r>
          </w:p>
        </w:tc>
        <w:tc>
          <w:tcPr>
            <w:tcW w:w="2137" w:type="dxa"/>
            <w:shd w:val="clear" w:color="auto" w:fill="FFFFFF"/>
            <w:tcMar>
              <w:top w:w="80" w:type="dxa"/>
              <w:left w:w="100" w:type="dxa"/>
              <w:bottom w:w="80" w:type="dxa"/>
              <w:right w:w="100" w:type="dxa"/>
            </w:tcMar>
          </w:tcPr>
          <w:p w:rsidR="00102129" w:rsidRDefault="00102129" w:rsidP="00CE15F7">
            <w:r>
              <w:rPr>
                <w:color w:val="000000"/>
                <w:sz w:val="19"/>
                <w:szCs w:val="19"/>
              </w:rPr>
              <w:t>Highest trust, but poor UX/speed</w:t>
            </w:r>
          </w:p>
        </w:tc>
        <w:tc>
          <w:tcPr>
            <w:tcW w:w="2697" w:type="dxa"/>
            <w:shd w:val="clear" w:color="auto" w:fill="FFFFFF"/>
            <w:tcMar>
              <w:top w:w="80" w:type="dxa"/>
              <w:left w:w="100" w:type="dxa"/>
              <w:bottom w:w="80" w:type="dxa"/>
              <w:right w:w="100" w:type="dxa"/>
            </w:tcMar>
          </w:tcPr>
          <w:p w:rsidR="00102129" w:rsidRDefault="00102129" w:rsidP="00CE15F7">
            <w:r>
              <w:rPr>
                <w:color w:val="000000"/>
                <w:sz w:val="19"/>
                <w:szCs w:val="19"/>
              </w:rPr>
              <w:t>Faster, cheaper, digitally native, while settling through the same class of licensed institutions</w:t>
            </w:r>
          </w:p>
        </w:tc>
      </w:tr>
    </w:tbl>
    <w:p w:rsidR="00102129" w:rsidRDefault="00102129" w:rsidP="00102129">
      <w:pPr>
        <w:spacing w:before="60" w:after="200"/>
      </w:pPr>
      <w:r>
        <w:rPr>
          <w:i/>
          <w:iCs/>
          <w:color w:val="595959"/>
          <w:sz w:val="18"/>
          <w:szCs w:val="18"/>
        </w:rPr>
        <w:t>Table 6.1: Positioning summary based on publicly available information on competitor pricing models; competitor terms should be reconfirmed against live pricing before external use.</w:t>
      </w:r>
    </w:p>
    <w:p w:rsidR="00102129" w:rsidRDefault="00102129" w:rsidP="00102129">
      <w:r>
        <w:br w:type="page"/>
      </w:r>
    </w:p>
    <w:p w:rsidR="00102129" w:rsidRDefault="00102129" w:rsidP="00102129">
      <w:pPr>
        <w:pStyle w:val="Heading1"/>
        <w:spacing w:before="360" w:after="200"/>
      </w:pPr>
      <w:r>
        <w:lastRenderedPageBreak/>
        <w:t>7. Banking Partner Strategy</w:t>
      </w:r>
    </w:p>
    <w:p w:rsidR="00102129" w:rsidRDefault="00102129" w:rsidP="00102129">
      <w:pPr>
        <w:pStyle w:val="Heading2"/>
        <w:spacing w:before="260" w:after="140"/>
      </w:pPr>
      <w:r>
        <w:t>7.1 Selection Criteria (Without Naming a Specific Institution)</w:t>
      </w:r>
    </w:p>
    <w:p w:rsidR="00102129" w:rsidRDefault="00102129" w:rsidP="00102129">
      <w:pPr>
        <w:spacing w:after="160" w:line="300" w:lineRule="auto"/>
        <w:jc w:val="both"/>
      </w:pPr>
      <w:r>
        <w:t>Xspeeria's settlement partner strategy deliberately prioritizes a licensed bank (or initial group of banks) with meaningful multi-country presence and correspondent reach, rather than a single-country bank, for the following reasons:</w:t>
      </w:r>
    </w:p>
    <w:p w:rsidR="00102129" w:rsidRDefault="00102129" w:rsidP="00102129">
      <w:pPr>
        <w:pStyle w:val="ListParagraph"/>
        <w:numPr>
          <w:ilvl w:val="0"/>
          <w:numId w:val="11"/>
        </w:numPr>
        <w:spacing w:after="90"/>
      </w:pPr>
      <w:r>
        <w:t>Corridor coverage in one relationship: a bank already licensed and operating across several of Xspeeria's target corridors (e.g., Nigeria plus UK, or Nigeria plus multiple African markets) lets the pilot's proof points transfer to new corridors faster, without a fresh banking relationship and licensing review each time — the single biggest accelerant available for a 5-year timeline.</w:t>
      </w:r>
    </w:p>
    <w:p w:rsidR="00102129" w:rsidRDefault="00102129" w:rsidP="00102129">
      <w:pPr>
        <w:pStyle w:val="ListParagraph"/>
        <w:numPr>
          <w:ilvl w:val="0"/>
          <w:numId w:val="11"/>
        </w:numPr>
        <w:spacing w:after="90"/>
      </w:pPr>
      <w:r>
        <w:t>Correspondent banking depth: multi-country banks typically bring their own correspondent network, reducing the number of intermediary hops — and therefore cost and settlement time — on each corridor.</w:t>
      </w:r>
    </w:p>
    <w:p w:rsidR="00102129" w:rsidRDefault="00102129" w:rsidP="00102129">
      <w:pPr>
        <w:pStyle w:val="ListParagraph"/>
        <w:numPr>
          <w:ilvl w:val="0"/>
          <w:numId w:val="11"/>
        </w:numPr>
        <w:spacing w:after="90"/>
      </w:pPr>
      <w:r>
        <w:t>Consistent compliance standard: a single bank's AML/CFT and sanctions program, applied consistently across corridors, is simpler for Xspeeria to integrate with and for regulators to reason about than juggling several unrelated banks with different standards from day one.</w:t>
      </w:r>
    </w:p>
    <w:p w:rsidR="00102129" w:rsidRDefault="00102129" w:rsidP="00102129">
      <w:pPr>
        <w:pStyle w:val="ListParagraph"/>
        <w:numPr>
          <w:ilvl w:val="0"/>
          <w:numId w:val="11"/>
        </w:numPr>
        <w:spacing w:after="90"/>
      </w:pPr>
      <w:r>
        <w:t>Balance-sheet strength and regulatory standing: multi-country banks are more likely to have the risk appetite and capital base to support escrow volumes at scale as Xspeeria grows, and are typically well-versed in engaging fintech partnerships and regulatory sandboxes.</w:t>
      </w:r>
    </w:p>
    <w:p w:rsidR="00102129" w:rsidRDefault="00102129" w:rsidP="00102129">
      <w:pPr>
        <w:pStyle w:val="ListParagraph"/>
        <w:numPr>
          <w:ilvl w:val="0"/>
          <w:numId w:val="11"/>
        </w:numPr>
        <w:spacing w:after="90"/>
      </w:pPr>
      <w:r>
        <w:t>Single integration, multiple markets: one well-built settlement API integration can be extended corridor by corridor with the same partner, rather than rebuilt from scratch — essential given the parallel rollout pace this plan assumes from Year 2.</w:t>
      </w:r>
    </w:p>
    <w:p w:rsidR="00102129" w:rsidRDefault="00102129" w:rsidP="00102129">
      <w:pPr>
        <w:pStyle w:val="Heading2"/>
        <w:spacing w:before="260" w:after="140"/>
      </w:pPr>
      <w:r>
        <w:t>7.2 The Future: A Multi-Bank Network, Compressed into Five Years</w:t>
      </w:r>
    </w:p>
    <w:p w:rsidR="00102129" w:rsidRDefault="00102129" w:rsidP="00102129">
      <w:pPr>
        <w:spacing w:after="160" w:line="300" w:lineRule="auto"/>
        <w:jc w:val="both"/>
      </w:pPr>
      <w:r>
        <w:t>A single-bank dependency is a real strategic risk — for regulatory, commercial, and business-continuity reasons. Compressing the network build into five years means the second and third bank relationships must begin well before the anchor relationship has fully matured, using the anchor integration as a reusable playbook rather than a one-off build.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02129" w:rsidTr="00CE15F7">
        <w:tblPrEx>
          <w:tblCellMar>
            <w:top w:w="0" w:type="dxa"/>
            <w:bottom w:w="0" w:type="dxa"/>
          </w:tblCellMar>
        </w:tblPrEx>
        <w:trPr>
          <w:tblHeader/>
        </w:trPr>
        <w:tc>
          <w:tcPr>
            <w:tcW w:w="2400" w:type="dxa"/>
            <w:shd w:val="clear" w:color="auto" w:fill="12284B"/>
            <w:tcMar>
              <w:top w:w="80" w:type="dxa"/>
              <w:left w:w="100" w:type="dxa"/>
              <w:bottom w:w="80" w:type="dxa"/>
              <w:right w:w="100" w:type="dxa"/>
            </w:tcMar>
          </w:tcPr>
          <w:p w:rsidR="00102129" w:rsidRDefault="00102129" w:rsidP="00CE15F7">
            <w:r>
              <w:rPr>
                <w:b/>
                <w:bCs/>
                <w:color w:val="FFFFFF"/>
                <w:sz w:val="19"/>
                <w:szCs w:val="19"/>
              </w:rPr>
              <w:t>Phase</w:t>
            </w:r>
          </w:p>
        </w:tc>
        <w:tc>
          <w:tcPr>
            <w:tcW w:w="6950" w:type="dxa"/>
            <w:shd w:val="clear" w:color="auto" w:fill="12284B"/>
            <w:tcMar>
              <w:top w:w="80" w:type="dxa"/>
              <w:left w:w="100" w:type="dxa"/>
              <w:bottom w:w="80" w:type="dxa"/>
              <w:right w:w="100" w:type="dxa"/>
            </w:tcMar>
          </w:tcPr>
          <w:p w:rsidR="00102129" w:rsidRDefault="00102129" w:rsidP="00CE15F7">
            <w:r>
              <w:rPr>
                <w:b/>
                <w:bCs/>
                <w:color w:val="FFFFFF"/>
                <w:sz w:val="19"/>
                <w:szCs w:val="19"/>
              </w:rPr>
              <w:t>Banking Network Structure</w:t>
            </w:r>
          </w:p>
        </w:tc>
      </w:tr>
      <w:tr w:rsidR="00102129" w:rsidTr="00CE15F7">
        <w:tblPrEx>
          <w:tblCellMar>
            <w:top w:w="0" w:type="dxa"/>
            <w:bottom w:w="0" w:type="dxa"/>
          </w:tblCellMar>
        </w:tblPrEx>
        <w:tc>
          <w:tcPr>
            <w:tcW w:w="2400" w:type="dxa"/>
            <w:shd w:val="clear" w:color="auto" w:fill="FFFFFF"/>
            <w:tcMar>
              <w:top w:w="80" w:type="dxa"/>
              <w:left w:w="100" w:type="dxa"/>
              <w:bottom w:w="80" w:type="dxa"/>
              <w:right w:w="100" w:type="dxa"/>
            </w:tcMar>
          </w:tcPr>
          <w:p w:rsidR="00102129" w:rsidRDefault="00102129" w:rsidP="00CE15F7">
            <w:r>
              <w:rPr>
                <w:color w:val="000000"/>
                <w:sz w:val="19"/>
                <w:szCs w:val="19"/>
              </w:rPr>
              <w:t>Year 1 (Pilot)</w:t>
            </w:r>
          </w:p>
        </w:tc>
        <w:tc>
          <w:tcPr>
            <w:tcW w:w="6950" w:type="dxa"/>
            <w:shd w:val="clear" w:color="auto" w:fill="FFFFFF"/>
            <w:tcMar>
              <w:top w:w="80" w:type="dxa"/>
              <w:left w:w="100" w:type="dxa"/>
              <w:bottom w:w="80" w:type="dxa"/>
              <w:right w:w="100" w:type="dxa"/>
            </w:tcMar>
          </w:tcPr>
          <w:p w:rsidR="00102129" w:rsidRDefault="00102129" w:rsidP="00CE15F7">
            <w:r>
              <w:rPr>
                <w:color w:val="000000"/>
                <w:sz w:val="19"/>
                <w:szCs w:val="19"/>
              </w:rPr>
              <w:t>Single anchor bank partner, covering the initial corridor, under the settlement/escrow structure described in the partnership documentation.</w:t>
            </w:r>
          </w:p>
        </w:tc>
      </w:tr>
      <w:tr w:rsidR="00102129" w:rsidTr="00CE15F7">
        <w:tblPrEx>
          <w:tblCellMar>
            <w:top w:w="0" w:type="dxa"/>
            <w:bottom w:w="0" w:type="dxa"/>
          </w:tblCellMar>
        </w:tblPrEx>
        <w:tc>
          <w:tcPr>
            <w:tcW w:w="2400" w:type="dxa"/>
            <w:shd w:val="clear" w:color="auto" w:fill="F2F2F2"/>
            <w:tcMar>
              <w:top w:w="80" w:type="dxa"/>
              <w:left w:w="100" w:type="dxa"/>
              <w:bottom w:w="80" w:type="dxa"/>
              <w:right w:w="100" w:type="dxa"/>
            </w:tcMar>
          </w:tcPr>
          <w:p w:rsidR="00102129" w:rsidRDefault="00102129" w:rsidP="00CE15F7">
            <w:r>
              <w:rPr>
                <w:color w:val="000000"/>
                <w:sz w:val="19"/>
                <w:szCs w:val="19"/>
              </w:rPr>
              <w:t>Year 2 (Early Parallel Expansion)</w:t>
            </w:r>
          </w:p>
        </w:tc>
        <w:tc>
          <w:tcPr>
            <w:tcW w:w="6950" w:type="dxa"/>
            <w:shd w:val="clear" w:color="auto" w:fill="F2F2F2"/>
            <w:tcMar>
              <w:top w:w="80" w:type="dxa"/>
              <w:left w:w="100" w:type="dxa"/>
              <w:bottom w:w="80" w:type="dxa"/>
              <w:right w:w="100" w:type="dxa"/>
            </w:tcMar>
          </w:tcPr>
          <w:p w:rsidR="00102129" w:rsidRDefault="00102129" w:rsidP="00CE15F7">
            <w:r>
              <w:rPr>
                <w:color w:val="000000"/>
                <w:sz w:val="19"/>
                <w:szCs w:val="19"/>
              </w:rPr>
              <w:t>Second bank partner onboarded in parallel with anchor-corridor scaling, using a standardized 'Bank Partner Playbook' derived from the anchor integration — not sequenced after Year 1 completion.</w:t>
            </w:r>
          </w:p>
        </w:tc>
      </w:tr>
      <w:tr w:rsidR="00102129" w:rsidTr="00CE15F7">
        <w:tblPrEx>
          <w:tblCellMar>
            <w:top w:w="0" w:type="dxa"/>
            <w:bottom w:w="0" w:type="dxa"/>
          </w:tblCellMar>
        </w:tblPrEx>
        <w:tc>
          <w:tcPr>
            <w:tcW w:w="2400" w:type="dxa"/>
            <w:shd w:val="clear" w:color="auto" w:fill="FFFFFF"/>
            <w:tcMar>
              <w:top w:w="80" w:type="dxa"/>
              <w:left w:w="100" w:type="dxa"/>
              <w:bottom w:w="80" w:type="dxa"/>
              <w:right w:w="100" w:type="dxa"/>
            </w:tcMar>
          </w:tcPr>
          <w:p w:rsidR="00102129" w:rsidRDefault="00102129" w:rsidP="00CE15F7">
            <w:r>
              <w:rPr>
                <w:color w:val="000000"/>
                <w:sz w:val="19"/>
                <w:szCs w:val="19"/>
              </w:rPr>
              <w:t>Year 3 (Network Acceleration)</w:t>
            </w:r>
          </w:p>
        </w:tc>
        <w:tc>
          <w:tcPr>
            <w:tcW w:w="6950" w:type="dxa"/>
            <w:shd w:val="clear" w:color="auto" w:fill="FFFFFF"/>
            <w:tcMar>
              <w:top w:w="80" w:type="dxa"/>
              <w:left w:w="100" w:type="dxa"/>
              <w:bottom w:w="80" w:type="dxa"/>
              <w:right w:w="100" w:type="dxa"/>
            </w:tcMar>
          </w:tcPr>
          <w:p w:rsidR="00102129" w:rsidRDefault="00102129" w:rsidP="00CE15F7">
            <w:r>
              <w:rPr>
                <w:color w:val="000000"/>
                <w:sz w:val="19"/>
                <w:szCs w:val="19"/>
              </w:rPr>
              <w:t>Third and fourth bank partners onboarded across Africa, Europe, and North America; the API layer is formalized as a bank-agnostic settlement orchestration standard.</w:t>
            </w:r>
          </w:p>
        </w:tc>
      </w:tr>
      <w:tr w:rsidR="00102129" w:rsidTr="00CE15F7">
        <w:tblPrEx>
          <w:tblCellMar>
            <w:top w:w="0" w:type="dxa"/>
            <w:bottom w:w="0" w:type="dxa"/>
          </w:tblCellMar>
        </w:tblPrEx>
        <w:tc>
          <w:tcPr>
            <w:tcW w:w="2400" w:type="dxa"/>
            <w:shd w:val="clear" w:color="auto" w:fill="F2F2F2"/>
            <w:tcMar>
              <w:top w:w="80" w:type="dxa"/>
              <w:left w:w="100" w:type="dxa"/>
              <w:bottom w:w="80" w:type="dxa"/>
              <w:right w:w="100" w:type="dxa"/>
            </w:tcMar>
          </w:tcPr>
          <w:p w:rsidR="00102129" w:rsidRDefault="00102129" w:rsidP="00CE15F7">
            <w:r>
              <w:rPr>
                <w:color w:val="000000"/>
                <w:sz w:val="19"/>
                <w:szCs w:val="19"/>
              </w:rPr>
              <w:t>Years 4–5 (Network Maturity &amp; Platform Stage)</w:t>
            </w:r>
          </w:p>
        </w:tc>
        <w:tc>
          <w:tcPr>
            <w:tcW w:w="6950" w:type="dxa"/>
            <w:shd w:val="clear" w:color="auto" w:fill="F2F2F2"/>
            <w:tcMar>
              <w:top w:w="80" w:type="dxa"/>
              <w:left w:w="100" w:type="dxa"/>
              <w:bottom w:w="80" w:type="dxa"/>
              <w:right w:w="100" w:type="dxa"/>
            </w:tcMar>
          </w:tcPr>
          <w:p w:rsidR="00102129" w:rsidRDefault="00102129" w:rsidP="00CE15F7">
            <w:r>
              <w:rPr>
                <w:color w:val="000000"/>
                <w:sz w:val="19"/>
                <w:szCs w:val="19"/>
              </w:rPr>
              <w:t>6–8 partner banks live; Xspeeria's multi-bank network becomes infrastructure other fintechs and financial institutions can plug into (embedded/white-label matching-as-a-service), turning the bank network itself into a defensible, hard-to-replicate moat by Year 5.</w:t>
            </w:r>
          </w:p>
        </w:tc>
      </w:tr>
    </w:tbl>
    <w:p w:rsidR="00102129" w:rsidRDefault="00102129" w:rsidP="00102129">
      <w:pPr>
        <w:spacing w:before="60" w:after="200"/>
      </w:pPr>
      <w:r>
        <w:rPr>
          <w:i/>
          <w:iCs/>
          <w:color w:val="595959"/>
          <w:sz w:val="18"/>
          <w:szCs w:val="18"/>
        </w:rPr>
        <w:t>Table 7.1: Indicative network-growth structure. Each new bank partner should pass the same due-diligence and technical-integration bar established for the anchor bank, even under compressed timing.</w:t>
      </w:r>
    </w:p>
    <w:p w:rsidR="00102129" w:rsidRDefault="00102129" w:rsidP="00102129">
      <w:r>
        <w:br w:type="page"/>
      </w:r>
    </w:p>
    <w:p w:rsidR="00102129" w:rsidRDefault="00102129" w:rsidP="00102129">
      <w:pPr>
        <w:pStyle w:val="Heading1"/>
        <w:spacing w:before="360" w:after="200"/>
      </w:pPr>
      <w:r>
        <w:lastRenderedPageBreak/>
        <w:t>8. 5-Year Corridor Expansion Roadmap</w:t>
      </w:r>
    </w:p>
    <w:tbl>
      <w:tblPr>
        <w:tblW w:w="9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0"/>
        <w:gridCol w:w="2676"/>
        <w:gridCol w:w="5655"/>
      </w:tblGrid>
      <w:tr w:rsidR="00102129" w:rsidTr="00102129">
        <w:tblPrEx>
          <w:tblCellMar>
            <w:top w:w="0" w:type="dxa"/>
            <w:bottom w:w="0" w:type="dxa"/>
          </w:tblCellMar>
        </w:tblPrEx>
        <w:trPr>
          <w:trHeight w:val="317"/>
          <w:tblHeader/>
        </w:trPr>
        <w:tc>
          <w:tcPr>
            <w:tcW w:w="1110" w:type="dxa"/>
            <w:shd w:val="clear" w:color="auto" w:fill="12284B"/>
            <w:tcMar>
              <w:top w:w="80" w:type="dxa"/>
              <w:left w:w="100" w:type="dxa"/>
              <w:bottom w:w="80" w:type="dxa"/>
              <w:right w:w="100" w:type="dxa"/>
            </w:tcMar>
          </w:tcPr>
          <w:p w:rsidR="00102129" w:rsidRDefault="00102129" w:rsidP="00CE15F7">
            <w:r>
              <w:rPr>
                <w:b/>
                <w:bCs/>
                <w:color w:val="FFFFFF"/>
                <w:sz w:val="19"/>
                <w:szCs w:val="19"/>
              </w:rPr>
              <w:t>Year</w:t>
            </w:r>
          </w:p>
        </w:tc>
        <w:tc>
          <w:tcPr>
            <w:tcW w:w="2676" w:type="dxa"/>
            <w:shd w:val="clear" w:color="auto" w:fill="12284B"/>
            <w:tcMar>
              <w:top w:w="80" w:type="dxa"/>
              <w:left w:w="100" w:type="dxa"/>
              <w:bottom w:w="80" w:type="dxa"/>
              <w:right w:w="100" w:type="dxa"/>
            </w:tcMar>
          </w:tcPr>
          <w:p w:rsidR="00102129" w:rsidRDefault="00102129" w:rsidP="00102129">
            <w:pPr>
              <w:jc w:val="center"/>
            </w:pPr>
            <w:r>
              <w:rPr>
                <w:b/>
                <w:bCs/>
                <w:color w:val="FFFFFF"/>
                <w:sz w:val="19"/>
                <w:szCs w:val="19"/>
              </w:rPr>
              <w:t>Corridors Live (Cumulative)</w:t>
            </w:r>
          </w:p>
        </w:tc>
        <w:tc>
          <w:tcPr>
            <w:tcW w:w="5655" w:type="dxa"/>
            <w:shd w:val="clear" w:color="auto" w:fill="12284B"/>
            <w:tcMar>
              <w:top w:w="80" w:type="dxa"/>
              <w:left w:w="100" w:type="dxa"/>
              <w:bottom w:w="80" w:type="dxa"/>
              <w:right w:w="100" w:type="dxa"/>
            </w:tcMar>
          </w:tcPr>
          <w:p w:rsidR="00102129" w:rsidRDefault="00102129" w:rsidP="00CE15F7">
            <w:r>
              <w:rPr>
                <w:b/>
                <w:bCs/>
                <w:color w:val="FFFFFF"/>
                <w:sz w:val="19"/>
                <w:szCs w:val="19"/>
              </w:rPr>
              <w:t>Illustrative New Corridors Added</w:t>
            </w:r>
          </w:p>
        </w:tc>
      </w:tr>
      <w:tr w:rsidR="00102129" w:rsidTr="00102129">
        <w:tblPrEx>
          <w:tblCellMar>
            <w:top w:w="0" w:type="dxa"/>
            <w:bottom w:w="0" w:type="dxa"/>
          </w:tblCellMar>
        </w:tblPrEx>
        <w:trPr>
          <w:trHeight w:val="317"/>
        </w:trPr>
        <w:tc>
          <w:tcPr>
            <w:tcW w:w="1110" w:type="dxa"/>
            <w:shd w:val="clear" w:color="auto" w:fill="FFFFFF"/>
            <w:tcMar>
              <w:top w:w="80" w:type="dxa"/>
              <w:left w:w="100" w:type="dxa"/>
              <w:bottom w:w="80" w:type="dxa"/>
              <w:right w:w="100" w:type="dxa"/>
            </w:tcMar>
          </w:tcPr>
          <w:p w:rsidR="00102129" w:rsidRDefault="00102129" w:rsidP="00CE15F7">
            <w:r>
              <w:rPr>
                <w:color w:val="000000"/>
                <w:sz w:val="19"/>
                <w:szCs w:val="19"/>
              </w:rPr>
              <w:t>Year 1</w:t>
            </w:r>
          </w:p>
        </w:tc>
        <w:tc>
          <w:tcPr>
            <w:tcW w:w="2676" w:type="dxa"/>
            <w:shd w:val="clear" w:color="auto" w:fill="FFFFFF"/>
            <w:tcMar>
              <w:top w:w="80" w:type="dxa"/>
              <w:left w:w="100" w:type="dxa"/>
              <w:bottom w:w="80" w:type="dxa"/>
              <w:right w:w="100" w:type="dxa"/>
            </w:tcMar>
          </w:tcPr>
          <w:p w:rsidR="00102129" w:rsidRDefault="00102129" w:rsidP="00102129">
            <w:pPr>
              <w:jc w:val="center"/>
            </w:pPr>
            <w:r>
              <w:rPr>
                <w:color w:val="000000"/>
                <w:sz w:val="19"/>
                <w:szCs w:val="19"/>
              </w:rPr>
              <w:t>1</w:t>
            </w:r>
          </w:p>
        </w:tc>
        <w:tc>
          <w:tcPr>
            <w:tcW w:w="5655" w:type="dxa"/>
            <w:shd w:val="clear" w:color="auto" w:fill="FFFFFF"/>
            <w:tcMar>
              <w:top w:w="80" w:type="dxa"/>
              <w:left w:w="100" w:type="dxa"/>
              <w:bottom w:w="80" w:type="dxa"/>
              <w:right w:w="100" w:type="dxa"/>
            </w:tcMar>
          </w:tcPr>
          <w:p w:rsidR="00102129" w:rsidRDefault="00102129" w:rsidP="00CE15F7">
            <w:r>
              <w:rPr>
                <w:color w:val="000000"/>
                <w:sz w:val="19"/>
                <w:szCs w:val="19"/>
              </w:rPr>
              <w:t>Nigeria ↔ United Kingdom (pilot)</w:t>
            </w:r>
          </w:p>
        </w:tc>
      </w:tr>
      <w:tr w:rsidR="00102129" w:rsidTr="00102129">
        <w:tblPrEx>
          <w:tblCellMar>
            <w:top w:w="0" w:type="dxa"/>
            <w:bottom w:w="0" w:type="dxa"/>
          </w:tblCellMar>
        </w:tblPrEx>
        <w:trPr>
          <w:trHeight w:val="338"/>
        </w:trPr>
        <w:tc>
          <w:tcPr>
            <w:tcW w:w="1110" w:type="dxa"/>
            <w:shd w:val="clear" w:color="auto" w:fill="F2F2F2"/>
            <w:tcMar>
              <w:top w:w="80" w:type="dxa"/>
              <w:left w:w="100" w:type="dxa"/>
              <w:bottom w:w="80" w:type="dxa"/>
              <w:right w:w="100" w:type="dxa"/>
            </w:tcMar>
          </w:tcPr>
          <w:p w:rsidR="00102129" w:rsidRDefault="00102129" w:rsidP="00CE15F7">
            <w:r>
              <w:rPr>
                <w:color w:val="000000"/>
                <w:sz w:val="19"/>
                <w:szCs w:val="19"/>
              </w:rPr>
              <w:t>Year 2</w:t>
            </w:r>
          </w:p>
        </w:tc>
        <w:tc>
          <w:tcPr>
            <w:tcW w:w="2676" w:type="dxa"/>
            <w:shd w:val="clear" w:color="auto" w:fill="F2F2F2"/>
            <w:tcMar>
              <w:top w:w="80" w:type="dxa"/>
              <w:left w:w="100" w:type="dxa"/>
              <w:bottom w:w="80" w:type="dxa"/>
              <w:right w:w="100" w:type="dxa"/>
            </w:tcMar>
          </w:tcPr>
          <w:p w:rsidR="00102129" w:rsidRDefault="00102129" w:rsidP="00102129">
            <w:pPr>
              <w:jc w:val="center"/>
            </w:pPr>
            <w:r>
              <w:rPr>
                <w:color w:val="000000"/>
                <w:sz w:val="19"/>
                <w:szCs w:val="19"/>
              </w:rPr>
              <w:t>4</w:t>
            </w:r>
          </w:p>
        </w:tc>
        <w:tc>
          <w:tcPr>
            <w:tcW w:w="5655" w:type="dxa"/>
            <w:shd w:val="clear" w:color="auto" w:fill="F2F2F2"/>
            <w:tcMar>
              <w:top w:w="80" w:type="dxa"/>
              <w:left w:w="100" w:type="dxa"/>
              <w:bottom w:w="80" w:type="dxa"/>
              <w:right w:w="100" w:type="dxa"/>
            </w:tcMar>
          </w:tcPr>
          <w:p w:rsidR="00102129" w:rsidRDefault="00102129" w:rsidP="00CE15F7">
            <w:r>
              <w:rPr>
                <w:color w:val="000000"/>
                <w:sz w:val="19"/>
                <w:szCs w:val="19"/>
              </w:rPr>
              <w:t>+ Nigeria ↔ United States, Nigeria ↔ Canada, Ghana ↔ UK</w:t>
            </w:r>
          </w:p>
        </w:tc>
      </w:tr>
      <w:tr w:rsidR="00102129" w:rsidTr="00102129">
        <w:tblPrEx>
          <w:tblCellMar>
            <w:top w:w="0" w:type="dxa"/>
            <w:bottom w:w="0" w:type="dxa"/>
          </w:tblCellMar>
        </w:tblPrEx>
        <w:trPr>
          <w:trHeight w:val="634"/>
        </w:trPr>
        <w:tc>
          <w:tcPr>
            <w:tcW w:w="1110" w:type="dxa"/>
            <w:shd w:val="clear" w:color="auto" w:fill="FFFFFF"/>
            <w:tcMar>
              <w:top w:w="80" w:type="dxa"/>
              <w:left w:w="100" w:type="dxa"/>
              <w:bottom w:w="80" w:type="dxa"/>
              <w:right w:w="100" w:type="dxa"/>
            </w:tcMar>
          </w:tcPr>
          <w:p w:rsidR="00102129" w:rsidRDefault="00102129" w:rsidP="00CE15F7">
            <w:r>
              <w:rPr>
                <w:color w:val="000000"/>
                <w:sz w:val="19"/>
                <w:szCs w:val="19"/>
              </w:rPr>
              <w:t>Year 3</w:t>
            </w:r>
          </w:p>
        </w:tc>
        <w:tc>
          <w:tcPr>
            <w:tcW w:w="2676" w:type="dxa"/>
            <w:shd w:val="clear" w:color="auto" w:fill="FFFFFF"/>
            <w:tcMar>
              <w:top w:w="80" w:type="dxa"/>
              <w:left w:w="100" w:type="dxa"/>
              <w:bottom w:w="80" w:type="dxa"/>
              <w:right w:w="100" w:type="dxa"/>
            </w:tcMar>
          </w:tcPr>
          <w:p w:rsidR="00102129" w:rsidRDefault="00102129" w:rsidP="00102129">
            <w:pPr>
              <w:jc w:val="center"/>
            </w:pPr>
            <w:r>
              <w:rPr>
                <w:color w:val="000000"/>
                <w:sz w:val="19"/>
                <w:szCs w:val="19"/>
              </w:rPr>
              <w:t>9</w:t>
            </w:r>
          </w:p>
        </w:tc>
        <w:tc>
          <w:tcPr>
            <w:tcW w:w="5655" w:type="dxa"/>
            <w:shd w:val="clear" w:color="auto" w:fill="FFFFFF"/>
            <w:tcMar>
              <w:top w:w="80" w:type="dxa"/>
              <w:left w:w="100" w:type="dxa"/>
              <w:bottom w:w="80" w:type="dxa"/>
              <w:right w:w="100" w:type="dxa"/>
            </w:tcMar>
          </w:tcPr>
          <w:p w:rsidR="00102129" w:rsidRDefault="00102129" w:rsidP="00CE15F7">
            <w:r>
              <w:rPr>
                <w:color w:val="000000"/>
                <w:sz w:val="19"/>
                <w:szCs w:val="19"/>
              </w:rPr>
              <w:t>+ Nigeria ↔ China, Kenya ↔ UK, Nigeria ↔ UAE, Ghana ↔ US, Kenya ↔ US</w:t>
            </w:r>
          </w:p>
        </w:tc>
      </w:tr>
      <w:tr w:rsidR="00102129" w:rsidTr="00102129">
        <w:tblPrEx>
          <w:tblCellMar>
            <w:top w:w="0" w:type="dxa"/>
            <w:bottom w:w="0" w:type="dxa"/>
          </w:tblCellMar>
        </w:tblPrEx>
        <w:trPr>
          <w:trHeight w:val="634"/>
        </w:trPr>
        <w:tc>
          <w:tcPr>
            <w:tcW w:w="1110" w:type="dxa"/>
            <w:shd w:val="clear" w:color="auto" w:fill="F2F2F2"/>
            <w:tcMar>
              <w:top w:w="80" w:type="dxa"/>
              <w:left w:w="100" w:type="dxa"/>
              <w:bottom w:w="80" w:type="dxa"/>
              <w:right w:w="100" w:type="dxa"/>
            </w:tcMar>
          </w:tcPr>
          <w:p w:rsidR="00102129" w:rsidRDefault="00102129" w:rsidP="00CE15F7">
            <w:r>
              <w:rPr>
                <w:color w:val="000000"/>
                <w:sz w:val="19"/>
                <w:szCs w:val="19"/>
              </w:rPr>
              <w:t>Year 4</w:t>
            </w:r>
          </w:p>
        </w:tc>
        <w:tc>
          <w:tcPr>
            <w:tcW w:w="2676" w:type="dxa"/>
            <w:shd w:val="clear" w:color="auto" w:fill="F2F2F2"/>
            <w:tcMar>
              <w:top w:w="80" w:type="dxa"/>
              <w:left w:w="100" w:type="dxa"/>
              <w:bottom w:w="80" w:type="dxa"/>
              <w:right w:w="100" w:type="dxa"/>
            </w:tcMar>
          </w:tcPr>
          <w:p w:rsidR="00102129" w:rsidRDefault="00102129" w:rsidP="00102129">
            <w:pPr>
              <w:jc w:val="center"/>
            </w:pPr>
            <w:r>
              <w:rPr>
                <w:color w:val="000000"/>
                <w:sz w:val="19"/>
                <w:szCs w:val="19"/>
              </w:rPr>
              <w:t>15</w:t>
            </w:r>
          </w:p>
        </w:tc>
        <w:tc>
          <w:tcPr>
            <w:tcW w:w="5655" w:type="dxa"/>
            <w:shd w:val="clear" w:color="auto" w:fill="F2F2F2"/>
            <w:tcMar>
              <w:top w:w="80" w:type="dxa"/>
              <w:left w:w="100" w:type="dxa"/>
              <w:bottom w:w="80" w:type="dxa"/>
              <w:right w:w="100" w:type="dxa"/>
            </w:tcMar>
          </w:tcPr>
          <w:p w:rsidR="00102129" w:rsidRDefault="00102129" w:rsidP="00CE15F7">
            <w:r>
              <w:rPr>
                <w:color w:val="000000"/>
                <w:sz w:val="19"/>
                <w:szCs w:val="19"/>
              </w:rPr>
              <w:t>+ South Africa ↔ UK, and 5 additional Africa–diaspora corridors (e.g., Uganda, Senegal, Ethiopia ↔ EU/UK/US)</w:t>
            </w:r>
          </w:p>
        </w:tc>
      </w:tr>
      <w:tr w:rsidR="00102129" w:rsidTr="00102129">
        <w:tblPrEx>
          <w:tblCellMar>
            <w:top w:w="0" w:type="dxa"/>
            <w:bottom w:w="0" w:type="dxa"/>
          </w:tblCellMar>
        </w:tblPrEx>
        <w:trPr>
          <w:trHeight w:val="973"/>
        </w:trPr>
        <w:tc>
          <w:tcPr>
            <w:tcW w:w="1110" w:type="dxa"/>
            <w:shd w:val="clear" w:color="auto" w:fill="FFFFFF"/>
            <w:tcMar>
              <w:top w:w="80" w:type="dxa"/>
              <w:left w:w="100" w:type="dxa"/>
              <w:bottom w:w="80" w:type="dxa"/>
              <w:right w:w="100" w:type="dxa"/>
            </w:tcMar>
          </w:tcPr>
          <w:p w:rsidR="00102129" w:rsidRDefault="00102129" w:rsidP="00CE15F7">
            <w:r>
              <w:rPr>
                <w:color w:val="000000"/>
                <w:sz w:val="19"/>
                <w:szCs w:val="19"/>
              </w:rPr>
              <w:t>Year 5</w:t>
            </w:r>
          </w:p>
        </w:tc>
        <w:tc>
          <w:tcPr>
            <w:tcW w:w="2676" w:type="dxa"/>
            <w:shd w:val="clear" w:color="auto" w:fill="FFFFFF"/>
            <w:tcMar>
              <w:top w:w="80" w:type="dxa"/>
              <w:left w:w="100" w:type="dxa"/>
              <w:bottom w:w="80" w:type="dxa"/>
              <w:right w:w="100" w:type="dxa"/>
            </w:tcMar>
          </w:tcPr>
          <w:p w:rsidR="00102129" w:rsidRDefault="00102129" w:rsidP="00102129">
            <w:pPr>
              <w:jc w:val="center"/>
            </w:pPr>
            <w:r>
              <w:rPr>
                <w:color w:val="000000"/>
                <w:sz w:val="19"/>
                <w:szCs w:val="19"/>
              </w:rPr>
              <w:t>22</w:t>
            </w:r>
          </w:p>
        </w:tc>
        <w:tc>
          <w:tcPr>
            <w:tcW w:w="5655" w:type="dxa"/>
            <w:shd w:val="clear" w:color="auto" w:fill="FFFFFF"/>
            <w:tcMar>
              <w:top w:w="80" w:type="dxa"/>
              <w:left w:w="100" w:type="dxa"/>
              <w:bottom w:w="80" w:type="dxa"/>
              <w:right w:w="100" w:type="dxa"/>
            </w:tcMar>
          </w:tcPr>
          <w:p w:rsidR="00102129" w:rsidRDefault="00102129" w:rsidP="00CE15F7">
            <w:r>
              <w:rPr>
                <w:color w:val="000000"/>
                <w:sz w:val="19"/>
                <w:szCs w:val="19"/>
              </w:rPr>
              <w:t>+ Intra-Africa corridors (e.g., Nigeria ↔ Ghana ↔ Kenya) and initial embedded/white-label rollout via bank-network partners into adjacent emerging-market corridors</w:t>
            </w:r>
          </w:p>
        </w:tc>
      </w:tr>
    </w:tbl>
    <w:p w:rsidR="00102129" w:rsidRDefault="00102129" w:rsidP="00102129">
      <w:pPr>
        <w:spacing w:before="60" w:after="200"/>
      </w:pPr>
      <w:r>
        <w:rPr>
          <w:i/>
          <w:iCs/>
          <w:color w:val="595959"/>
          <w:sz w:val="18"/>
          <w:szCs w:val="18"/>
        </w:rPr>
        <w:t>Table 8.1: Illustrative sequencing, gated at every stage by the KPI framework and go/no-go criteria in the Project Implementation Plan — not a committed launch schedule. Note the pace roughly doubles corridor count year-over-year through Year 3, the single most aggressive assumption in this plan.</w:t>
      </w:r>
    </w:p>
    <w:p w:rsidR="00102129" w:rsidRDefault="00102129" w:rsidP="00102129">
      <w:r>
        <w:br w:type="page"/>
      </w:r>
    </w:p>
    <w:p w:rsidR="00102129" w:rsidRDefault="00102129" w:rsidP="00102129">
      <w:pPr>
        <w:pStyle w:val="Heading1"/>
        <w:spacing w:before="360" w:after="200"/>
      </w:pPr>
      <w:r>
        <w:lastRenderedPageBreak/>
        <w:t>9. Leadership Team &amp; Board of Advisors</w:t>
      </w:r>
    </w:p>
    <w:p w:rsidR="00102129" w:rsidRDefault="00102129" w:rsidP="00102129">
      <w:pPr>
        <w:spacing w:after="160" w:line="300" w:lineRule="auto"/>
        <w:jc w:val="both"/>
      </w:pPr>
      <w:r>
        <w:t>Xspeeria is led by a five-person executive co-founder team, as reflected in the company's executive organogram. The roles below match the actual organogram provided by the company; note that the current structure includes a Chief Security Officer (CSO) rather than a separate Chief Operating Officer (COO) — if a dedicated COO role is desired for future investor-facing materials, that should be formally added to the organogram rather than implied here.</w:t>
      </w:r>
    </w:p>
    <w:p w:rsidR="00102129" w:rsidRDefault="00102129" w:rsidP="00102129">
      <w:pPr>
        <w:pStyle w:val="Heading2"/>
        <w:spacing w:before="260" w:after="140"/>
      </w:pPr>
      <w:r>
        <w:t>9.1 Executive Team</w:t>
      </w:r>
    </w:p>
    <w:tbl>
      <w:tblPr>
        <w:tblW w:w="9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2521"/>
        <w:gridCol w:w="4426"/>
      </w:tblGrid>
      <w:tr w:rsidR="00102129" w:rsidTr="00102129">
        <w:tblPrEx>
          <w:tblCellMar>
            <w:top w:w="0" w:type="dxa"/>
            <w:bottom w:w="0" w:type="dxa"/>
          </w:tblCellMar>
        </w:tblPrEx>
        <w:trPr>
          <w:trHeight w:val="332"/>
          <w:tblHeader/>
        </w:trPr>
        <w:tc>
          <w:tcPr>
            <w:tcW w:w="2675" w:type="dxa"/>
            <w:shd w:val="clear" w:color="auto" w:fill="12284B"/>
            <w:tcMar>
              <w:top w:w="80" w:type="dxa"/>
              <w:left w:w="100" w:type="dxa"/>
              <w:bottom w:w="80" w:type="dxa"/>
              <w:right w:w="100" w:type="dxa"/>
            </w:tcMar>
          </w:tcPr>
          <w:p w:rsidR="00102129" w:rsidRDefault="00102129" w:rsidP="00CE15F7">
            <w:r>
              <w:rPr>
                <w:b/>
                <w:bCs/>
                <w:color w:val="FFFFFF"/>
                <w:sz w:val="19"/>
                <w:szCs w:val="19"/>
              </w:rPr>
              <w:t>Name</w:t>
            </w:r>
          </w:p>
        </w:tc>
        <w:tc>
          <w:tcPr>
            <w:tcW w:w="2521" w:type="dxa"/>
            <w:shd w:val="clear" w:color="auto" w:fill="12284B"/>
            <w:tcMar>
              <w:top w:w="80" w:type="dxa"/>
              <w:left w:w="100" w:type="dxa"/>
              <w:bottom w:w="80" w:type="dxa"/>
              <w:right w:w="100" w:type="dxa"/>
            </w:tcMar>
          </w:tcPr>
          <w:p w:rsidR="00102129" w:rsidRDefault="00102129" w:rsidP="00CE15F7">
            <w:r>
              <w:rPr>
                <w:b/>
                <w:bCs/>
                <w:color w:val="FFFFFF"/>
                <w:sz w:val="19"/>
                <w:szCs w:val="19"/>
              </w:rPr>
              <w:t>Role</w:t>
            </w:r>
          </w:p>
        </w:tc>
        <w:tc>
          <w:tcPr>
            <w:tcW w:w="4426" w:type="dxa"/>
            <w:shd w:val="clear" w:color="auto" w:fill="12284B"/>
            <w:tcMar>
              <w:top w:w="80" w:type="dxa"/>
              <w:left w:w="100" w:type="dxa"/>
              <w:bottom w:w="80" w:type="dxa"/>
              <w:right w:w="100" w:type="dxa"/>
            </w:tcMar>
          </w:tcPr>
          <w:p w:rsidR="00102129" w:rsidRDefault="00102129" w:rsidP="00CE15F7">
            <w:r>
              <w:rPr>
                <w:b/>
                <w:bCs/>
                <w:color w:val="FFFFFF"/>
                <w:sz w:val="19"/>
                <w:szCs w:val="19"/>
              </w:rPr>
              <w:t>Portfolio</w:t>
            </w:r>
          </w:p>
        </w:tc>
      </w:tr>
      <w:tr w:rsidR="00102129" w:rsidTr="00102129">
        <w:tblPrEx>
          <w:tblCellMar>
            <w:top w:w="0" w:type="dxa"/>
            <w:bottom w:w="0" w:type="dxa"/>
          </w:tblCellMar>
        </w:tblPrEx>
        <w:trPr>
          <w:trHeight w:val="686"/>
        </w:trPr>
        <w:tc>
          <w:tcPr>
            <w:tcW w:w="2675" w:type="dxa"/>
            <w:shd w:val="clear" w:color="auto" w:fill="FFFFFF"/>
            <w:tcMar>
              <w:top w:w="80" w:type="dxa"/>
              <w:left w:w="100" w:type="dxa"/>
              <w:bottom w:w="80" w:type="dxa"/>
              <w:right w:w="100" w:type="dxa"/>
            </w:tcMar>
          </w:tcPr>
          <w:p w:rsidR="00102129" w:rsidRDefault="00102129" w:rsidP="00CE15F7">
            <w:r>
              <w:rPr>
                <w:color w:val="000000"/>
                <w:sz w:val="19"/>
                <w:szCs w:val="19"/>
              </w:rPr>
              <w:t>Egbuchulam Miracle Chinedu</w:t>
            </w:r>
          </w:p>
        </w:tc>
        <w:tc>
          <w:tcPr>
            <w:tcW w:w="2521" w:type="dxa"/>
            <w:shd w:val="clear" w:color="auto" w:fill="FFFFFF"/>
            <w:tcMar>
              <w:top w:w="80" w:type="dxa"/>
              <w:left w:w="100" w:type="dxa"/>
              <w:bottom w:w="80" w:type="dxa"/>
              <w:right w:w="100" w:type="dxa"/>
            </w:tcMar>
          </w:tcPr>
          <w:p w:rsidR="00102129" w:rsidRDefault="00102129" w:rsidP="00CE15F7">
            <w:r>
              <w:rPr>
                <w:color w:val="000000"/>
                <w:sz w:val="19"/>
                <w:szCs w:val="19"/>
              </w:rPr>
              <w:t>Chief Executive Officer (CEO)</w:t>
            </w:r>
          </w:p>
        </w:tc>
        <w:tc>
          <w:tcPr>
            <w:tcW w:w="4426" w:type="dxa"/>
            <w:shd w:val="clear" w:color="auto" w:fill="FFFFFF"/>
            <w:tcMar>
              <w:top w:w="80" w:type="dxa"/>
              <w:left w:w="100" w:type="dxa"/>
              <w:bottom w:w="80" w:type="dxa"/>
              <w:right w:w="100" w:type="dxa"/>
            </w:tcMar>
          </w:tcPr>
          <w:p w:rsidR="00102129" w:rsidRDefault="00102129" w:rsidP="00CE15F7">
            <w:r>
              <w:rPr>
                <w:color w:val="000000"/>
                <w:sz w:val="19"/>
                <w:szCs w:val="19"/>
              </w:rPr>
              <w:t>Vision &amp; leadership; fundraising; investor relations; strategic partnerships; corporate governance.</w:t>
            </w:r>
          </w:p>
        </w:tc>
      </w:tr>
      <w:tr w:rsidR="00102129" w:rsidTr="00102129">
        <w:tblPrEx>
          <w:tblCellMar>
            <w:top w:w="0" w:type="dxa"/>
            <w:bottom w:w="0" w:type="dxa"/>
          </w:tblCellMar>
        </w:tblPrEx>
        <w:trPr>
          <w:trHeight w:val="995"/>
        </w:trPr>
        <w:tc>
          <w:tcPr>
            <w:tcW w:w="2675" w:type="dxa"/>
            <w:shd w:val="clear" w:color="auto" w:fill="F2F2F2"/>
            <w:tcMar>
              <w:top w:w="80" w:type="dxa"/>
              <w:left w:w="100" w:type="dxa"/>
              <w:bottom w:w="80" w:type="dxa"/>
              <w:right w:w="100" w:type="dxa"/>
            </w:tcMar>
          </w:tcPr>
          <w:p w:rsidR="00102129" w:rsidRDefault="00102129" w:rsidP="00CE15F7">
            <w:r>
              <w:rPr>
                <w:color w:val="000000"/>
                <w:sz w:val="19"/>
                <w:szCs w:val="19"/>
              </w:rPr>
              <w:t>Akewusola Misimioluwa</w:t>
            </w:r>
          </w:p>
        </w:tc>
        <w:tc>
          <w:tcPr>
            <w:tcW w:w="2521" w:type="dxa"/>
            <w:shd w:val="clear" w:color="auto" w:fill="F2F2F2"/>
            <w:tcMar>
              <w:top w:w="80" w:type="dxa"/>
              <w:left w:w="100" w:type="dxa"/>
              <w:bottom w:w="80" w:type="dxa"/>
              <w:right w:w="100" w:type="dxa"/>
            </w:tcMar>
          </w:tcPr>
          <w:p w:rsidR="00102129" w:rsidRDefault="00102129" w:rsidP="00CE15F7">
            <w:r>
              <w:rPr>
                <w:color w:val="000000"/>
                <w:sz w:val="19"/>
                <w:szCs w:val="19"/>
              </w:rPr>
              <w:t>Chief Security Officer (CSO)</w:t>
            </w:r>
          </w:p>
        </w:tc>
        <w:tc>
          <w:tcPr>
            <w:tcW w:w="4426" w:type="dxa"/>
            <w:shd w:val="clear" w:color="auto" w:fill="F2F2F2"/>
            <w:tcMar>
              <w:top w:w="80" w:type="dxa"/>
              <w:left w:w="100" w:type="dxa"/>
              <w:bottom w:w="80" w:type="dxa"/>
              <w:right w:w="100" w:type="dxa"/>
            </w:tcMar>
          </w:tcPr>
          <w:p w:rsidR="00102129" w:rsidRDefault="00102129" w:rsidP="00CE15F7">
            <w:r>
              <w:rPr>
                <w:color w:val="000000"/>
                <w:sz w:val="19"/>
                <w:szCs w:val="19"/>
              </w:rPr>
              <w:t>Secure app expansion; secure API partnerships; app revenue protection; platform resilience; application security strategy.</w:t>
            </w:r>
          </w:p>
        </w:tc>
      </w:tr>
      <w:tr w:rsidR="00102129" w:rsidTr="00102129">
        <w:tblPrEx>
          <w:tblCellMar>
            <w:top w:w="0" w:type="dxa"/>
            <w:bottom w:w="0" w:type="dxa"/>
          </w:tblCellMar>
        </w:tblPrEx>
        <w:trPr>
          <w:trHeight w:val="686"/>
        </w:trPr>
        <w:tc>
          <w:tcPr>
            <w:tcW w:w="2675" w:type="dxa"/>
            <w:shd w:val="clear" w:color="auto" w:fill="FFFFFF"/>
            <w:tcMar>
              <w:top w:w="80" w:type="dxa"/>
              <w:left w:w="100" w:type="dxa"/>
              <w:bottom w:w="80" w:type="dxa"/>
              <w:right w:w="100" w:type="dxa"/>
            </w:tcMar>
          </w:tcPr>
          <w:p w:rsidR="00102129" w:rsidRDefault="00102129" w:rsidP="00CE15F7">
            <w:r>
              <w:rPr>
                <w:color w:val="000000"/>
                <w:sz w:val="19"/>
                <w:szCs w:val="19"/>
              </w:rPr>
              <w:t>Akirijan Israel Orume</w:t>
            </w:r>
          </w:p>
        </w:tc>
        <w:tc>
          <w:tcPr>
            <w:tcW w:w="2521" w:type="dxa"/>
            <w:shd w:val="clear" w:color="auto" w:fill="FFFFFF"/>
            <w:tcMar>
              <w:top w:w="80" w:type="dxa"/>
              <w:left w:w="100" w:type="dxa"/>
              <w:bottom w:w="80" w:type="dxa"/>
              <w:right w:w="100" w:type="dxa"/>
            </w:tcMar>
          </w:tcPr>
          <w:p w:rsidR="00102129" w:rsidRDefault="00102129" w:rsidP="00CE15F7">
            <w:r>
              <w:rPr>
                <w:color w:val="000000"/>
                <w:sz w:val="19"/>
                <w:szCs w:val="19"/>
              </w:rPr>
              <w:t>Chief Technology Officer (CTO)</w:t>
            </w:r>
          </w:p>
        </w:tc>
        <w:tc>
          <w:tcPr>
            <w:tcW w:w="4426" w:type="dxa"/>
            <w:shd w:val="clear" w:color="auto" w:fill="FFFFFF"/>
            <w:tcMar>
              <w:top w:w="80" w:type="dxa"/>
              <w:left w:w="100" w:type="dxa"/>
              <w:bottom w:w="80" w:type="dxa"/>
              <w:right w:w="100" w:type="dxa"/>
            </w:tcMar>
          </w:tcPr>
          <w:p w:rsidR="00102129" w:rsidRDefault="00102129" w:rsidP="00CE15F7">
            <w:r>
              <w:rPr>
                <w:color w:val="000000"/>
                <w:sz w:val="19"/>
                <w:szCs w:val="19"/>
              </w:rPr>
              <w:t>Engineering; platform architecture; cybersecurity; AI &amp; infrastructure; technical innovation.</w:t>
            </w:r>
          </w:p>
        </w:tc>
      </w:tr>
      <w:tr w:rsidR="00102129" w:rsidTr="00102129">
        <w:tblPrEx>
          <w:tblCellMar>
            <w:top w:w="0" w:type="dxa"/>
            <w:bottom w:w="0" w:type="dxa"/>
          </w:tblCellMar>
        </w:tblPrEx>
        <w:trPr>
          <w:trHeight w:val="664"/>
        </w:trPr>
        <w:tc>
          <w:tcPr>
            <w:tcW w:w="2675" w:type="dxa"/>
            <w:shd w:val="clear" w:color="auto" w:fill="F2F2F2"/>
            <w:tcMar>
              <w:top w:w="80" w:type="dxa"/>
              <w:left w:w="100" w:type="dxa"/>
              <w:bottom w:w="80" w:type="dxa"/>
              <w:right w:w="100" w:type="dxa"/>
            </w:tcMar>
          </w:tcPr>
          <w:p w:rsidR="00102129" w:rsidRDefault="00102129" w:rsidP="00CE15F7">
            <w:r>
              <w:rPr>
                <w:color w:val="000000"/>
                <w:sz w:val="19"/>
                <w:szCs w:val="19"/>
              </w:rPr>
              <w:t>Oguntimehin Naomi Ayomikun</w:t>
            </w:r>
          </w:p>
        </w:tc>
        <w:tc>
          <w:tcPr>
            <w:tcW w:w="2521" w:type="dxa"/>
            <w:shd w:val="clear" w:color="auto" w:fill="F2F2F2"/>
            <w:tcMar>
              <w:top w:w="80" w:type="dxa"/>
              <w:left w:w="100" w:type="dxa"/>
              <w:bottom w:w="80" w:type="dxa"/>
              <w:right w:w="100" w:type="dxa"/>
            </w:tcMar>
          </w:tcPr>
          <w:p w:rsidR="00102129" w:rsidRDefault="00102129" w:rsidP="00CE15F7">
            <w:r>
              <w:rPr>
                <w:color w:val="000000"/>
                <w:sz w:val="19"/>
                <w:szCs w:val="19"/>
              </w:rPr>
              <w:t>Chief Marketing Officer (CMO)</w:t>
            </w:r>
          </w:p>
        </w:tc>
        <w:tc>
          <w:tcPr>
            <w:tcW w:w="4426" w:type="dxa"/>
            <w:shd w:val="clear" w:color="auto" w:fill="F2F2F2"/>
            <w:tcMar>
              <w:top w:w="80" w:type="dxa"/>
              <w:left w:w="100" w:type="dxa"/>
              <w:bottom w:w="80" w:type="dxa"/>
              <w:right w:w="100" w:type="dxa"/>
            </w:tcMar>
          </w:tcPr>
          <w:p w:rsidR="00102129" w:rsidRDefault="00102129" w:rsidP="00CE15F7">
            <w:r>
              <w:rPr>
                <w:color w:val="000000"/>
                <w:sz w:val="19"/>
                <w:szCs w:val="19"/>
              </w:rPr>
              <w:t>Brand strategy; marketing &amp; growth; customer acquisition; communications; community building.</w:t>
            </w:r>
          </w:p>
        </w:tc>
      </w:tr>
      <w:tr w:rsidR="00102129" w:rsidTr="00102129">
        <w:tblPrEx>
          <w:tblCellMar>
            <w:top w:w="0" w:type="dxa"/>
            <w:bottom w:w="0" w:type="dxa"/>
          </w:tblCellMar>
        </w:tblPrEx>
        <w:trPr>
          <w:trHeight w:val="664"/>
        </w:trPr>
        <w:tc>
          <w:tcPr>
            <w:tcW w:w="2675" w:type="dxa"/>
            <w:shd w:val="clear" w:color="auto" w:fill="FFFFFF"/>
            <w:tcMar>
              <w:top w:w="80" w:type="dxa"/>
              <w:left w:w="100" w:type="dxa"/>
              <w:bottom w:w="80" w:type="dxa"/>
              <w:right w:w="100" w:type="dxa"/>
            </w:tcMar>
          </w:tcPr>
          <w:p w:rsidR="00102129" w:rsidRDefault="00102129" w:rsidP="00CE15F7">
            <w:r>
              <w:rPr>
                <w:color w:val="000000"/>
                <w:sz w:val="19"/>
                <w:szCs w:val="19"/>
              </w:rPr>
              <w:t>Oguntimehin Jesutofunmi Mary</w:t>
            </w:r>
          </w:p>
        </w:tc>
        <w:tc>
          <w:tcPr>
            <w:tcW w:w="2521" w:type="dxa"/>
            <w:shd w:val="clear" w:color="auto" w:fill="FFFFFF"/>
            <w:tcMar>
              <w:top w:w="80" w:type="dxa"/>
              <w:left w:w="100" w:type="dxa"/>
              <w:bottom w:w="80" w:type="dxa"/>
              <w:right w:w="100" w:type="dxa"/>
            </w:tcMar>
          </w:tcPr>
          <w:p w:rsidR="00102129" w:rsidRDefault="00102129" w:rsidP="00CE15F7">
            <w:r>
              <w:rPr>
                <w:color w:val="000000"/>
                <w:sz w:val="19"/>
                <w:szCs w:val="19"/>
              </w:rPr>
              <w:t>Chief Product Officer (CPO)</w:t>
            </w:r>
          </w:p>
        </w:tc>
        <w:tc>
          <w:tcPr>
            <w:tcW w:w="4426" w:type="dxa"/>
            <w:shd w:val="clear" w:color="auto" w:fill="FFFFFF"/>
            <w:tcMar>
              <w:top w:w="80" w:type="dxa"/>
              <w:left w:w="100" w:type="dxa"/>
              <w:bottom w:w="80" w:type="dxa"/>
              <w:right w:w="100" w:type="dxa"/>
            </w:tcMar>
          </w:tcPr>
          <w:p w:rsidR="00102129" w:rsidRDefault="00102129" w:rsidP="00CE15F7">
            <w:r>
              <w:rPr>
                <w:color w:val="000000"/>
                <w:sz w:val="19"/>
                <w:szCs w:val="19"/>
              </w:rPr>
              <w:t>Product strategy; UX/UI design; customer experience; product analytics; product roadmap.</w:t>
            </w:r>
          </w:p>
        </w:tc>
      </w:tr>
    </w:tbl>
    <w:p w:rsidR="00102129" w:rsidRDefault="00102129" w:rsidP="00102129">
      <w:pPr>
        <w:spacing w:before="60" w:after="200"/>
      </w:pPr>
      <w:r>
        <w:rPr>
          <w:i/>
          <w:iCs/>
          <w:color w:val="595959"/>
          <w:sz w:val="18"/>
          <w:szCs w:val="18"/>
        </w:rPr>
        <w:t>Table 9.1: Reflects the current Executive Organogram. A compressed 5-year timeline raises the bar on team credibility — full biographical detail and relevant prior experience for each executive should be added as a short-form bio annex before this plan is shared externally.</w:t>
      </w:r>
    </w:p>
    <w:p w:rsidR="00102129" w:rsidRDefault="00102129" w:rsidP="00102129">
      <w:pPr>
        <w:pStyle w:val="Heading2"/>
        <w:spacing w:before="260" w:after="140"/>
      </w:pPr>
      <w:r>
        <w:t>9.2 Board of Advisors</w:t>
      </w:r>
    </w:p>
    <w:tbl>
      <w:tblPr>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7013"/>
      </w:tblGrid>
      <w:tr w:rsidR="00102129" w:rsidTr="00102129">
        <w:tblPrEx>
          <w:tblCellMar>
            <w:top w:w="0" w:type="dxa"/>
            <w:bottom w:w="0" w:type="dxa"/>
          </w:tblCellMar>
        </w:tblPrEx>
        <w:trPr>
          <w:trHeight w:val="333"/>
          <w:tblHeader/>
        </w:trPr>
        <w:tc>
          <w:tcPr>
            <w:tcW w:w="2490" w:type="dxa"/>
            <w:shd w:val="clear" w:color="auto" w:fill="12284B"/>
            <w:tcMar>
              <w:top w:w="80" w:type="dxa"/>
              <w:left w:w="100" w:type="dxa"/>
              <w:bottom w:w="80" w:type="dxa"/>
              <w:right w:w="100" w:type="dxa"/>
            </w:tcMar>
          </w:tcPr>
          <w:p w:rsidR="00102129" w:rsidRDefault="00102129" w:rsidP="00CE15F7">
            <w:r>
              <w:rPr>
                <w:b/>
                <w:bCs/>
                <w:color w:val="FFFFFF"/>
                <w:sz w:val="19"/>
                <w:szCs w:val="19"/>
              </w:rPr>
              <w:t>Name</w:t>
            </w:r>
          </w:p>
        </w:tc>
        <w:tc>
          <w:tcPr>
            <w:tcW w:w="7013" w:type="dxa"/>
            <w:shd w:val="clear" w:color="auto" w:fill="12284B"/>
            <w:tcMar>
              <w:top w:w="80" w:type="dxa"/>
              <w:left w:w="100" w:type="dxa"/>
              <w:bottom w:w="80" w:type="dxa"/>
              <w:right w:w="100" w:type="dxa"/>
            </w:tcMar>
          </w:tcPr>
          <w:p w:rsidR="00102129" w:rsidRDefault="00102129" w:rsidP="00CE15F7">
            <w:r>
              <w:rPr>
                <w:b/>
                <w:bCs/>
                <w:color w:val="FFFFFF"/>
                <w:sz w:val="19"/>
                <w:szCs w:val="19"/>
              </w:rPr>
              <w:t>Stated Focus / Contribution</w:t>
            </w:r>
          </w:p>
        </w:tc>
      </w:tr>
      <w:tr w:rsidR="00102129" w:rsidTr="00102129">
        <w:tblPrEx>
          <w:tblCellMar>
            <w:top w:w="0" w:type="dxa"/>
            <w:bottom w:w="0" w:type="dxa"/>
          </w:tblCellMar>
        </w:tblPrEx>
        <w:trPr>
          <w:trHeight w:val="688"/>
        </w:trPr>
        <w:tc>
          <w:tcPr>
            <w:tcW w:w="2490" w:type="dxa"/>
            <w:shd w:val="clear" w:color="auto" w:fill="FFFFFF"/>
            <w:tcMar>
              <w:top w:w="80" w:type="dxa"/>
              <w:left w:w="100" w:type="dxa"/>
              <w:bottom w:w="80" w:type="dxa"/>
              <w:right w:w="100" w:type="dxa"/>
            </w:tcMar>
          </w:tcPr>
          <w:p w:rsidR="00102129" w:rsidRDefault="00102129" w:rsidP="00CE15F7">
            <w:r>
              <w:rPr>
                <w:color w:val="000000"/>
                <w:sz w:val="19"/>
                <w:szCs w:val="19"/>
              </w:rPr>
              <w:t>Kola Omotuyi</w:t>
            </w:r>
          </w:p>
        </w:tc>
        <w:tc>
          <w:tcPr>
            <w:tcW w:w="7013" w:type="dxa"/>
            <w:shd w:val="clear" w:color="auto" w:fill="FFFFFF"/>
            <w:tcMar>
              <w:top w:w="80" w:type="dxa"/>
              <w:left w:w="100" w:type="dxa"/>
              <w:bottom w:w="80" w:type="dxa"/>
              <w:right w:w="100" w:type="dxa"/>
            </w:tcMar>
          </w:tcPr>
          <w:p w:rsidR="00102129" w:rsidRDefault="00102129" w:rsidP="00CE15F7">
            <w:r>
              <w:rPr>
                <w:color w:val="000000"/>
                <w:sz w:val="19"/>
                <w:szCs w:val="19"/>
              </w:rPr>
              <w:t>Leadership and execution focus, described as a dedicated professional able to lead and motivate teams with an enthusiastic, can-do approach.</w:t>
            </w:r>
          </w:p>
        </w:tc>
      </w:tr>
      <w:tr w:rsidR="00102129" w:rsidTr="00102129">
        <w:tblPrEx>
          <w:tblCellMar>
            <w:top w:w="0" w:type="dxa"/>
            <w:bottom w:w="0" w:type="dxa"/>
          </w:tblCellMar>
        </w:tblPrEx>
        <w:trPr>
          <w:trHeight w:val="666"/>
        </w:trPr>
        <w:tc>
          <w:tcPr>
            <w:tcW w:w="2490" w:type="dxa"/>
            <w:shd w:val="clear" w:color="auto" w:fill="F2F2F2"/>
            <w:tcMar>
              <w:top w:w="80" w:type="dxa"/>
              <w:left w:w="100" w:type="dxa"/>
              <w:bottom w:w="80" w:type="dxa"/>
              <w:right w:w="100" w:type="dxa"/>
            </w:tcMar>
          </w:tcPr>
          <w:p w:rsidR="00102129" w:rsidRDefault="00102129" w:rsidP="00CE15F7">
            <w:r>
              <w:rPr>
                <w:color w:val="000000"/>
                <w:sz w:val="19"/>
                <w:szCs w:val="19"/>
              </w:rPr>
              <w:t>Oluwaseun Adesanya GS</w:t>
            </w:r>
          </w:p>
        </w:tc>
        <w:tc>
          <w:tcPr>
            <w:tcW w:w="7013" w:type="dxa"/>
            <w:shd w:val="clear" w:color="auto" w:fill="F2F2F2"/>
            <w:tcMar>
              <w:top w:w="80" w:type="dxa"/>
              <w:left w:w="100" w:type="dxa"/>
              <w:bottom w:w="80" w:type="dxa"/>
              <w:right w:w="100" w:type="dxa"/>
            </w:tcMar>
          </w:tcPr>
          <w:p w:rsidR="00102129" w:rsidRDefault="00102129" w:rsidP="00CE15F7">
            <w:r>
              <w:rPr>
                <w:color w:val="000000"/>
                <w:sz w:val="19"/>
                <w:szCs w:val="19"/>
              </w:rPr>
              <w:t>Leadership, innovation, enterprise transformation, and business process re-engineering.</w:t>
            </w:r>
          </w:p>
        </w:tc>
      </w:tr>
      <w:tr w:rsidR="00102129" w:rsidTr="00102129">
        <w:tblPrEx>
          <w:tblCellMar>
            <w:top w:w="0" w:type="dxa"/>
            <w:bottom w:w="0" w:type="dxa"/>
          </w:tblCellMar>
        </w:tblPrEx>
        <w:trPr>
          <w:trHeight w:val="666"/>
        </w:trPr>
        <w:tc>
          <w:tcPr>
            <w:tcW w:w="2490" w:type="dxa"/>
            <w:shd w:val="clear" w:color="auto" w:fill="FFFFFF"/>
            <w:tcMar>
              <w:top w:w="80" w:type="dxa"/>
              <w:left w:w="100" w:type="dxa"/>
              <w:bottom w:w="80" w:type="dxa"/>
              <w:right w:w="100" w:type="dxa"/>
            </w:tcMar>
          </w:tcPr>
          <w:p w:rsidR="00102129" w:rsidRDefault="00102129" w:rsidP="00CE15F7">
            <w:r>
              <w:rPr>
                <w:color w:val="000000"/>
                <w:sz w:val="19"/>
                <w:szCs w:val="19"/>
              </w:rPr>
              <w:t>Mary Aina</w:t>
            </w:r>
          </w:p>
        </w:tc>
        <w:tc>
          <w:tcPr>
            <w:tcW w:w="7013" w:type="dxa"/>
            <w:shd w:val="clear" w:color="auto" w:fill="FFFFFF"/>
            <w:tcMar>
              <w:top w:w="80" w:type="dxa"/>
              <w:left w:w="100" w:type="dxa"/>
              <w:bottom w:w="80" w:type="dxa"/>
              <w:right w:w="100" w:type="dxa"/>
            </w:tcMar>
          </w:tcPr>
          <w:p w:rsidR="00102129" w:rsidRDefault="00102129" w:rsidP="00CE15F7">
            <w:r>
              <w:rPr>
                <w:color w:val="000000"/>
                <w:sz w:val="19"/>
                <w:szCs w:val="19"/>
              </w:rPr>
              <w:t>Strategic, detail-oriented perspective across evolving customer needs and market trends.</w:t>
            </w:r>
          </w:p>
        </w:tc>
      </w:tr>
      <w:tr w:rsidR="00102129" w:rsidTr="00102129">
        <w:tblPrEx>
          <w:tblCellMar>
            <w:top w:w="0" w:type="dxa"/>
            <w:bottom w:w="0" w:type="dxa"/>
          </w:tblCellMar>
        </w:tblPrEx>
        <w:trPr>
          <w:trHeight w:val="333"/>
        </w:trPr>
        <w:tc>
          <w:tcPr>
            <w:tcW w:w="2490" w:type="dxa"/>
            <w:shd w:val="clear" w:color="auto" w:fill="F2F2F2"/>
            <w:tcMar>
              <w:top w:w="80" w:type="dxa"/>
              <w:left w:w="100" w:type="dxa"/>
              <w:bottom w:w="80" w:type="dxa"/>
              <w:right w:w="100" w:type="dxa"/>
            </w:tcMar>
          </w:tcPr>
          <w:p w:rsidR="00102129" w:rsidRDefault="00102129" w:rsidP="00CE15F7">
            <w:r>
              <w:rPr>
                <w:color w:val="000000"/>
                <w:sz w:val="19"/>
                <w:szCs w:val="19"/>
              </w:rPr>
              <w:t>Mofiyinfoluwa Adewale</w:t>
            </w:r>
          </w:p>
        </w:tc>
        <w:tc>
          <w:tcPr>
            <w:tcW w:w="7013" w:type="dxa"/>
            <w:shd w:val="clear" w:color="auto" w:fill="F2F2F2"/>
            <w:tcMar>
              <w:top w:w="80" w:type="dxa"/>
              <w:left w:w="100" w:type="dxa"/>
              <w:bottom w:w="80" w:type="dxa"/>
              <w:right w:w="100" w:type="dxa"/>
            </w:tcMar>
          </w:tcPr>
          <w:p w:rsidR="00102129" w:rsidRDefault="00102129" w:rsidP="00CE15F7">
            <w:r>
              <w:rPr>
                <w:color w:val="000000"/>
                <w:sz w:val="19"/>
                <w:szCs w:val="19"/>
              </w:rPr>
              <w:t>Experienced software engineer with a focus on innovative software development.</w:t>
            </w:r>
          </w:p>
        </w:tc>
      </w:tr>
    </w:tbl>
    <w:p w:rsidR="00102129" w:rsidRDefault="00102129" w:rsidP="00102129">
      <w:pPr>
        <w:spacing w:before="60" w:after="200"/>
      </w:pPr>
      <w:r>
        <w:rPr>
          <w:i/>
          <w:iCs/>
          <w:color w:val="595959"/>
          <w:sz w:val="18"/>
          <w:szCs w:val="18"/>
        </w:rPr>
        <w:t>Table 9.2: Reflects the advisor bios provided in the company's organogram materials. For a 5-year, unicorn-track narrative, each advisor's specific industry credentials (prior banking, payments, or regulatory experience) should be spelled out explicitly — advisory-board credibility is judged on relevant domain expertise, particularly for a financial-services partnership moving this fast.</w:t>
      </w:r>
    </w:p>
    <w:p w:rsidR="00102129" w:rsidRDefault="00102129" w:rsidP="00102129">
      <w:pPr>
        <w:pStyle w:val="Heading2"/>
        <w:spacing w:before="260" w:after="140"/>
      </w:pPr>
      <w:r>
        <w:lastRenderedPageBreak/>
        <w:t>9.3 Recommended Near-Term Governance Additions</w:t>
      </w:r>
    </w:p>
    <w:p w:rsidR="00102129" w:rsidRDefault="00102129" w:rsidP="00102129">
      <w:pPr>
        <w:pStyle w:val="ListParagraph"/>
        <w:numPr>
          <w:ilvl w:val="0"/>
          <w:numId w:val="11"/>
        </w:numPr>
        <w:spacing w:after="90"/>
      </w:pPr>
      <w:r>
        <w:t>A named Money Laundering Reporting Officer (MLRO) / Head of Compliance, distinct from the CSO's cybersecurity remit, given AML/CFT compliance is core to the banking partnership.</w:t>
      </w:r>
    </w:p>
    <w:p w:rsidR="00102129" w:rsidRDefault="00102129" w:rsidP="00102129">
      <w:pPr>
        <w:pStyle w:val="ListParagraph"/>
        <w:numPr>
          <w:ilvl w:val="0"/>
          <w:numId w:val="11"/>
        </w:numPr>
        <w:spacing w:after="90"/>
      </w:pPr>
      <w:r>
        <w:t>A named Chief Financial Officer (CFO) ahead of the Seed round, to own the financial plan in Section 10 and lead investor financial due diligence — essential earlier than usual given the compressed capital-raise cadence in Section 11.</w:t>
      </w:r>
    </w:p>
    <w:p w:rsidR="00102129" w:rsidRDefault="00102129" w:rsidP="00102129">
      <w:pPr>
        <w:pStyle w:val="ListParagraph"/>
        <w:numPr>
          <w:ilvl w:val="0"/>
          <w:numId w:val="11"/>
        </w:numPr>
        <w:spacing w:after="90"/>
      </w:pPr>
      <w:r>
        <w:t>At least one board or advisory seat with direct prior banking, payments licensing, or central-bank regulatory experience in a core corridor market — this materially strengthens credibility with a prospective banking partner and with regulators, and is close to non-negotiable for a 5-year unicorn narrative.</w:t>
      </w:r>
    </w:p>
    <w:p w:rsidR="00102129" w:rsidRDefault="00102129" w:rsidP="00102129">
      <w:pPr>
        <w:pStyle w:val="ListParagraph"/>
        <w:numPr>
          <w:ilvl w:val="0"/>
          <w:numId w:val="11"/>
        </w:numPr>
        <w:spacing w:after="90"/>
      </w:pPr>
      <w:r>
        <w:t>A dedicated Head of Bank Partnerships from Year 2 onward, given the plan requires 2–3 simultaneous bank-partner conversations rather than one at a time.</w:t>
      </w:r>
    </w:p>
    <w:p w:rsidR="00102129" w:rsidRDefault="00102129" w:rsidP="00102129">
      <w:r>
        <w:br w:type="page"/>
      </w:r>
    </w:p>
    <w:p w:rsidR="00102129" w:rsidRDefault="00102129" w:rsidP="00102129">
      <w:pPr>
        <w:pStyle w:val="Heading1"/>
        <w:spacing w:before="360" w:after="200"/>
      </w:pPr>
      <w:r>
        <w:lastRenderedPageBreak/>
        <w:t>10. Financial Plan — 5-Year Projections &amp; Scenario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02129" w:rsidTr="00CE15F7">
        <w:tblPrEx>
          <w:tblCellMar>
            <w:top w:w="0" w:type="dxa"/>
            <w:bottom w:w="0" w:type="dxa"/>
          </w:tblCellMar>
        </w:tblPrEx>
        <w:tc>
          <w:tcPr>
            <w:tcW w:w="0" w:type="auto"/>
            <w:tcBorders>
              <w:top w:val="single" w:sz="6" w:space="0" w:color="9C2B2B"/>
              <w:left w:val="single" w:sz="6" w:space="0" w:color="9C2B2B"/>
              <w:bottom w:val="single" w:sz="6" w:space="0" w:color="9C2B2B"/>
              <w:right w:val="single" w:sz="6" w:space="0" w:color="9C2B2B"/>
            </w:tcBorders>
            <w:shd w:val="clear" w:color="auto" w:fill="FBEAEA"/>
            <w:tcMar>
              <w:top w:w="120" w:type="dxa"/>
              <w:left w:w="160" w:type="dxa"/>
              <w:bottom w:w="120" w:type="dxa"/>
              <w:right w:w="160" w:type="dxa"/>
            </w:tcMar>
          </w:tcPr>
          <w:p w:rsidR="00102129" w:rsidRDefault="00102129" w:rsidP="00CE15F7">
            <w:pPr>
              <w:spacing w:after="60"/>
            </w:pPr>
            <w:r>
              <w:rPr>
                <w:b/>
                <w:bCs/>
                <w:color w:val="9C2B2B"/>
                <w:sz w:val="20"/>
                <w:szCs w:val="20"/>
              </w:rPr>
              <w:t>Basis of Preparation</w:t>
            </w:r>
          </w:p>
          <w:p w:rsidR="00102129" w:rsidRDefault="00102129" w:rsidP="00CE15F7">
            <w:r>
              <w:rPr>
                <w:color w:val="3A1414"/>
                <w:sz w:val="20"/>
                <w:szCs w:val="20"/>
              </w:rPr>
              <w:t>All figures in this section are an illustrative modeling scenario built to stress-test the accelerated unicorn thesis, using assumptions about user growth, transaction volume, corridor mix, and average revenue per transaction consistent with the pricing model in Section 5. They are not a forecast, and should be rebuilt bottom-up with real pilot data at the end of Year 1 before being used in any formal investor or regulatory filing.</w:t>
            </w:r>
          </w:p>
        </w:tc>
      </w:tr>
    </w:tbl>
    <w:p w:rsidR="00102129" w:rsidRDefault="00102129" w:rsidP="00102129">
      <w:pPr>
        <w:pStyle w:val="Heading2"/>
        <w:spacing w:before="260" w:after="140"/>
      </w:pPr>
      <w:r>
        <w:t>10.1 Key Modeling Assumptions</w:t>
      </w:r>
    </w:p>
    <w:p w:rsidR="00102129" w:rsidRDefault="00102129" w:rsidP="00102129">
      <w:pPr>
        <w:pStyle w:val="ListParagraph"/>
        <w:numPr>
          <w:ilvl w:val="0"/>
          <w:numId w:val="11"/>
        </w:numPr>
        <w:spacing w:after="90"/>
      </w:pPr>
      <w:r>
        <w:t>Average combined revenue per matched transaction (both legs) starts around $3–$4 in Year 1 (Nigeria–UK pilot fee levels) and rises as higher-fee corridors (US, Canada, China, Gulf) enter the mix earlier than in the original 10-year plan.</w:t>
      </w:r>
    </w:p>
    <w:p w:rsidR="00102129" w:rsidRDefault="00102129" w:rsidP="00102129">
      <w:pPr>
        <w:pStyle w:val="ListParagraph"/>
        <w:numPr>
          <w:ilvl w:val="0"/>
          <w:numId w:val="11"/>
        </w:numPr>
        <w:spacing w:after="90"/>
      </w:pPr>
      <w:r>
        <w:t>User and transaction growth follows a steeper S-curve than the 10-year plan: modest in Year 1 (pilot/validation), then aggressive parallel-corridor acceleration from Year 2 through Year 4, moderating slightly in Year 5 as the base grows large.</w:t>
      </w:r>
    </w:p>
    <w:p w:rsidR="00102129" w:rsidRDefault="00102129" w:rsidP="00102129">
      <w:pPr>
        <w:pStyle w:val="ListParagraph"/>
        <w:numPr>
          <w:ilvl w:val="0"/>
          <w:numId w:val="11"/>
        </w:numPr>
        <w:spacing w:after="90"/>
      </w:pPr>
      <w:r>
        <w:t>Take rate (revenue as % of matched GMV) starts higher on smaller average transaction sizes and declines over the five years as average transaction size grows and SME/trade volume increases — consistent with the flat-fee mechanics in Section 5.</w:t>
      </w:r>
    </w:p>
    <w:p w:rsidR="00102129" w:rsidRDefault="00102129" w:rsidP="00102129">
      <w:pPr>
        <w:pStyle w:val="ListParagraph"/>
        <w:numPr>
          <w:ilvl w:val="0"/>
          <w:numId w:val="11"/>
        </w:numPr>
        <w:spacing w:after="90"/>
      </w:pPr>
      <w:r>
        <w:t>Operating costs scale sub-linearly with revenue from Year 3 onward (earlier than the 10-year plan) as the technology and compliance base amortizes across a fast-growing transaction base (operating leverage), which is required to reach positive EBITDA by Year 4.</w:t>
      </w:r>
    </w:p>
    <w:p w:rsidR="00102129" w:rsidRDefault="00102129" w:rsidP="00102129">
      <w:pPr>
        <w:pStyle w:val="Heading2"/>
        <w:spacing w:before="260" w:after="140"/>
      </w:pPr>
      <w:r>
        <w:t>10.2 5-Year Summary Model (Base Case, Illustrative)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6"/>
        <w:gridCol w:w="1358"/>
        <w:gridCol w:w="1713"/>
        <w:gridCol w:w="1535"/>
        <w:gridCol w:w="1240"/>
        <w:gridCol w:w="1653"/>
        <w:gridCol w:w="1595"/>
      </w:tblGrid>
      <w:tr w:rsidR="00102129" w:rsidTr="00102129">
        <w:tblPrEx>
          <w:tblCellMar>
            <w:top w:w="0" w:type="dxa"/>
            <w:bottom w:w="0" w:type="dxa"/>
          </w:tblCellMar>
        </w:tblPrEx>
        <w:trPr>
          <w:trHeight w:val="983"/>
          <w:tblHeader/>
        </w:trPr>
        <w:tc>
          <w:tcPr>
            <w:tcW w:w="826" w:type="dxa"/>
            <w:shd w:val="clear" w:color="auto" w:fill="12284B"/>
            <w:tcMar>
              <w:top w:w="80" w:type="dxa"/>
              <w:left w:w="100" w:type="dxa"/>
              <w:bottom w:w="80" w:type="dxa"/>
              <w:right w:w="100" w:type="dxa"/>
            </w:tcMar>
          </w:tcPr>
          <w:p w:rsidR="00102129" w:rsidRDefault="00102129" w:rsidP="00CE15F7">
            <w:r>
              <w:rPr>
                <w:b/>
                <w:bCs/>
                <w:color w:val="FFFFFF"/>
                <w:sz w:val="19"/>
                <w:szCs w:val="19"/>
              </w:rPr>
              <w:t>Year</w:t>
            </w:r>
          </w:p>
        </w:tc>
        <w:tc>
          <w:tcPr>
            <w:tcW w:w="1358" w:type="dxa"/>
            <w:shd w:val="clear" w:color="auto" w:fill="12284B"/>
            <w:tcMar>
              <w:top w:w="80" w:type="dxa"/>
              <w:left w:w="100" w:type="dxa"/>
              <w:bottom w:w="80" w:type="dxa"/>
              <w:right w:w="100" w:type="dxa"/>
            </w:tcMar>
          </w:tcPr>
          <w:p w:rsidR="00102129" w:rsidRDefault="00102129" w:rsidP="00CE15F7">
            <w:r>
              <w:rPr>
                <w:b/>
                <w:bCs/>
                <w:color w:val="FFFFFF"/>
                <w:sz w:val="19"/>
                <w:szCs w:val="19"/>
              </w:rPr>
              <w:t>Corridors</w:t>
            </w:r>
          </w:p>
        </w:tc>
        <w:tc>
          <w:tcPr>
            <w:tcW w:w="1713" w:type="dxa"/>
            <w:shd w:val="clear" w:color="auto" w:fill="12284B"/>
            <w:tcMar>
              <w:top w:w="80" w:type="dxa"/>
              <w:left w:w="100" w:type="dxa"/>
              <w:bottom w:w="80" w:type="dxa"/>
              <w:right w:w="100" w:type="dxa"/>
            </w:tcMar>
          </w:tcPr>
          <w:p w:rsidR="00102129" w:rsidRDefault="00102129" w:rsidP="00CE15F7">
            <w:r>
              <w:rPr>
                <w:b/>
                <w:bCs/>
                <w:color w:val="FFFFFF"/>
                <w:sz w:val="19"/>
                <w:szCs w:val="19"/>
              </w:rPr>
              <w:t>Verified Users (cum.)</w:t>
            </w:r>
          </w:p>
        </w:tc>
        <w:tc>
          <w:tcPr>
            <w:tcW w:w="1535" w:type="dxa"/>
            <w:shd w:val="clear" w:color="auto" w:fill="12284B"/>
            <w:tcMar>
              <w:top w:w="80" w:type="dxa"/>
              <w:left w:w="100" w:type="dxa"/>
              <w:bottom w:w="80" w:type="dxa"/>
              <w:right w:w="100" w:type="dxa"/>
            </w:tcMar>
          </w:tcPr>
          <w:p w:rsidR="00102129" w:rsidRDefault="00102129" w:rsidP="00CE15F7">
            <w:r>
              <w:rPr>
                <w:b/>
                <w:bCs/>
                <w:color w:val="FFFFFF"/>
                <w:sz w:val="19"/>
                <w:szCs w:val="19"/>
              </w:rPr>
              <w:t>Annual GMV</w:t>
            </w:r>
          </w:p>
        </w:tc>
        <w:tc>
          <w:tcPr>
            <w:tcW w:w="1240" w:type="dxa"/>
            <w:shd w:val="clear" w:color="auto" w:fill="12284B"/>
            <w:tcMar>
              <w:top w:w="80" w:type="dxa"/>
              <w:left w:w="100" w:type="dxa"/>
              <w:bottom w:w="80" w:type="dxa"/>
              <w:right w:w="100" w:type="dxa"/>
            </w:tcMar>
          </w:tcPr>
          <w:p w:rsidR="00102129" w:rsidRDefault="00102129" w:rsidP="00CE15F7">
            <w:r>
              <w:rPr>
                <w:b/>
                <w:bCs/>
                <w:color w:val="FFFFFF"/>
                <w:sz w:val="19"/>
                <w:szCs w:val="19"/>
              </w:rPr>
              <w:t>Take Rate</w:t>
            </w:r>
          </w:p>
        </w:tc>
        <w:tc>
          <w:tcPr>
            <w:tcW w:w="1653" w:type="dxa"/>
            <w:shd w:val="clear" w:color="auto" w:fill="12284B"/>
            <w:tcMar>
              <w:top w:w="80" w:type="dxa"/>
              <w:left w:w="100" w:type="dxa"/>
              <w:bottom w:w="80" w:type="dxa"/>
              <w:right w:w="100" w:type="dxa"/>
            </w:tcMar>
          </w:tcPr>
          <w:p w:rsidR="00102129" w:rsidRDefault="00102129" w:rsidP="00CE15F7">
            <w:r>
              <w:rPr>
                <w:b/>
                <w:bCs/>
                <w:color w:val="FFFFFF"/>
                <w:sz w:val="19"/>
                <w:szCs w:val="19"/>
              </w:rPr>
              <w:t>Annual Revenue</w:t>
            </w:r>
          </w:p>
        </w:tc>
        <w:tc>
          <w:tcPr>
            <w:tcW w:w="1595" w:type="dxa"/>
            <w:shd w:val="clear" w:color="auto" w:fill="12284B"/>
            <w:tcMar>
              <w:top w:w="80" w:type="dxa"/>
              <w:left w:w="100" w:type="dxa"/>
              <w:bottom w:w="80" w:type="dxa"/>
              <w:right w:w="100" w:type="dxa"/>
            </w:tcMar>
          </w:tcPr>
          <w:p w:rsidR="00102129" w:rsidRDefault="00102129" w:rsidP="00CE15F7">
            <w:r>
              <w:rPr>
                <w:b/>
                <w:bCs/>
                <w:color w:val="FFFFFF"/>
                <w:sz w:val="19"/>
                <w:szCs w:val="19"/>
              </w:rPr>
              <w:t>EBITDA Margin</w:t>
            </w:r>
          </w:p>
        </w:tc>
      </w:tr>
      <w:tr w:rsidR="00102129" w:rsidTr="00102129">
        <w:tblPrEx>
          <w:tblCellMar>
            <w:top w:w="0" w:type="dxa"/>
            <w:bottom w:w="0" w:type="dxa"/>
          </w:tblCellMar>
        </w:tblPrEx>
        <w:trPr>
          <w:trHeight w:val="1014"/>
        </w:trPr>
        <w:tc>
          <w:tcPr>
            <w:tcW w:w="826" w:type="dxa"/>
            <w:shd w:val="clear" w:color="auto" w:fill="FFFFFF"/>
            <w:tcMar>
              <w:top w:w="80" w:type="dxa"/>
              <w:left w:w="100" w:type="dxa"/>
              <w:bottom w:w="80" w:type="dxa"/>
              <w:right w:w="100" w:type="dxa"/>
            </w:tcMar>
          </w:tcPr>
          <w:p w:rsidR="00102129" w:rsidRDefault="00102129" w:rsidP="00CE15F7">
            <w:r>
              <w:rPr>
                <w:color w:val="000000"/>
                <w:sz w:val="19"/>
                <w:szCs w:val="19"/>
              </w:rPr>
              <w:t>Y1</w:t>
            </w:r>
          </w:p>
        </w:tc>
        <w:tc>
          <w:tcPr>
            <w:tcW w:w="1358" w:type="dxa"/>
            <w:shd w:val="clear" w:color="auto" w:fill="FFFFFF"/>
            <w:tcMar>
              <w:top w:w="80" w:type="dxa"/>
              <w:left w:w="100" w:type="dxa"/>
              <w:bottom w:w="80" w:type="dxa"/>
              <w:right w:w="100" w:type="dxa"/>
            </w:tcMar>
          </w:tcPr>
          <w:p w:rsidR="00102129" w:rsidRDefault="00102129" w:rsidP="00CE15F7">
            <w:r>
              <w:rPr>
                <w:color w:val="000000"/>
                <w:sz w:val="19"/>
                <w:szCs w:val="19"/>
              </w:rPr>
              <w:t>1</w:t>
            </w:r>
          </w:p>
        </w:tc>
        <w:tc>
          <w:tcPr>
            <w:tcW w:w="1713" w:type="dxa"/>
            <w:shd w:val="clear" w:color="auto" w:fill="FFFFFF"/>
            <w:tcMar>
              <w:top w:w="80" w:type="dxa"/>
              <w:left w:w="100" w:type="dxa"/>
              <w:bottom w:w="80" w:type="dxa"/>
              <w:right w:w="100" w:type="dxa"/>
            </w:tcMar>
          </w:tcPr>
          <w:p w:rsidR="00102129" w:rsidRDefault="00102129" w:rsidP="00CE15F7">
            <w:r>
              <w:rPr>
                <w:color w:val="000000"/>
                <w:sz w:val="19"/>
                <w:szCs w:val="19"/>
              </w:rPr>
              <w:t>5,000</w:t>
            </w:r>
          </w:p>
        </w:tc>
        <w:tc>
          <w:tcPr>
            <w:tcW w:w="1535" w:type="dxa"/>
            <w:shd w:val="clear" w:color="auto" w:fill="FFFFFF"/>
            <w:tcMar>
              <w:top w:w="80" w:type="dxa"/>
              <w:left w:w="100" w:type="dxa"/>
              <w:bottom w:w="80" w:type="dxa"/>
              <w:right w:w="100" w:type="dxa"/>
            </w:tcMar>
          </w:tcPr>
          <w:p w:rsidR="00102129" w:rsidRDefault="00102129" w:rsidP="00CE15F7">
            <w:r>
              <w:rPr>
                <w:color w:val="000000"/>
                <w:sz w:val="19"/>
                <w:szCs w:val="19"/>
              </w:rPr>
              <w:t>$10M</w:t>
            </w:r>
          </w:p>
        </w:tc>
        <w:tc>
          <w:tcPr>
            <w:tcW w:w="1240" w:type="dxa"/>
            <w:shd w:val="clear" w:color="auto" w:fill="FFFFFF"/>
            <w:tcMar>
              <w:top w:w="80" w:type="dxa"/>
              <w:left w:w="100" w:type="dxa"/>
              <w:bottom w:w="80" w:type="dxa"/>
              <w:right w:w="100" w:type="dxa"/>
            </w:tcMar>
          </w:tcPr>
          <w:p w:rsidR="00102129" w:rsidRDefault="00102129" w:rsidP="00CE15F7">
            <w:r>
              <w:rPr>
                <w:color w:val="000000"/>
                <w:sz w:val="19"/>
                <w:szCs w:val="19"/>
              </w:rPr>
              <w:t>1.5%</w:t>
            </w:r>
          </w:p>
        </w:tc>
        <w:tc>
          <w:tcPr>
            <w:tcW w:w="1653" w:type="dxa"/>
            <w:shd w:val="clear" w:color="auto" w:fill="FFFFFF"/>
            <w:tcMar>
              <w:top w:w="80" w:type="dxa"/>
              <w:left w:w="100" w:type="dxa"/>
              <w:bottom w:w="80" w:type="dxa"/>
              <w:right w:w="100" w:type="dxa"/>
            </w:tcMar>
          </w:tcPr>
          <w:p w:rsidR="00102129" w:rsidRDefault="00102129" w:rsidP="00CE15F7">
            <w:r>
              <w:rPr>
                <w:color w:val="000000"/>
                <w:sz w:val="19"/>
                <w:szCs w:val="19"/>
              </w:rPr>
              <w:t>$150K</w:t>
            </w:r>
          </w:p>
        </w:tc>
        <w:tc>
          <w:tcPr>
            <w:tcW w:w="1595" w:type="dxa"/>
            <w:shd w:val="clear" w:color="auto" w:fill="FFFFFF"/>
            <w:tcMar>
              <w:top w:w="80" w:type="dxa"/>
              <w:left w:w="100" w:type="dxa"/>
              <w:bottom w:w="80" w:type="dxa"/>
              <w:right w:w="100" w:type="dxa"/>
            </w:tcMar>
          </w:tcPr>
          <w:p w:rsidR="00102129" w:rsidRDefault="00102129" w:rsidP="00CE15F7">
            <w:r>
              <w:rPr>
                <w:color w:val="000000"/>
                <w:sz w:val="19"/>
                <w:szCs w:val="19"/>
              </w:rPr>
              <w:t>Negative (build phase)</w:t>
            </w:r>
          </w:p>
        </w:tc>
      </w:tr>
      <w:tr w:rsidR="00102129" w:rsidTr="00102129">
        <w:tblPrEx>
          <w:tblCellMar>
            <w:top w:w="0" w:type="dxa"/>
            <w:bottom w:w="0" w:type="dxa"/>
          </w:tblCellMar>
        </w:tblPrEx>
        <w:trPr>
          <w:trHeight w:val="983"/>
        </w:trPr>
        <w:tc>
          <w:tcPr>
            <w:tcW w:w="826" w:type="dxa"/>
            <w:shd w:val="clear" w:color="auto" w:fill="F2F2F2"/>
            <w:tcMar>
              <w:top w:w="80" w:type="dxa"/>
              <w:left w:w="100" w:type="dxa"/>
              <w:bottom w:w="80" w:type="dxa"/>
              <w:right w:w="100" w:type="dxa"/>
            </w:tcMar>
          </w:tcPr>
          <w:p w:rsidR="00102129" w:rsidRDefault="00102129" w:rsidP="00CE15F7">
            <w:r>
              <w:rPr>
                <w:color w:val="000000"/>
                <w:sz w:val="19"/>
                <w:szCs w:val="19"/>
              </w:rPr>
              <w:t>Y2</w:t>
            </w:r>
          </w:p>
        </w:tc>
        <w:tc>
          <w:tcPr>
            <w:tcW w:w="1358" w:type="dxa"/>
            <w:shd w:val="clear" w:color="auto" w:fill="F2F2F2"/>
            <w:tcMar>
              <w:top w:w="80" w:type="dxa"/>
              <w:left w:w="100" w:type="dxa"/>
              <w:bottom w:w="80" w:type="dxa"/>
              <w:right w:w="100" w:type="dxa"/>
            </w:tcMar>
          </w:tcPr>
          <w:p w:rsidR="00102129" w:rsidRDefault="00102129" w:rsidP="00CE15F7">
            <w:r>
              <w:rPr>
                <w:color w:val="000000"/>
                <w:sz w:val="19"/>
                <w:szCs w:val="19"/>
              </w:rPr>
              <w:t>4</w:t>
            </w:r>
          </w:p>
        </w:tc>
        <w:tc>
          <w:tcPr>
            <w:tcW w:w="1713" w:type="dxa"/>
            <w:shd w:val="clear" w:color="auto" w:fill="F2F2F2"/>
            <w:tcMar>
              <w:top w:w="80" w:type="dxa"/>
              <w:left w:w="100" w:type="dxa"/>
              <w:bottom w:w="80" w:type="dxa"/>
              <w:right w:w="100" w:type="dxa"/>
            </w:tcMar>
          </w:tcPr>
          <w:p w:rsidR="00102129" w:rsidRDefault="00102129" w:rsidP="00CE15F7">
            <w:r>
              <w:rPr>
                <w:color w:val="000000"/>
                <w:sz w:val="19"/>
                <w:szCs w:val="19"/>
              </w:rPr>
              <w:t>100,000</w:t>
            </w:r>
          </w:p>
        </w:tc>
        <w:tc>
          <w:tcPr>
            <w:tcW w:w="1535" w:type="dxa"/>
            <w:shd w:val="clear" w:color="auto" w:fill="F2F2F2"/>
            <w:tcMar>
              <w:top w:w="80" w:type="dxa"/>
              <w:left w:w="100" w:type="dxa"/>
              <w:bottom w:w="80" w:type="dxa"/>
              <w:right w:w="100" w:type="dxa"/>
            </w:tcMar>
          </w:tcPr>
          <w:p w:rsidR="00102129" w:rsidRDefault="00102129" w:rsidP="00CE15F7">
            <w:r>
              <w:rPr>
                <w:color w:val="000000"/>
                <w:sz w:val="19"/>
                <w:szCs w:val="19"/>
              </w:rPr>
              <w:t>$400M</w:t>
            </w:r>
          </w:p>
        </w:tc>
        <w:tc>
          <w:tcPr>
            <w:tcW w:w="1240" w:type="dxa"/>
            <w:shd w:val="clear" w:color="auto" w:fill="F2F2F2"/>
            <w:tcMar>
              <w:top w:w="80" w:type="dxa"/>
              <w:left w:w="100" w:type="dxa"/>
              <w:bottom w:w="80" w:type="dxa"/>
              <w:right w:w="100" w:type="dxa"/>
            </w:tcMar>
          </w:tcPr>
          <w:p w:rsidR="00102129" w:rsidRDefault="00102129" w:rsidP="00CE15F7">
            <w:r>
              <w:rPr>
                <w:color w:val="000000"/>
                <w:sz w:val="19"/>
                <w:szCs w:val="19"/>
              </w:rPr>
              <w:t>1.5%</w:t>
            </w:r>
          </w:p>
        </w:tc>
        <w:tc>
          <w:tcPr>
            <w:tcW w:w="1653" w:type="dxa"/>
            <w:shd w:val="clear" w:color="auto" w:fill="F2F2F2"/>
            <w:tcMar>
              <w:top w:w="80" w:type="dxa"/>
              <w:left w:w="100" w:type="dxa"/>
              <w:bottom w:w="80" w:type="dxa"/>
              <w:right w:w="100" w:type="dxa"/>
            </w:tcMar>
          </w:tcPr>
          <w:p w:rsidR="00102129" w:rsidRDefault="00102129" w:rsidP="00CE15F7">
            <w:r>
              <w:rPr>
                <w:color w:val="000000"/>
                <w:sz w:val="19"/>
                <w:szCs w:val="19"/>
              </w:rPr>
              <w:t>$6.0M</w:t>
            </w:r>
          </w:p>
        </w:tc>
        <w:tc>
          <w:tcPr>
            <w:tcW w:w="1595" w:type="dxa"/>
            <w:shd w:val="clear" w:color="auto" w:fill="F2F2F2"/>
            <w:tcMar>
              <w:top w:w="80" w:type="dxa"/>
              <w:left w:w="100" w:type="dxa"/>
              <w:bottom w:w="80" w:type="dxa"/>
              <w:right w:w="100" w:type="dxa"/>
            </w:tcMar>
          </w:tcPr>
          <w:p w:rsidR="00102129" w:rsidRDefault="00102129" w:rsidP="00CE15F7">
            <w:r>
              <w:rPr>
                <w:color w:val="000000"/>
                <w:sz w:val="19"/>
                <w:szCs w:val="19"/>
              </w:rPr>
              <w:t>Negative (scale phase)</w:t>
            </w:r>
          </w:p>
        </w:tc>
      </w:tr>
      <w:tr w:rsidR="00102129" w:rsidTr="00102129">
        <w:tblPrEx>
          <w:tblCellMar>
            <w:top w:w="0" w:type="dxa"/>
            <w:bottom w:w="0" w:type="dxa"/>
          </w:tblCellMar>
        </w:tblPrEx>
        <w:trPr>
          <w:trHeight w:val="491"/>
        </w:trPr>
        <w:tc>
          <w:tcPr>
            <w:tcW w:w="826" w:type="dxa"/>
            <w:shd w:val="clear" w:color="auto" w:fill="FFFFFF"/>
            <w:tcMar>
              <w:top w:w="80" w:type="dxa"/>
              <w:left w:w="100" w:type="dxa"/>
              <w:bottom w:w="80" w:type="dxa"/>
              <w:right w:w="100" w:type="dxa"/>
            </w:tcMar>
          </w:tcPr>
          <w:p w:rsidR="00102129" w:rsidRDefault="00102129" w:rsidP="00CE15F7">
            <w:r>
              <w:rPr>
                <w:color w:val="000000"/>
                <w:sz w:val="19"/>
                <w:szCs w:val="19"/>
              </w:rPr>
              <w:t>Y3</w:t>
            </w:r>
          </w:p>
        </w:tc>
        <w:tc>
          <w:tcPr>
            <w:tcW w:w="1358" w:type="dxa"/>
            <w:shd w:val="clear" w:color="auto" w:fill="FFFFFF"/>
            <w:tcMar>
              <w:top w:w="80" w:type="dxa"/>
              <w:left w:w="100" w:type="dxa"/>
              <w:bottom w:w="80" w:type="dxa"/>
              <w:right w:w="100" w:type="dxa"/>
            </w:tcMar>
          </w:tcPr>
          <w:p w:rsidR="00102129" w:rsidRDefault="00102129" w:rsidP="00CE15F7">
            <w:r>
              <w:rPr>
                <w:color w:val="000000"/>
                <w:sz w:val="19"/>
                <w:szCs w:val="19"/>
              </w:rPr>
              <w:t>9</w:t>
            </w:r>
          </w:p>
        </w:tc>
        <w:tc>
          <w:tcPr>
            <w:tcW w:w="1713" w:type="dxa"/>
            <w:shd w:val="clear" w:color="auto" w:fill="FFFFFF"/>
            <w:tcMar>
              <w:top w:w="80" w:type="dxa"/>
              <w:left w:w="100" w:type="dxa"/>
              <w:bottom w:w="80" w:type="dxa"/>
              <w:right w:w="100" w:type="dxa"/>
            </w:tcMar>
          </w:tcPr>
          <w:p w:rsidR="00102129" w:rsidRDefault="00102129" w:rsidP="00CE15F7">
            <w:r>
              <w:rPr>
                <w:color w:val="000000"/>
                <w:sz w:val="19"/>
                <w:szCs w:val="19"/>
              </w:rPr>
              <w:t>500,000</w:t>
            </w:r>
          </w:p>
        </w:tc>
        <w:tc>
          <w:tcPr>
            <w:tcW w:w="1535" w:type="dxa"/>
            <w:shd w:val="clear" w:color="auto" w:fill="FFFFFF"/>
            <w:tcMar>
              <w:top w:w="80" w:type="dxa"/>
              <w:left w:w="100" w:type="dxa"/>
              <w:bottom w:w="80" w:type="dxa"/>
              <w:right w:w="100" w:type="dxa"/>
            </w:tcMar>
          </w:tcPr>
          <w:p w:rsidR="00102129" w:rsidRDefault="00102129" w:rsidP="00CE15F7">
            <w:r>
              <w:rPr>
                <w:color w:val="000000"/>
                <w:sz w:val="19"/>
                <w:szCs w:val="19"/>
              </w:rPr>
              <w:t>$2.2B</w:t>
            </w:r>
          </w:p>
        </w:tc>
        <w:tc>
          <w:tcPr>
            <w:tcW w:w="1240" w:type="dxa"/>
            <w:shd w:val="clear" w:color="auto" w:fill="FFFFFF"/>
            <w:tcMar>
              <w:top w:w="80" w:type="dxa"/>
              <w:left w:w="100" w:type="dxa"/>
              <w:bottom w:w="80" w:type="dxa"/>
              <w:right w:w="100" w:type="dxa"/>
            </w:tcMar>
          </w:tcPr>
          <w:p w:rsidR="00102129" w:rsidRDefault="00102129" w:rsidP="00CE15F7">
            <w:r>
              <w:rPr>
                <w:color w:val="000000"/>
                <w:sz w:val="19"/>
                <w:szCs w:val="19"/>
              </w:rPr>
              <w:t>1.4%</w:t>
            </w:r>
          </w:p>
        </w:tc>
        <w:tc>
          <w:tcPr>
            <w:tcW w:w="1653" w:type="dxa"/>
            <w:shd w:val="clear" w:color="auto" w:fill="FFFFFF"/>
            <w:tcMar>
              <w:top w:w="80" w:type="dxa"/>
              <w:left w:w="100" w:type="dxa"/>
              <w:bottom w:w="80" w:type="dxa"/>
              <w:right w:w="100" w:type="dxa"/>
            </w:tcMar>
          </w:tcPr>
          <w:p w:rsidR="00102129" w:rsidRDefault="00102129" w:rsidP="00CE15F7">
            <w:r>
              <w:rPr>
                <w:color w:val="000000"/>
                <w:sz w:val="19"/>
                <w:szCs w:val="19"/>
              </w:rPr>
              <w:t>$30M</w:t>
            </w:r>
          </w:p>
        </w:tc>
        <w:tc>
          <w:tcPr>
            <w:tcW w:w="1595" w:type="dxa"/>
            <w:shd w:val="clear" w:color="auto" w:fill="FFFFFF"/>
            <w:tcMar>
              <w:top w:w="80" w:type="dxa"/>
              <w:left w:w="100" w:type="dxa"/>
              <w:bottom w:w="80" w:type="dxa"/>
              <w:right w:w="100" w:type="dxa"/>
            </w:tcMar>
          </w:tcPr>
          <w:p w:rsidR="00102129" w:rsidRDefault="00102129" w:rsidP="00CE15F7">
            <w:r>
              <w:rPr>
                <w:color w:val="000000"/>
                <w:sz w:val="19"/>
                <w:szCs w:val="19"/>
              </w:rPr>
              <w:t>~(5%)</w:t>
            </w:r>
          </w:p>
        </w:tc>
      </w:tr>
      <w:tr w:rsidR="00102129" w:rsidTr="00102129">
        <w:tblPrEx>
          <w:tblCellMar>
            <w:top w:w="0" w:type="dxa"/>
            <w:bottom w:w="0" w:type="dxa"/>
          </w:tblCellMar>
        </w:tblPrEx>
        <w:trPr>
          <w:trHeight w:val="522"/>
        </w:trPr>
        <w:tc>
          <w:tcPr>
            <w:tcW w:w="826" w:type="dxa"/>
            <w:shd w:val="clear" w:color="auto" w:fill="F2F2F2"/>
            <w:tcMar>
              <w:top w:w="80" w:type="dxa"/>
              <w:left w:w="100" w:type="dxa"/>
              <w:bottom w:w="80" w:type="dxa"/>
              <w:right w:w="100" w:type="dxa"/>
            </w:tcMar>
          </w:tcPr>
          <w:p w:rsidR="00102129" w:rsidRDefault="00102129" w:rsidP="00CE15F7">
            <w:r>
              <w:rPr>
                <w:color w:val="000000"/>
                <w:sz w:val="19"/>
                <w:szCs w:val="19"/>
              </w:rPr>
              <w:t>Y4</w:t>
            </w:r>
          </w:p>
        </w:tc>
        <w:tc>
          <w:tcPr>
            <w:tcW w:w="1358" w:type="dxa"/>
            <w:shd w:val="clear" w:color="auto" w:fill="F2F2F2"/>
            <w:tcMar>
              <w:top w:w="80" w:type="dxa"/>
              <w:left w:w="100" w:type="dxa"/>
              <w:bottom w:w="80" w:type="dxa"/>
              <w:right w:w="100" w:type="dxa"/>
            </w:tcMar>
          </w:tcPr>
          <w:p w:rsidR="00102129" w:rsidRDefault="00102129" w:rsidP="00CE15F7">
            <w:r>
              <w:rPr>
                <w:color w:val="000000"/>
                <w:sz w:val="19"/>
                <w:szCs w:val="19"/>
              </w:rPr>
              <w:t>15</w:t>
            </w:r>
          </w:p>
        </w:tc>
        <w:tc>
          <w:tcPr>
            <w:tcW w:w="1713" w:type="dxa"/>
            <w:shd w:val="clear" w:color="auto" w:fill="F2F2F2"/>
            <w:tcMar>
              <w:top w:w="80" w:type="dxa"/>
              <w:left w:w="100" w:type="dxa"/>
              <w:bottom w:w="80" w:type="dxa"/>
              <w:right w:w="100" w:type="dxa"/>
            </w:tcMar>
          </w:tcPr>
          <w:p w:rsidR="00102129" w:rsidRDefault="00102129" w:rsidP="00CE15F7">
            <w:r>
              <w:rPr>
                <w:color w:val="000000"/>
                <w:sz w:val="19"/>
                <w:szCs w:val="19"/>
              </w:rPr>
              <w:t>2.5M</w:t>
            </w:r>
          </w:p>
        </w:tc>
        <w:tc>
          <w:tcPr>
            <w:tcW w:w="1535" w:type="dxa"/>
            <w:shd w:val="clear" w:color="auto" w:fill="F2F2F2"/>
            <w:tcMar>
              <w:top w:w="80" w:type="dxa"/>
              <w:left w:w="100" w:type="dxa"/>
              <w:bottom w:w="80" w:type="dxa"/>
              <w:right w:w="100" w:type="dxa"/>
            </w:tcMar>
          </w:tcPr>
          <w:p w:rsidR="00102129" w:rsidRDefault="00102129" w:rsidP="00CE15F7">
            <w:r>
              <w:rPr>
                <w:color w:val="000000"/>
                <w:sz w:val="19"/>
                <w:szCs w:val="19"/>
              </w:rPr>
              <w:t>$9.0B</w:t>
            </w:r>
          </w:p>
        </w:tc>
        <w:tc>
          <w:tcPr>
            <w:tcW w:w="1240" w:type="dxa"/>
            <w:shd w:val="clear" w:color="auto" w:fill="F2F2F2"/>
            <w:tcMar>
              <w:top w:w="80" w:type="dxa"/>
              <w:left w:w="100" w:type="dxa"/>
              <w:bottom w:w="80" w:type="dxa"/>
              <w:right w:w="100" w:type="dxa"/>
            </w:tcMar>
          </w:tcPr>
          <w:p w:rsidR="00102129" w:rsidRDefault="00102129" w:rsidP="00CE15F7">
            <w:r>
              <w:rPr>
                <w:color w:val="000000"/>
                <w:sz w:val="19"/>
                <w:szCs w:val="19"/>
              </w:rPr>
              <w:t>1.25%</w:t>
            </w:r>
          </w:p>
        </w:tc>
        <w:tc>
          <w:tcPr>
            <w:tcW w:w="1653" w:type="dxa"/>
            <w:shd w:val="clear" w:color="auto" w:fill="F2F2F2"/>
            <w:tcMar>
              <w:top w:w="80" w:type="dxa"/>
              <w:left w:w="100" w:type="dxa"/>
              <w:bottom w:w="80" w:type="dxa"/>
              <w:right w:w="100" w:type="dxa"/>
            </w:tcMar>
          </w:tcPr>
          <w:p w:rsidR="00102129" w:rsidRDefault="00102129" w:rsidP="00CE15F7">
            <w:r>
              <w:rPr>
                <w:color w:val="000000"/>
                <w:sz w:val="19"/>
                <w:szCs w:val="19"/>
              </w:rPr>
              <w:t>$112M</w:t>
            </w:r>
          </w:p>
        </w:tc>
        <w:tc>
          <w:tcPr>
            <w:tcW w:w="1595" w:type="dxa"/>
            <w:shd w:val="clear" w:color="auto" w:fill="F2F2F2"/>
            <w:tcMar>
              <w:top w:w="80" w:type="dxa"/>
              <w:left w:w="100" w:type="dxa"/>
              <w:bottom w:w="80" w:type="dxa"/>
              <w:right w:w="100" w:type="dxa"/>
            </w:tcMar>
          </w:tcPr>
          <w:p w:rsidR="00102129" w:rsidRDefault="00102129" w:rsidP="00CE15F7">
            <w:r>
              <w:rPr>
                <w:color w:val="000000"/>
                <w:sz w:val="19"/>
                <w:szCs w:val="19"/>
              </w:rPr>
              <w:t>~12%</w:t>
            </w:r>
          </w:p>
        </w:tc>
      </w:tr>
      <w:tr w:rsidR="00102129" w:rsidTr="00102129">
        <w:tblPrEx>
          <w:tblCellMar>
            <w:top w:w="0" w:type="dxa"/>
            <w:bottom w:w="0" w:type="dxa"/>
          </w:tblCellMar>
        </w:tblPrEx>
        <w:trPr>
          <w:trHeight w:val="457"/>
        </w:trPr>
        <w:tc>
          <w:tcPr>
            <w:tcW w:w="826" w:type="dxa"/>
            <w:shd w:val="clear" w:color="auto" w:fill="FFFFFF"/>
            <w:tcMar>
              <w:top w:w="80" w:type="dxa"/>
              <w:left w:w="100" w:type="dxa"/>
              <w:bottom w:w="80" w:type="dxa"/>
              <w:right w:w="100" w:type="dxa"/>
            </w:tcMar>
          </w:tcPr>
          <w:p w:rsidR="00102129" w:rsidRDefault="00102129" w:rsidP="00CE15F7">
            <w:r>
              <w:rPr>
                <w:color w:val="000000"/>
                <w:sz w:val="19"/>
                <w:szCs w:val="19"/>
              </w:rPr>
              <w:t>Y5</w:t>
            </w:r>
          </w:p>
        </w:tc>
        <w:tc>
          <w:tcPr>
            <w:tcW w:w="1358" w:type="dxa"/>
            <w:shd w:val="clear" w:color="auto" w:fill="FFFFFF"/>
            <w:tcMar>
              <w:top w:w="80" w:type="dxa"/>
              <w:left w:w="100" w:type="dxa"/>
              <w:bottom w:w="80" w:type="dxa"/>
              <w:right w:w="100" w:type="dxa"/>
            </w:tcMar>
          </w:tcPr>
          <w:p w:rsidR="00102129" w:rsidRDefault="00102129" w:rsidP="00CE15F7">
            <w:r>
              <w:rPr>
                <w:color w:val="000000"/>
                <w:sz w:val="19"/>
                <w:szCs w:val="19"/>
              </w:rPr>
              <w:t>22</w:t>
            </w:r>
          </w:p>
        </w:tc>
        <w:tc>
          <w:tcPr>
            <w:tcW w:w="1713" w:type="dxa"/>
            <w:shd w:val="clear" w:color="auto" w:fill="FFFFFF"/>
            <w:tcMar>
              <w:top w:w="80" w:type="dxa"/>
              <w:left w:w="100" w:type="dxa"/>
              <w:bottom w:w="80" w:type="dxa"/>
              <w:right w:w="100" w:type="dxa"/>
            </w:tcMar>
          </w:tcPr>
          <w:p w:rsidR="00102129" w:rsidRDefault="00102129" w:rsidP="00CE15F7">
            <w:r>
              <w:rPr>
                <w:color w:val="000000"/>
                <w:sz w:val="19"/>
                <w:szCs w:val="19"/>
              </w:rPr>
              <w:t>6.0M</w:t>
            </w:r>
          </w:p>
        </w:tc>
        <w:tc>
          <w:tcPr>
            <w:tcW w:w="1535" w:type="dxa"/>
            <w:shd w:val="clear" w:color="auto" w:fill="FFFFFF"/>
            <w:tcMar>
              <w:top w:w="80" w:type="dxa"/>
              <w:left w:w="100" w:type="dxa"/>
              <w:bottom w:w="80" w:type="dxa"/>
              <w:right w:w="100" w:type="dxa"/>
            </w:tcMar>
          </w:tcPr>
          <w:p w:rsidR="00102129" w:rsidRDefault="00102129" w:rsidP="00CE15F7">
            <w:r>
              <w:rPr>
                <w:color w:val="000000"/>
                <w:sz w:val="19"/>
                <w:szCs w:val="19"/>
              </w:rPr>
              <w:t>$22B</w:t>
            </w:r>
          </w:p>
        </w:tc>
        <w:tc>
          <w:tcPr>
            <w:tcW w:w="1240" w:type="dxa"/>
            <w:shd w:val="clear" w:color="auto" w:fill="FFFFFF"/>
            <w:tcMar>
              <w:top w:w="80" w:type="dxa"/>
              <w:left w:w="100" w:type="dxa"/>
              <w:bottom w:w="80" w:type="dxa"/>
              <w:right w:w="100" w:type="dxa"/>
            </w:tcMar>
          </w:tcPr>
          <w:p w:rsidR="00102129" w:rsidRDefault="00102129" w:rsidP="00CE15F7">
            <w:r>
              <w:rPr>
                <w:color w:val="000000"/>
                <w:sz w:val="19"/>
                <w:szCs w:val="19"/>
              </w:rPr>
              <w:t>1.15%</w:t>
            </w:r>
          </w:p>
        </w:tc>
        <w:tc>
          <w:tcPr>
            <w:tcW w:w="1653" w:type="dxa"/>
            <w:shd w:val="clear" w:color="auto" w:fill="FFFFFF"/>
            <w:tcMar>
              <w:top w:w="80" w:type="dxa"/>
              <w:left w:w="100" w:type="dxa"/>
              <w:bottom w:w="80" w:type="dxa"/>
              <w:right w:w="100" w:type="dxa"/>
            </w:tcMar>
          </w:tcPr>
          <w:p w:rsidR="00102129" w:rsidRDefault="00102129" w:rsidP="00CE15F7">
            <w:r>
              <w:rPr>
                <w:color w:val="000000"/>
                <w:sz w:val="19"/>
                <w:szCs w:val="19"/>
              </w:rPr>
              <w:t>$260M</w:t>
            </w:r>
          </w:p>
        </w:tc>
        <w:tc>
          <w:tcPr>
            <w:tcW w:w="1595" w:type="dxa"/>
            <w:shd w:val="clear" w:color="auto" w:fill="FFFFFF"/>
            <w:tcMar>
              <w:top w:w="80" w:type="dxa"/>
              <w:left w:w="100" w:type="dxa"/>
              <w:bottom w:w="80" w:type="dxa"/>
              <w:right w:w="100" w:type="dxa"/>
            </w:tcMar>
          </w:tcPr>
          <w:p w:rsidR="00102129" w:rsidRDefault="00102129" w:rsidP="00CE15F7">
            <w:r>
              <w:rPr>
                <w:color w:val="000000"/>
                <w:sz w:val="19"/>
                <w:szCs w:val="19"/>
              </w:rPr>
              <w:t>~22%</w:t>
            </w:r>
          </w:p>
        </w:tc>
      </w:tr>
    </w:tbl>
    <w:p w:rsidR="00102129" w:rsidRDefault="00102129" w:rsidP="00102129">
      <w:pPr>
        <w:spacing w:before="60" w:after="200"/>
      </w:pPr>
      <w:r>
        <w:rPr>
          <w:i/>
          <w:iCs/>
          <w:color w:val="595959"/>
          <w:sz w:val="18"/>
          <w:szCs w:val="18"/>
        </w:rPr>
        <w:t>Table 10.1: Base-case illustrative scenario. GMV = gross matched transaction value across both legs of all matches. Take rate declines over time consistent with the flat-fee/larger-average-transaction dynamic in Section 5.3.</w:t>
      </w:r>
    </w:p>
    <w:p w:rsidR="00102129" w:rsidRDefault="00102129" w:rsidP="00102129">
      <w:pPr>
        <w:pStyle w:val="Heading2"/>
        <w:spacing w:before="260" w:after="140"/>
      </w:pPr>
      <w:r>
        <w:lastRenderedPageBreak/>
        <w:t>10.3 Cost Structure Evolution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2350"/>
        <w:gridCol w:w="2500"/>
      </w:tblGrid>
      <w:tr w:rsidR="00102129" w:rsidTr="00CE15F7">
        <w:tblPrEx>
          <w:tblCellMar>
            <w:top w:w="0" w:type="dxa"/>
            <w:bottom w:w="0" w:type="dxa"/>
          </w:tblCellMar>
        </w:tblPrEx>
        <w:trPr>
          <w:tblHeader/>
        </w:trPr>
        <w:tc>
          <w:tcPr>
            <w:tcW w:w="2400" w:type="dxa"/>
            <w:shd w:val="clear" w:color="auto" w:fill="12284B"/>
            <w:tcMar>
              <w:top w:w="80" w:type="dxa"/>
              <w:left w:w="100" w:type="dxa"/>
              <w:bottom w:w="80" w:type="dxa"/>
              <w:right w:w="100" w:type="dxa"/>
            </w:tcMar>
          </w:tcPr>
          <w:p w:rsidR="00102129" w:rsidRDefault="00102129" w:rsidP="00CE15F7">
            <w:r>
              <w:rPr>
                <w:b/>
                <w:bCs/>
                <w:color w:val="FFFFFF"/>
                <w:sz w:val="19"/>
                <w:szCs w:val="19"/>
              </w:rPr>
              <w:t>Cost Category</w:t>
            </w:r>
          </w:p>
        </w:tc>
        <w:tc>
          <w:tcPr>
            <w:tcW w:w="2100" w:type="dxa"/>
            <w:shd w:val="clear" w:color="auto" w:fill="12284B"/>
            <w:tcMar>
              <w:top w:w="80" w:type="dxa"/>
              <w:left w:w="100" w:type="dxa"/>
              <w:bottom w:w="80" w:type="dxa"/>
              <w:right w:w="100" w:type="dxa"/>
            </w:tcMar>
          </w:tcPr>
          <w:p w:rsidR="00102129" w:rsidRDefault="00102129" w:rsidP="00CE15F7">
            <w:r>
              <w:rPr>
                <w:b/>
                <w:bCs/>
                <w:color w:val="FFFFFF"/>
                <w:sz w:val="19"/>
                <w:szCs w:val="19"/>
              </w:rPr>
              <w:t>Year 1</w:t>
            </w:r>
          </w:p>
        </w:tc>
        <w:tc>
          <w:tcPr>
            <w:tcW w:w="2350" w:type="dxa"/>
            <w:shd w:val="clear" w:color="auto" w:fill="12284B"/>
            <w:tcMar>
              <w:top w:w="80" w:type="dxa"/>
              <w:left w:w="100" w:type="dxa"/>
              <w:bottom w:w="80" w:type="dxa"/>
              <w:right w:w="100" w:type="dxa"/>
            </w:tcMar>
          </w:tcPr>
          <w:p w:rsidR="00102129" w:rsidRDefault="00102129" w:rsidP="00CE15F7">
            <w:r>
              <w:rPr>
                <w:b/>
                <w:bCs/>
                <w:color w:val="FFFFFF"/>
                <w:sz w:val="19"/>
                <w:szCs w:val="19"/>
              </w:rPr>
              <w:t>Years 2–3</w:t>
            </w:r>
          </w:p>
        </w:tc>
        <w:tc>
          <w:tcPr>
            <w:tcW w:w="2500" w:type="dxa"/>
            <w:shd w:val="clear" w:color="auto" w:fill="12284B"/>
            <w:tcMar>
              <w:top w:w="80" w:type="dxa"/>
              <w:left w:w="100" w:type="dxa"/>
              <w:bottom w:w="80" w:type="dxa"/>
              <w:right w:w="100" w:type="dxa"/>
            </w:tcMar>
          </w:tcPr>
          <w:p w:rsidR="00102129" w:rsidRDefault="00102129" w:rsidP="00CE15F7">
            <w:r>
              <w:rPr>
                <w:b/>
                <w:bCs/>
                <w:color w:val="FFFFFF"/>
                <w:sz w:val="19"/>
                <w:szCs w:val="19"/>
              </w:rPr>
              <w:t>Years 4–5</w:t>
            </w:r>
          </w:p>
        </w:tc>
      </w:tr>
      <w:tr w:rsidR="00102129" w:rsidTr="00CE15F7">
        <w:tblPrEx>
          <w:tblCellMar>
            <w:top w:w="0" w:type="dxa"/>
            <w:bottom w:w="0" w:type="dxa"/>
          </w:tblCellMar>
        </w:tblPrEx>
        <w:tc>
          <w:tcPr>
            <w:tcW w:w="2400" w:type="dxa"/>
            <w:shd w:val="clear" w:color="auto" w:fill="FFFFFF"/>
            <w:tcMar>
              <w:top w:w="80" w:type="dxa"/>
              <w:left w:w="100" w:type="dxa"/>
              <w:bottom w:w="80" w:type="dxa"/>
              <w:right w:w="100" w:type="dxa"/>
            </w:tcMar>
          </w:tcPr>
          <w:p w:rsidR="00102129" w:rsidRDefault="00102129" w:rsidP="00CE15F7">
            <w:r>
              <w:rPr>
                <w:color w:val="000000"/>
                <w:sz w:val="19"/>
                <w:szCs w:val="19"/>
              </w:rPr>
              <w:t>Engineering &amp; Product</w:t>
            </w:r>
          </w:p>
        </w:tc>
        <w:tc>
          <w:tcPr>
            <w:tcW w:w="2100" w:type="dxa"/>
            <w:shd w:val="clear" w:color="auto" w:fill="FFFFFF"/>
            <w:tcMar>
              <w:top w:w="80" w:type="dxa"/>
              <w:left w:w="100" w:type="dxa"/>
              <w:bottom w:w="80" w:type="dxa"/>
              <w:right w:w="100" w:type="dxa"/>
            </w:tcMar>
          </w:tcPr>
          <w:p w:rsidR="00102129" w:rsidRDefault="00102129" w:rsidP="00CE15F7">
            <w:r>
              <w:rPr>
                <w:color w:val="000000"/>
                <w:sz w:val="19"/>
                <w:szCs w:val="19"/>
              </w:rPr>
              <w:t>Largest single cost — core platform build</w:t>
            </w:r>
          </w:p>
        </w:tc>
        <w:tc>
          <w:tcPr>
            <w:tcW w:w="2350" w:type="dxa"/>
            <w:shd w:val="clear" w:color="auto" w:fill="FFFFFF"/>
            <w:tcMar>
              <w:top w:w="80" w:type="dxa"/>
              <w:left w:w="100" w:type="dxa"/>
              <w:bottom w:w="80" w:type="dxa"/>
              <w:right w:w="100" w:type="dxa"/>
            </w:tcMar>
          </w:tcPr>
          <w:p w:rsidR="00102129" w:rsidRDefault="00102129" w:rsidP="00CE15F7">
            <w:r>
              <w:rPr>
                <w:color w:val="000000"/>
                <w:sz w:val="19"/>
                <w:szCs w:val="19"/>
              </w:rPr>
              <w:t>Grows with parallel corridor/bank integrations, but as % of revenue falls sharply</w:t>
            </w:r>
          </w:p>
        </w:tc>
        <w:tc>
          <w:tcPr>
            <w:tcW w:w="2500" w:type="dxa"/>
            <w:shd w:val="clear" w:color="auto" w:fill="FFFFFF"/>
            <w:tcMar>
              <w:top w:w="80" w:type="dxa"/>
              <w:left w:w="100" w:type="dxa"/>
              <w:bottom w:w="80" w:type="dxa"/>
              <w:right w:w="100" w:type="dxa"/>
            </w:tcMar>
          </w:tcPr>
          <w:p w:rsidR="00102129" w:rsidRDefault="00102129" w:rsidP="00CE15F7">
            <w:r>
              <w:rPr>
                <w:color w:val="000000"/>
                <w:sz w:val="19"/>
                <w:szCs w:val="19"/>
              </w:rPr>
              <w:t>Stabilizes as % of revenue; shifts toward AI/matching optimization</w:t>
            </w:r>
          </w:p>
        </w:tc>
      </w:tr>
      <w:tr w:rsidR="00102129" w:rsidTr="00CE15F7">
        <w:tblPrEx>
          <w:tblCellMar>
            <w:top w:w="0" w:type="dxa"/>
            <w:bottom w:w="0" w:type="dxa"/>
          </w:tblCellMar>
        </w:tblPrEx>
        <w:tc>
          <w:tcPr>
            <w:tcW w:w="2400" w:type="dxa"/>
            <w:shd w:val="clear" w:color="auto" w:fill="F2F2F2"/>
            <w:tcMar>
              <w:top w:w="80" w:type="dxa"/>
              <w:left w:w="100" w:type="dxa"/>
              <w:bottom w:w="80" w:type="dxa"/>
              <w:right w:w="100" w:type="dxa"/>
            </w:tcMar>
          </w:tcPr>
          <w:p w:rsidR="00102129" w:rsidRDefault="00102129" w:rsidP="00CE15F7">
            <w:r>
              <w:rPr>
                <w:color w:val="000000"/>
                <w:sz w:val="19"/>
                <w:szCs w:val="19"/>
              </w:rPr>
              <w:t>Compliance &amp; Legal</w:t>
            </w:r>
          </w:p>
        </w:tc>
        <w:tc>
          <w:tcPr>
            <w:tcW w:w="2100" w:type="dxa"/>
            <w:shd w:val="clear" w:color="auto" w:fill="F2F2F2"/>
            <w:tcMar>
              <w:top w:w="80" w:type="dxa"/>
              <w:left w:w="100" w:type="dxa"/>
              <w:bottom w:w="80" w:type="dxa"/>
              <w:right w:w="100" w:type="dxa"/>
            </w:tcMar>
          </w:tcPr>
          <w:p w:rsidR="00102129" w:rsidRDefault="00102129" w:rsidP="00CE15F7">
            <w:r>
              <w:rPr>
                <w:color w:val="000000"/>
                <w:sz w:val="19"/>
                <w:szCs w:val="19"/>
              </w:rPr>
              <w:t>High relative to revenue — MLRO, KYC vendor, legal build-out</w:t>
            </w:r>
          </w:p>
        </w:tc>
        <w:tc>
          <w:tcPr>
            <w:tcW w:w="2350" w:type="dxa"/>
            <w:shd w:val="clear" w:color="auto" w:fill="F2F2F2"/>
            <w:tcMar>
              <w:top w:w="80" w:type="dxa"/>
              <w:left w:w="100" w:type="dxa"/>
              <w:bottom w:w="80" w:type="dxa"/>
              <w:right w:w="100" w:type="dxa"/>
            </w:tcMar>
          </w:tcPr>
          <w:p w:rsidR="00102129" w:rsidRDefault="00102129" w:rsidP="00CE15F7">
            <w:r>
              <w:rPr>
                <w:color w:val="000000"/>
                <w:sz w:val="19"/>
                <w:szCs w:val="19"/>
              </w:rPr>
              <w:t>Scales with corridor count, partly offset by reusable playbooks</w:t>
            </w:r>
          </w:p>
        </w:tc>
        <w:tc>
          <w:tcPr>
            <w:tcW w:w="2500" w:type="dxa"/>
            <w:shd w:val="clear" w:color="auto" w:fill="F2F2F2"/>
            <w:tcMar>
              <w:top w:w="80" w:type="dxa"/>
              <w:left w:w="100" w:type="dxa"/>
              <w:bottom w:w="80" w:type="dxa"/>
              <w:right w:w="100" w:type="dxa"/>
            </w:tcMar>
          </w:tcPr>
          <w:p w:rsidR="00102129" w:rsidRDefault="00102129" w:rsidP="00CE15F7">
            <w:r>
              <w:rPr>
                <w:color w:val="000000"/>
                <w:sz w:val="19"/>
                <w:szCs w:val="19"/>
              </w:rPr>
              <w:t>Matures into a lean, high-leverage compliance function relative to volume</w:t>
            </w:r>
          </w:p>
        </w:tc>
      </w:tr>
      <w:tr w:rsidR="00102129" w:rsidTr="00CE15F7">
        <w:tblPrEx>
          <w:tblCellMar>
            <w:top w:w="0" w:type="dxa"/>
            <w:bottom w:w="0" w:type="dxa"/>
          </w:tblCellMar>
        </w:tblPrEx>
        <w:tc>
          <w:tcPr>
            <w:tcW w:w="2400" w:type="dxa"/>
            <w:shd w:val="clear" w:color="auto" w:fill="FFFFFF"/>
            <w:tcMar>
              <w:top w:w="80" w:type="dxa"/>
              <w:left w:w="100" w:type="dxa"/>
              <w:bottom w:w="80" w:type="dxa"/>
              <w:right w:w="100" w:type="dxa"/>
            </w:tcMar>
          </w:tcPr>
          <w:p w:rsidR="00102129" w:rsidRDefault="00102129" w:rsidP="00CE15F7">
            <w:r>
              <w:rPr>
                <w:color w:val="000000"/>
                <w:sz w:val="19"/>
                <w:szCs w:val="19"/>
              </w:rPr>
              <w:t>Sales/BD (Bank &amp; Partner Network)</w:t>
            </w:r>
          </w:p>
        </w:tc>
        <w:tc>
          <w:tcPr>
            <w:tcW w:w="2100" w:type="dxa"/>
            <w:shd w:val="clear" w:color="auto" w:fill="FFFFFF"/>
            <w:tcMar>
              <w:top w:w="80" w:type="dxa"/>
              <w:left w:w="100" w:type="dxa"/>
              <w:bottom w:w="80" w:type="dxa"/>
              <w:right w:w="100" w:type="dxa"/>
            </w:tcMar>
          </w:tcPr>
          <w:p w:rsidR="00102129" w:rsidRDefault="00102129" w:rsidP="00CE15F7">
            <w:r>
              <w:rPr>
                <w:color w:val="000000"/>
                <w:sz w:val="19"/>
                <w:szCs w:val="19"/>
              </w:rPr>
              <w:t>Minimal — single anchor bank</w:t>
            </w:r>
          </w:p>
        </w:tc>
        <w:tc>
          <w:tcPr>
            <w:tcW w:w="2350" w:type="dxa"/>
            <w:shd w:val="clear" w:color="auto" w:fill="FFFFFF"/>
            <w:tcMar>
              <w:top w:w="80" w:type="dxa"/>
              <w:left w:w="100" w:type="dxa"/>
              <w:bottom w:w="80" w:type="dxa"/>
              <w:right w:w="100" w:type="dxa"/>
            </w:tcMar>
          </w:tcPr>
          <w:p w:rsidR="00102129" w:rsidRDefault="00102129" w:rsidP="00CE15F7">
            <w:r>
              <w:rPr>
                <w:color w:val="000000"/>
                <w:sz w:val="19"/>
                <w:szCs w:val="19"/>
              </w:rPr>
              <w:t>Scales fast to support 2–3 simultaneous bank onboardings</w:t>
            </w:r>
          </w:p>
        </w:tc>
        <w:tc>
          <w:tcPr>
            <w:tcW w:w="2500" w:type="dxa"/>
            <w:shd w:val="clear" w:color="auto" w:fill="FFFFFF"/>
            <w:tcMar>
              <w:top w:w="80" w:type="dxa"/>
              <w:left w:w="100" w:type="dxa"/>
              <w:bottom w:w="80" w:type="dxa"/>
              <w:right w:w="100" w:type="dxa"/>
            </w:tcMar>
          </w:tcPr>
          <w:p w:rsidR="00102129" w:rsidRDefault="00102129" w:rsidP="00CE15F7">
            <w:r>
              <w:rPr>
                <w:color w:val="000000"/>
                <w:sz w:val="19"/>
                <w:szCs w:val="19"/>
              </w:rPr>
              <w:t>Dedicated partnerships function managing 6–8 bank relationships</w:t>
            </w:r>
          </w:p>
        </w:tc>
      </w:tr>
      <w:tr w:rsidR="00102129" w:rsidTr="00CE15F7">
        <w:tblPrEx>
          <w:tblCellMar>
            <w:top w:w="0" w:type="dxa"/>
            <w:bottom w:w="0" w:type="dxa"/>
          </w:tblCellMar>
        </w:tblPrEx>
        <w:tc>
          <w:tcPr>
            <w:tcW w:w="2400" w:type="dxa"/>
            <w:shd w:val="clear" w:color="auto" w:fill="F2F2F2"/>
            <w:tcMar>
              <w:top w:w="80" w:type="dxa"/>
              <w:left w:w="100" w:type="dxa"/>
              <w:bottom w:w="80" w:type="dxa"/>
              <w:right w:w="100" w:type="dxa"/>
            </w:tcMar>
          </w:tcPr>
          <w:p w:rsidR="00102129" w:rsidRDefault="00102129" w:rsidP="00CE15F7">
            <w:r>
              <w:rPr>
                <w:color w:val="000000"/>
                <w:sz w:val="19"/>
                <w:szCs w:val="19"/>
              </w:rPr>
              <w:t>Marketing &amp; Growth</w:t>
            </w:r>
          </w:p>
        </w:tc>
        <w:tc>
          <w:tcPr>
            <w:tcW w:w="2100" w:type="dxa"/>
            <w:shd w:val="clear" w:color="auto" w:fill="F2F2F2"/>
            <w:tcMar>
              <w:top w:w="80" w:type="dxa"/>
              <w:left w:w="100" w:type="dxa"/>
              <w:bottom w:w="80" w:type="dxa"/>
              <w:right w:w="100" w:type="dxa"/>
            </w:tcMar>
          </w:tcPr>
          <w:p w:rsidR="00102129" w:rsidRDefault="00102129" w:rsidP="00CE15F7">
            <w:r>
              <w:rPr>
                <w:color w:val="000000"/>
                <w:sz w:val="19"/>
                <w:szCs w:val="19"/>
              </w:rPr>
              <w:t>Modest, corridor-focused</w:t>
            </w:r>
          </w:p>
        </w:tc>
        <w:tc>
          <w:tcPr>
            <w:tcW w:w="2350" w:type="dxa"/>
            <w:shd w:val="clear" w:color="auto" w:fill="F2F2F2"/>
            <w:tcMar>
              <w:top w:w="80" w:type="dxa"/>
              <w:left w:w="100" w:type="dxa"/>
              <w:bottom w:w="80" w:type="dxa"/>
              <w:right w:w="100" w:type="dxa"/>
            </w:tcMar>
          </w:tcPr>
          <w:p w:rsidR="00102129" w:rsidRDefault="00102129" w:rsidP="00CE15F7">
            <w:r>
              <w:rPr>
                <w:color w:val="000000"/>
                <w:sz w:val="19"/>
                <w:szCs w:val="19"/>
              </w:rPr>
              <w:t>Scales aggressively with parallel expansion, increasingly offset by referral/network effects</w:t>
            </w:r>
          </w:p>
        </w:tc>
        <w:tc>
          <w:tcPr>
            <w:tcW w:w="2500" w:type="dxa"/>
            <w:shd w:val="clear" w:color="auto" w:fill="F2F2F2"/>
            <w:tcMar>
              <w:top w:w="80" w:type="dxa"/>
              <w:left w:w="100" w:type="dxa"/>
              <w:bottom w:w="80" w:type="dxa"/>
              <w:right w:w="100" w:type="dxa"/>
            </w:tcMar>
          </w:tcPr>
          <w:p w:rsidR="00102129" w:rsidRDefault="00102129" w:rsidP="00CE15F7">
            <w:r>
              <w:rPr>
                <w:color w:val="000000"/>
                <w:sz w:val="19"/>
                <w:szCs w:val="19"/>
              </w:rPr>
              <w:t>Declines as % of revenue as organic/network growth dominates</w:t>
            </w:r>
          </w:p>
        </w:tc>
      </w:tr>
      <w:tr w:rsidR="00102129" w:rsidTr="00CE15F7">
        <w:tblPrEx>
          <w:tblCellMar>
            <w:top w:w="0" w:type="dxa"/>
            <w:bottom w:w="0" w:type="dxa"/>
          </w:tblCellMar>
        </w:tblPrEx>
        <w:tc>
          <w:tcPr>
            <w:tcW w:w="2400" w:type="dxa"/>
            <w:shd w:val="clear" w:color="auto" w:fill="FFFFFF"/>
            <w:tcMar>
              <w:top w:w="80" w:type="dxa"/>
              <w:left w:w="100" w:type="dxa"/>
              <w:bottom w:w="80" w:type="dxa"/>
              <w:right w:w="100" w:type="dxa"/>
            </w:tcMar>
          </w:tcPr>
          <w:p w:rsidR="00102129" w:rsidRDefault="00102129" w:rsidP="00CE15F7">
            <w:r>
              <w:rPr>
                <w:color w:val="000000"/>
                <w:sz w:val="19"/>
                <w:szCs w:val="19"/>
              </w:rPr>
              <w:t>G&amp;A</w:t>
            </w:r>
          </w:p>
        </w:tc>
        <w:tc>
          <w:tcPr>
            <w:tcW w:w="2100" w:type="dxa"/>
            <w:shd w:val="clear" w:color="auto" w:fill="FFFFFF"/>
            <w:tcMar>
              <w:top w:w="80" w:type="dxa"/>
              <w:left w:w="100" w:type="dxa"/>
              <w:bottom w:w="80" w:type="dxa"/>
              <w:right w:w="100" w:type="dxa"/>
            </w:tcMar>
          </w:tcPr>
          <w:p w:rsidR="00102129" w:rsidRDefault="00102129" w:rsidP="00CE15F7">
            <w:r>
              <w:rPr>
                <w:color w:val="000000"/>
                <w:sz w:val="19"/>
                <w:szCs w:val="19"/>
              </w:rPr>
              <w:t>Lean founding team</w:t>
            </w:r>
          </w:p>
        </w:tc>
        <w:tc>
          <w:tcPr>
            <w:tcW w:w="2350" w:type="dxa"/>
            <w:shd w:val="clear" w:color="auto" w:fill="FFFFFF"/>
            <w:tcMar>
              <w:top w:w="80" w:type="dxa"/>
              <w:left w:w="100" w:type="dxa"/>
              <w:bottom w:w="80" w:type="dxa"/>
              <w:right w:w="100" w:type="dxa"/>
            </w:tcMar>
          </w:tcPr>
          <w:p w:rsidR="00102129" w:rsidRDefault="00102129" w:rsidP="00CE15F7">
            <w:r>
              <w:rPr>
                <w:color w:val="000000"/>
                <w:sz w:val="19"/>
                <w:szCs w:val="19"/>
              </w:rPr>
              <w:t>Scales quickly with headcount and governance maturity, ahead of the original plan's pace</w:t>
            </w:r>
          </w:p>
        </w:tc>
        <w:tc>
          <w:tcPr>
            <w:tcW w:w="2500" w:type="dxa"/>
            <w:shd w:val="clear" w:color="auto" w:fill="FFFFFF"/>
            <w:tcMar>
              <w:top w:w="80" w:type="dxa"/>
              <w:left w:w="100" w:type="dxa"/>
              <w:bottom w:w="80" w:type="dxa"/>
              <w:right w:w="100" w:type="dxa"/>
            </w:tcMar>
          </w:tcPr>
          <w:p w:rsidR="00102129" w:rsidRDefault="00102129" w:rsidP="00CE15F7">
            <w:r>
              <w:rPr>
                <w:color w:val="000000"/>
                <w:sz w:val="19"/>
                <w:szCs w:val="19"/>
              </w:rPr>
              <w:t>Professionalized finance, HR, and governance functions ahead of a possible Year 5+ exit or growth round</w:t>
            </w:r>
          </w:p>
        </w:tc>
      </w:tr>
    </w:tbl>
    <w:p w:rsidR="00102129" w:rsidRDefault="00102129" w:rsidP="00102129">
      <w:pPr>
        <w:pStyle w:val="Heading2"/>
        <w:spacing w:before="260" w:after="140"/>
      </w:pPr>
      <w:r>
        <w:t>10.4 Scenario Analysis — Base / Bull / Bear</w:t>
      </w:r>
    </w:p>
    <w:p w:rsidR="00102129" w:rsidRDefault="00102129" w:rsidP="00102129">
      <w:pPr>
        <w:spacing w:after="160" w:line="300" w:lineRule="auto"/>
        <w:jc w:val="both"/>
      </w:pPr>
      <w:r>
        <w:t>A five-year unicorn timeline is aggressive. A world-class plan does not hide that — it quantifies it. The table below models three scenarios for Year 5 outcomes, driven primarily by how many corridors and bank partners are actually live, and how closely realized take rate and cost leverage track the base-case assumptions.</w:t>
      </w:r>
    </w:p>
    <w:tbl>
      <w:tblPr>
        <w:tblW w:w="9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9"/>
        <w:gridCol w:w="1382"/>
        <w:gridCol w:w="1524"/>
        <w:gridCol w:w="1382"/>
        <w:gridCol w:w="1745"/>
        <w:gridCol w:w="2084"/>
      </w:tblGrid>
      <w:tr w:rsidR="00102129" w:rsidTr="00102129">
        <w:tblPrEx>
          <w:tblCellMar>
            <w:top w:w="0" w:type="dxa"/>
            <w:bottom w:w="0" w:type="dxa"/>
          </w:tblCellMar>
        </w:tblPrEx>
        <w:trPr>
          <w:trHeight w:val="527"/>
          <w:tblHeader/>
        </w:trPr>
        <w:tc>
          <w:tcPr>
            <w:tcW w:w="1369" w:type="dxa"/>
            <w:shd w:val="clear" w:color="auto" w:fill="12284B"/>
            <w:tcMar>
              <w:top w:w="80" w:type="dxa"/>
              <w:left w:w="100" w:type="dxa"/>
              <w:bottom w:w="80" w:type="dxa"/>
              <w:right w:w="100" w:type="dxa"/>
            </w:tcMar>
          </w:tcPr>
          <w:p w:rsidR="00102129" w:rsidRDefault="00102129" w:rsidP="00CE15F7">
            <w:r>
              <w:rPr>
                <w:b/>
                <w:bCs/>
                <w:color w:val="FFFFFF"/>
                <w:sz w:val="19"/>
                <w:szCs w:val="19"/>
              </w:rPr>
              <w:t>Scenario</w:t>
            </w:r>
          </w:p>
        </w:tc>
        <w:tc>
          <w:tcPr>
            <w:tcW w:w="1382" w:type="dxa"/>
            <w:shd w:val="clear" w:color="auto" w:fill="12284B"/>
            <w:tcMar>
              <w:top w:w="80" w:type="dxa"/>
              <w:left w:w="100" w:type="dxa"/>
              <w:bottom w:w="80" w:type="dxa"/>
              <w:right w:w="100" w:type="dxa"/>
            </w:tcMar>
          </w:tcPr>
          <w:p w:rsidR="00102129" w:rsidRDefault="00102129" w:rsidP="00CE15F7">
            <w:r>
              <w:rPr>
                <w:b/>
                <w:bCs/>
                <w:color w:val="FFFFFF"/>
                <w:sz w:val="19"/>
                <w:szCs w:val="19"/>
              </w:rPr>
              <w:t>Year 5 Corridors</w:t>
            </w:r>
          </w:p>
        </w:tc>
        <w:tc>
          <w:tcPr>
            <w:tcW w:w="1524" w:type="dxa"/>
            <w:shd w:val="clear" w:color="auto" w:fill="12284B"/>
            <w:tcMar>
              <w:top w:w="80" w:type="dxa"/>
              <w:left w:w="100" w:type="dxa"/>
              <w:bottom w:w="80" w:type="dxa"/>
              <w:right w:w="100" w:type="dxa"/>
            </w:tcMar>
          </w:tcPr>
          <w:p w:rsidR="00102129" w:rsidRDefault="00102129" w:rsidP="00CE15F7">
            <w:r>
              <w:rPr>
                <w:b/>
                <w:bCs/>
                <w:color w:val="FFFFFF"/>
                <w:sz w:val="19"/>
                <w:szCs w:val="19"/>
              </w:rPr>
              <w:t>Year 5 Annual Revenue</w:t>
            </w:r>
          </w:p>
        </w:tc>
        <w:tc>
          <w:tcPr>
            <w:tcW w:w="1382" w:type="dxa"/>
            <w:shd w:val="clear" w:color="auto" w:fill="12284B"/>
            <w:tcMar>
              <w:top w:w="80" w:type="dxa"/>
              <w:left w:w="100" w:type="dxa"/>
              <w:bottom w:w="80" w:type="dxa"/>
              <w:right w:w="100" w:type="dxa"/>
            </w:tcMar>
          </w:tcPr>
          <w:p w:rsidR="00102129" w:rsidRDefault="00102129" w:rsidP="00CE15F7">
            <w:r>
              <w:rPr>
                <w:b/>
                <w:bCs/>
                <w:color w:val="FFFFFF"/>
                <w:sz w:val="19"/>
                <w:szCs w:val="19"/>
              </w:rPr>
              <w:t>Year 5 EBITDA Margin</w:t>
            </w:r>
          </w:p>
        </w:tc>
        <w:tc>
          <w:tcPr>
            <w:tcW w:w="1745" w:type="dxa"/>
            <w:shd w:val="clear" w:color="auto" w:fill="12284B"/>
            <w:tcMar>
              <w:top w:w="80" w:type="dxa"/>
              <w:left w:w="100" w:type="dxa"/>
              <w:bottom w:w="80" w:type="dxa"/>
              <w:right w:w="100" w:type="dxa"/>
            </w:tcMar>
          </w:tcPr>
          <w:p w:rsidR="00102129" w:rsidRDefault="00102129" w:rsidP="00CE15F7">
            <w:r>
              <w:rPr>
                <w:b/>
                <w:bCs/>
                <w:color w:val="FFFFFF"/>
                <w:sz w:val="19"/>
                <w:szCs w:val="19"/>
              </w:rPr>
              <w:t>Year 5 Valuation (illustrative)</w:t>
            </w:r>
          </w:p>
        </w:tc>
        <w:tc>
          <w:tcPr>
            <w:tcW w:w="2084" w:type="dxa"/>
            <w:shd w:val="clear" w:color="auto" w:fill="12284B"/>
            <w:tcMar>
              <w:top w:w="80" w:type="dxa"/>
              <w:left w:w="100" w:type="dxa"/>
              <w:bottom w:w="80" w:type="dxa"/>
              <w:right w:w="100" w:type="dxa"/>
            </w:tcMar>
          </w:tcPr>
          <w:p w:rsidR="00102129" w:rsidRDefault="00102129" w:rsidP="00CE15F7">
            <w:r>
              <w:rPr>
                <w:b/>
                <w:bCs/>
                <w:color w:val="FFFFFF"/>
                <w:sz w:val="19"/>
                <w:szCs w:val="19"/>
              </w:rPr>
              <w:t>Key Driver</w:t>
            </w:r>
          </w:p>
        </w:tc>
      </w:tr>
      <w:tr w:rsidR="00102129" w:rsidTr="00102129">
        <w:tblPrEx>
          <w:tblCellMar>
            <w:top w:w="0" w:type="dxa"/>
            <w:bottom w:w="0" w:type="dxa"/>
          </w:tblCellMar>
        </w:tblPrEx>
        <w:trPr>
          <w:trHeight w:val="1335"/>
        </w:trPr>
        <w:tc>
          <w:tcPr>
            <w:tcW w:w="1369" w:type="dxa"/>
            <w:shd w:val="clear" w:color="auto" w:fill="FFFFFF"/>
            <w:tcMar>
              <w:top w:w="80" w:type="dxa"/>
              <w:left w:w="100" w:type="dxa"/>
              <w:bottom w:w="80" w:type="dxa"/>
              <w:right w:w="100" w:type="dxa"/>
            </w:tcMar>
          </w:tcPr>
          <w:p w:rsidR="00102129" w:rsidRDefault="00102129" w:rsidP="00CE15F7">
            <w:r>
              <w:rPr>
                <w:color w:val="000000"/>
                <w:sz w:val="19"/>
                <w:szCs w:val="19"/>
              </w:rPr>
              <w:t>Bear Case</w:t>
            </w:r>
          </w:p>
        </w:tc>
        <w:tc>
          <w:tcPr>
            <w:tcW w:w="1382" w:type="dxa"/>
            <w:shd w:val="clear" w:color="auto" w:fill="FFFFFF"/>
            <w:tcMar>
              <w:top w:w="80" w:type="dxa"/>
              <w:left w:w="100" w:type="dxa"/>
              <w:bottom w:w="80" w:type="dxa"/>
              <w:right w:w="100" w:type="dxa"/>
            </w:tcMar>
          </w:tcPr>
          <w:p w:rsidR="00102129" w:rsidRDefault="00102129" w:rsidP="00CE15F7">
            <w:r>
              <w:rPr>
                <w:color w:val="000000"/>
                <w:sz w:val="19"/>
                <w:szCs w:val="19"/>
              </w:rPr>
              <w:t>12–14</w:t>
            </w:r>
          </w:p>
        </w:tc>
        <w:tc>
          <w:tcPr>
            <w:tcW w:w="1524" w:type="dxa"/>
            <w:shd w:val="clear" w:color="auto" w:fill="FFFFFF"/>
            <w:tcMar>
              <w:top w:w="80" w:type="dxa"/>
              <w:left w:w="100" w:type="dxa"/>
              <w:bottom w:w="80" w:type="dxa"/>
              <w:right w:w="100" w:type="dxa"/>
            </w:tcMar>
          </w:tcPr>
          <w:p w:rsidR="00102129" w:rsidRDefault="00102129" w:rsidP="00CE15F7">
            <w:r>
              <w:rPr>
                <w:color w:val="000000"/>
                <w:sz w:val="19"/>
                <w:szCs w:val="19"/>
              </w:rPr>
              <w:t>$95M–$120M</w:t>
            </w:r>
          </w:p>
        </w:tc>
        <w:tc>
          <w:tcPr>
            <w:tcW w:w="1382" w:type="dxa"/>
            <w:shd w:val="clear" w:color="auto" w:fill="FFFFFF"/>
            <w:tcMar>
              <w:top w:w="80" w:type="dxa"/>
              <w:left w:w="100" w:type="dxa"/>
              <w:bottom w:w="80" w:type="dxa"/>
              <w:right w:w="100" w:type="dxa"/>
            </w:tcMar>
          </w:tcPr>
          <w:p w:rsidR="00102129" w:rsidRDefault="00102129" w:rsidP="00CE15F7">
            <w:r>
              <w:rPr>
                <w:color w:val="000000"/>
                <w:sz w:val="19"/>
                <w:szCs w:val="19"/>
              </w:rPr>
              <w:t>~5–10%</w:t>
            </w:r>
          </w:p>
        </w:tc>
        <w:tc>
          <w:tcPr>
            <w:tcW w:w="1745" w:type="dxa"/>
            <w:shd w:val="clear" w:color="auto" w:fill="FFFFFF"/>
            <w:tcMar>
              <w:top w:w="80" w:type="dxa"/>
              <w:left w:w="100" w:type="dxa"/>
              <w:bottom w:w="80" w:type="dxa"/>
              <w:right w:w="100" w:type="dxa"/>
            </w:tcMar>
          </w:tcPr>
          <w:p w:rsidR="00102129" w:rsidRDefault="00102129" w:rsidP="00CE15F7">
            <w:r>
              <w:rPr>
                <w:color w:val="000000"/>
                <w:sz w:val="19"/>
                <w:szCs w:val="19"/>
              </w:rPr>
              <w:t>$350M–$500M</w:t>
            </w:r>
          </w:p>
        </w:tc>
        <w:tc>
          <w:tcPr>
            <w:tcW w:w="2084" w:type="dxa"/>
            <w:shd w:val="clear" w:color="auto" w:fill="FFFFFF"/>
            <w:tcMar>
              <w:top w:w="80" w:type="dxa"/>
              <w:left w:w="100" w:type="dxa"/>
              <w:bottom w:w="80" w:type="dxa"/>
              <w:right w:w="100" w:type="dxa"/>
            </w:tcMar>
          </w:tcPr>
          <w:p w:rsidR="00102129" w:rsidRDefault="00102129" w:rsidP="00CE15F7">
            <w:r>
              <w:rPr>
                <w:color w:val="000000"/>
                <w:sz w:val="19"/>
                <w:szCs w:val="19"/>
              </w:rPr>
              <w:t>Bank-partner onboarding slower than planned; 1–2 corridors underperform on liquidity</w:t>
            </w:r>
          </w:p>
        </w:tc>
      </w:tr>
      <w:tr w:rsidR="00102129" w:rsidTr="00102129">
        <w:tblPrEx>
          <w:tblCellMar>
            <w:top w:w="0" w:type="dxa"/>
            <w:bottom w:w="0" w:type="dxa"/>
          </w:tblCellMar>
        </w:tblPrEx>
        <w:trPr>
          <w:trHeight w:val="808"/>
        </w:trPr>
        <w:tc>
          <w:tcPr>
            <w:tcW w:w="1369" w:type="dxa"/>
            <w:shd w:val="clear" w:color="auto" w:fill="F2F2F2"/>
            <w:tcMar>
              <w:top w:w="80" w:type="dxa"/>
              <w:left w:w="100" w:type="dxa"/>
              <w:bottom w:w="80" w:type="dxa"/>
              <w:right w:w="100" w:type="dxa"/>
            </w:tcMar>
          </w:tcPr>
          <w:p w:rsidR="00102129" w:rsidRDefault="00102129" w:rsidP="00CE15F7">
            <w:r>
              <w:rPr>
                <w:color w:val="000000"/>
                <w:sz w:val="19"/>
                <w:szCs w:val="19"/>
              </w:rPr>
              <w:t>Base Case</w:t>
            </w:r>
          </w:p>
        </w:tc>
        <w:tc>
          <w:tcPr>
            <w:tcW w:w="1382" w:type="dxa"/>
            <w:shd w:val="clear" w:color="auto" w:fill="F2F2F2"/>
            <w:tcMar>
              <w:top w:w="80" w:type="dxa"/>
              <w:left w:w="100" w:type="dxa"/>
              <w:bottom w:w="80" w:type="dxa"/>
              <w:right w:w="100" w:type="dxa"/>
            </w:tcMar>
          </w:tcPr>
          <w:p w:rsidR="00102129" w:rsidRDefault="00102129" w:rsidP="00CE15F7">
            <w:r>
              <w:rPr>
                <w:color w:val="000000"/>
                <w:sz w:val="19"/>
                <w:szCs w:val="19"/>
              </w:rPr>
              <w:t>22</w:t>
            </w:r>
          </w:p>
        </w:tc>
        <w:tc>
          <w:tcPr>
            <w:tcW w:w="1524" w:type="dxa"/>
            <w:shd w:val="clear" w:color="auto" w:fill="F2F2F2"/>
            <w:tcMar>
              <w:top w:w="80" w:type="dxa"/>
              <w:left w:w="100" w:type="dxa"/>
              <w:bottom w:w="80" w:type="dxa"/>
              <w:right w:w="100" w:type="dxa"/>
            </w:tcMar>
          </w:tcPr>
          <w:p w:rsidR="00102129" w:rsidRDefault="00102129" w:rsidP="00CE15F7">
            <w:r>
              <w:rPr>
                <w:color w:val="000000"/>
                <w:sz w:val="19"/>
                <w:szCs w:val="19"/>
              </w:rPr>
              <w:t>$260M</w:t>
            </w:r>
          </w:p>
        </w:tc>
        <w:tc>
          <w:tcPr>
            <w:tcW w:w="1382" w:type="dxa"/>
            <w:shd w:val="clear" w:color="auto" w:fill="F2F2F2"/>
            <w:tcMar>
              <w:top w:w="80" w:type="dxa"/>
              <w:left w:w="100" w:type="dxa"/>
              <w:bottom w:w="80" w:type="dxa"/>
              <w:right w:w="100" w:type="dxa"/>
            </w:tcMar>
          </w:tcPr>
          <w:p w:rsidR="00102129" w:rsidRDefault="00102129" w:rsidP="00CE15F7">
            <w:r>
              <w:rPr>
                <w:color w:val="000000"/>
                <w:sz w:val="19"/>
                <w:szCs w:val="19"/>
              </w:rPr>
              <w:t>~22%</w:t>
            </w:r>
          </w:p>
        </w:tc>
        <w:tc>
          <w:tcPr>
            <w:tcW w:w="1745" w:type="dxa"/>
            <w:shd w:val="clear" w:color="auto" w:fill="F2F2F2"/>
            <w:tcMar>
              <w:top w:w="80" w:type="dxa"/>
              <w:left w:w="100" w:type="dxa"/>
              <w:bottom w:w="80" w:type="dxa"/>
              <w:right w:w="100" w:type="dxa"/>
            </w:tcMar>
          </w:tcPr>
          <w:p w:rsidR="00102129" w:rsidRDefault="00102129" w:rsidP="00CE15F7">
            <w:r>
              <w:rPr>
                <w:color w:val="000000"/>
                <w:sz w:val="19"/>
                <w:szCs w:val="19"/>
              </w:rPr>
              <w:t>$1.2B (unicorn threshold)</w:t>
            </w:r>
          </w:p>
        </w:tc>
        <w:tc>
          <w:tcPr>
            <w:tcW w:w="2084" w:type="dxa"/>
            <w:shd w:val="clear" w:color="auto" w:fill="F2F2F2"/>
            <w:tcMar>
              <w:top w:w="80" w:type="dxa"/>
              <w:left w:w="100" w:type="dxa"/>
              <w:bottom w:w="80" w:type="dxa"/>
              <w:right w:w="100" w:type="dxa"/>
            </w:tcMar>
          </w:tcPr>
          <w:p w:rsidR="00102129" w:rsidRDefault="00102129" w:rsidP="00CE15F7">
            <w:r>
              <w:rPr>
                <w:color w:val="000000"/>
                <w:sz w:val="19"/>
                <w:szCs w:val="19"/>
              </w:rPr>
              <w:t>Execution roughly matches this plan's assumptions</w:t>
            </w:r>
          </w:p>
        </w:tc>
      </w:tr>
      <w:tr w:rsidR="00102129" w:rsidTr="00102129">
        <w:tblPrEx>
          <w:tblCellMar>
            <w:top w:w="0" w:type="dxa"/>
            <w:bottom w:w="0" w:type="dxa"/>
          </w:tblCellMar>
        </w:tblPrEx>
        <w:trPr>
          <w:trHeight w:val="1318"/>
        </w:trPr>
        <w:tc>
          <w:tcPr>
            <w:tcW w:w="1369" w:type="dxa"/>
            <w:shd w:val="clear" w:color="auto" w:fill="FFFFFF"/>
            <w:tcMar>
              <w:top w:w="80" w:type="dxa"/>
              <w:left w:w="100" w:type="dxa"/>
              <w:bottom w:w="80" w:type="dxa"/>
              <w:right w:w="100" w:type="dxa"/>
            </w:tcMar>
          </w:tcPr>
          <w:p w:rsidR="00102129" w:rsidRDefault="00102129" w:rsidP="00CE15F7">
            <w:r>
              <w:rPr>
                <w:color w:val="000000"/>
                <w:sz w:val="19"/>
                <w:szCs w:val="19"/>
              </w:rPr>
              <w:t>Bull Case</w:t>
            </w:r>
          </w:p>
        </w:tc>
        <w:tc>
          <w:tcPr>
            <w:tcW w:w="1382" w:type="dxa"/>
            <w:shd w:val="clear" w:color="auto" w:fill="FFFFFF"/>
            <w:tcMar>
              <w:top w:w="80" w:type="dxa"/>
              <w:left w:w="100" w:type="dxa"/>
              <w:bottom w:w="80" w:type="dxa"/>
              <w:right w:w="100" w:type="dxa"/>
            </w:tcMar>
          </w:tcPr>
          <w:p w:rsidR="00102129" w:rsidRDefault="00102129" w:rsidP="00CE15F7">
            <w:r>
              <w:rPr>
                <w:color w:val="000000"/>
                <w:sz w:val="19"/>
                <w:szCs w:val="19"/>
              </w:rPr>
              <w:t>28–32</w:t>
            </w:r>
          </w:p>
        </w:tc>
        <w:tc>
          <w:tcPr>
            <w:tcW w:w="1524" w:type="dxa"/>
            <w:shd w:val="clear" w:color="auto" w:fill="FFFFFF"/>
            <w:tcMar>
              <w:top w:w="80" w:type="dxa"/>
              <w:left w:w="100" w:type="dxa"/>
              <w:bottom w:w="80" w:type="dxa"/>
              <w:right w:w="100" w:type="dxa"/>
            </w:tcMar>
          </w:tcPr>
          <w:p w:rsidR="00102129" w:rsidRDefault="00102129" w:rsidP="00CE15F7">
            <w:r>
              <w:rPr>
                <w:color w:val="000000"/>
                <w:sz w:val="19"/>
                <w:szCs w:val="19"/>
              </w:rPr>
              <w:t>$400M–$480M</w:t>
            </w:r>
          </w:p>
        </w:tc>
        <w:tc>
          <w:tcPr>
            <w:tcW w:w="1382" w:type="dxa"/>
            <w:shd w:val="clear" w:color="auto" w:fill="FFFFFF"/>
            <w:tcMar>
              <w:top w:w="80" w:type="dxa"/>
              <w:left w:w="100" w:type="dxa"/>
              <w:bottom w:w="80" w:type="dxa"/>
              <w:right w:w="100" w:type="dxa"/>
            </w:tcMar>
          </w:tcPr>
          <w:p w:rsidR="00102129" w:rsidRDefault="00102129" w:rsidP="00CE15F7">
            <w:r>
              <w:rPr>
                <w:color w:val="000000"/>
                <w:sz w:val="19"/>
                <w:szCs w:val="19"/>
              </w:rPr>
              <w:t>~28–32%</w:t>
            </w:r>
          </w:p>
        </w:tc>
        <w:tc>
          <w:tcPr>
            <w:tcW w:w="1745" w:type="dxa"/>
            <w:shd w:val="clear" w:color="auto" w:fill="FFFFFF"/>
            <w:tcMar>
              <w:top w:w="80" w:type="dxa"/>
              <w:left w:w="100" w:type="dxa"/>
              <w:bottom w:w="80" w:type="dxa"/>
              <w:right w:w="100" w:type="dxa"/>
            </w:tcMar>
          </w:tcPr>
          <w:p w:rsidR="00102129" w:rsidRDefault="00102129" w:rsidP="00CE15F7">
            <w:r>
              <w:rPr>
                <w:color w:val="000000"/>
                <w:sz w:val="19"/>
                <w:szCs w:val="19"/>
              </w:rPr>
              <w:t>$2.2B–$2.8B</w:t>
            </w:r>
          </w:p>
        </w:tc>
        <w:tc>
          <w:tcPr>
            <w:tcW w:w="2084" w:type="dxa"/>
            <w:shd w:val="clear" w:color="auto" w:fill="FFFFFF"/>
            <w:tcMar>
              <w:top w:w="80" w:type="dxa"/>
              <w:left w:w="100" w:type="dxa"/>
              <w:bottom w:w="80" w:type="dxa"/>
              <w:right w:w="100" w:type="dxa"/>
            </w:tcMar>
          </w:tcPr>
          <w:p w:rsidR="00102129" w:rsidRDefault="00102129" w:rsidP="00CE15F7">
            <w:r>
              <w:rPr>
                <w:color w:val="000000"/>
                <w:sz w:val="19"/>
                <w:szCs w:val="19"/>
              </w:rPr>
              <w:t>Embedded/white-label rollout (Section 7.2) pulls forward into Year 4–5; SME/trade volume outperforms</w:t>
            </w:r>
          </w:p>
        </w:tc>
      </w:tr>
    </w:tbl>
    <w:p w:rsidR="00102129" w:rsidRDefault="00102129" w:rsidP="00102129">
      <w:pPr>
        <w:spacing w:before="60" w:after="200"/>
      </w:pPr>
      <w:r>
        <w:rPr>
          <w:i/>
          <w:iCs/>
          <w:color w:val="595959"/>
          <w:sz w:val="18"/>
          <w:szCs w:val="18"/>
        </w:rPr>
        <w:t>Table 10.2: The bear case is the most important row in this table for investor and bank credibility — it demonstrates the plan has been stress-tested, not just optimized for the best-looking number.</w:t>
      </w:r>
    </w:p>
    <w:p w:rsidR="00102129" w:rsidRDefault="00102129" w:rsidP="00102129">
      <w:r>
        <w:br w:type="page"/>
      </w:r>
    </w:p>
    <w:p w:rsidR="00102129" w:rsidRDefault="00102129" w:rsidP="00102129">
      <w:pPr>
        <w:pStyle w:val="Heading1"/>
        <w:spacing w:before="360" w:after="200"/>
      </w:pPr>
      <w:r>
        <w:lastRenderedPageBreak/>
        <w:t>11. Capital Raise Strategy &amp; Valuation Trajectory</w:t>
      </w:r>
    </w:p>
    <w:p w:rsidR="00102129" w:rsidRDefault="00102129" w:rsidP="00102129">
      <w:pPr>
        <w:spacing w:after="160" w:line="300" w:lineRule="auto"/>
        <w:jc w:val="both"/>
      </w:pPr>
      <w:r>
        <w:t>Compressing the timeline to five years compresses the capital-raise cadence too: each round must close faster and fund more simultaneous workstreams (parallel corridors, parallel bank onboarding) than a standard sequential-growth fintech plan. Valuations below are illustrative, modeled off typical fintech growth-stage multiples of revenue and comparable-category funding patterns, not third-party appraisals.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
        <w:gridCol w:w="1582"/>
        <w:gridCol w:w="1297"/>
        <w:gridCol w:w="1792"/>
        <w:gridCol w:w="2178"/>
        <w:gridCol w:w="1945"/>
      </w:tblGrid>
      <w:tr w:rsidR="00102129" w:rsidTr="00CE15F7">
        <w:tblPrEx>
          <w:tblCellMar>
            <w:top w:w="0" w:type="dxa"/>
            <w:bottom w:w="0" w:type="dxa"/>
          </w:tblCellMar>
        </w:tblPrEx>
        <w:trPr>
          <w:tblHeader/>
        </w:trPr>
        <w:tc>
          <w:tcPr>
            <w:tcW w:w="500" w:type="dxa"/>
            <w:shd w:val="clear" w:color="auto" w:fill="12284B"/>
            <w:tcMar>
              <w:top w:w="80" w:type="dxa"/>
              <w:left w:w="100" w:type="dxa"/>
              <w:bottom w:w="80" w:type="dxa"/>
              <w:right w:w="100" w:type="dxa"/>
            </w:tcMar>
          </w:tcPr>
          <w:p w:rsidR="00102129" w:rsidRDefault="00102129" w:rsidP="00CE15F7">
            <w:r>
              <w:rPr>
                <w:b/>
                <w:bCs/>
                <w:color w:val="FFFFFF"/>
                <w:sz w:val="19"/>
                <w:szCs w:val="19"/>
              </w:rPr>
              <w:t>Year</w:t>
            </w:r>
          </w:p>
        </w:tc>
        <w:tc>
          <w:tcPr>
            <w:tcW w:w="1750" w:type="dxa"/>
            <w:shd w:val="clear" w:color="auto" w:fill="12284B"/>
            <w:tcMar>
              <w:top w:w="80" w:type="dxa"/>
              <w:left w:w="100" w:type="dxa"/>
              <w:bottom w:w="80" w:type="dxa"/>
              <w:right w:w="100" w:type="dxa"/>
            </w:tcMar>
          </w:tcPr>
          <w:p w:rsidR="00102129" w:rsidRDefault="00102129" w:rsidP="00CE15F7">
            <w:r>
              <w:rPr>
                <w:b/>
                <w:bCs/>
                <w:color w:val="FFFFFF"/>
                <w:sz w:val="19"/>
                <w:szCs w:val="19"/>
              </w:rPr>
              <w:t>Round</w:t>
            </w:r>
          </w:p>
        </w:tc>
        <w:tc>
          <w:tcPr>
            <w:tcW w:w="1350" w:type="dxa"/>
            <w:shd w:val="clear" w:color="auto" w:fill="12284B"/>
            <w:tcMar>
              <w:top w:w="80" w:type="dxa"/>
              <w:left w:w="100" w:type="dxa"/>
              <w:bottom w:w="80" w:type="dxa"/>
              <w:right w:w="100" w:type="dxa"/>
            </w:tcMar>
          </w:tcPr>
          <w:p w:rsidR="00102129" w:rsidRDefault="00102129" w:rsidP="00CE15F7">
            <w:r>
              <w:rPr>
                <w:b/>
                <w:bCs/>
                <w:color w:val="FFFFFF"/>
                <w:sz w:val="19"/>
                <w:szCs w:val="19"/>
              </w:rPr>
              <w:t>Illustrative Raise</w:t>
            </w:r>
          </w:p>
        </w:tc>
        <w:tc>
          <w:tcPr>
            <w:tcW w:w="1950" w:type="dxa"/>
            <w:shd w:val="clear" w:color="auto" w:fill="12284B"/>
            <w:tcMar>
              <w:top w:w="80" w:type="dxa"/>
              <w:left w:w="100" w:type="dxa"/>
              <w:bottom w:w="80" w:type="dxa"/>
              <w:right w:w="100" w:type="dxa"/>
            </w:tcMar>
          </w:tcPr>
          <w:p w:rsidR="00102129" w:rsidRDefault="00102129" w:rsidP="00CE15F7">
            <w:r>
              <w:rPr>
                <w:b/>
                <w:bCs/>
                <w:color w:val="FFFFFF"/>
                <w:sz w:val="19"/>
                <w:szCs w:val="19"/>
              </w:rPr>
              <w:t>Illustrative Post-Money Valuation</w:t>
            </w:r>
          </w:p>
        </w:tc>
        <w:tc>
          <w:tcPr>
            <w:tcW w:w="2300" w:type="dxa"/>
            <w:shd w:val="clear" w:color="auto" w:fill="12284B"/>
            <w:tcMar>
              <w:top w:w="80" w:type="dxa"/>
              <w:left w:w="100" w:type="dxa"/>
              <w:bottom w:w="80" w:type="dxa"/>
              <w:right w:w="100" w:type="dxa"/>
            </w:tcMar>
          </w:tcPr>
          <w:p w:rsidR="00102129" w:rsidRDefault="00102129" w:rsidP="00CE15F7">
            <w:r>
              <w:rPr>
                <w:b/>
                <w:bCs/>
                <w:color w:val="FFFFFF"/>
                <w:sz w:val="19"/>
                <w:szCs w:val="19"/>
              </w:rPr>
              <w:t>Primary Use of Funds</w:t>
            </w:r>
          </w:p>
        </w:tc>
        <w:tc>
          <w:tcPr>
            <w:tcW w:w="2000" w:type="dxa"/>
            <w:shd w:val="clear" w:color="auto" w:fill="12284B"/>
            <w:tcMar>
              <w:top w:w="80" w:type="dxa"/>
              <w:left w:w="100" w:type="dxa"/>
              <w:bottom w:w="80" w:type="dxa"/>
              <w:right w:w="100" w:type="dxa"/>
            </w:tcMar>
          </w:tcPr>
          <w:p w:rsidR="00102129" w:rsidRDefault="00102129" w:rsidP="00CE15F7">
            <w:r>
              <w:rPr>
                <w:b/>
                <w:bCs/>
                <w:color w:val="FFFFFF"/>
                <w:sz w:val="19"/>
                <w:szCs w:val="19"/>
              </w:rPr>
              <w:t>Key Risk Retired</w:t>
            </w:r>
          </w:p>
        </w:tc>
      </w:tr>
      <w:tr w:rsidR="00102129" w:rsidTr="00CE15F7">
        <w:tblPrEx>
          <w:tblCellMar>
            <w:top w:w="0" w:type="dxa"/>
            <w:bottom w:w="0" w:type="dxa"/>
          </w:tblCellMar>
        </w:tblPrEx>
        <w:tc>
          <w:tcPr>
            <w:tcW w:w="500" w:type="dxa"/>
            <w:shd w:val="clear" w:color="auto" w:fill="FFFFFF"/>
            <w:tcMar>
              <w:top w:w="80" w:type="dxa"/>
              <w:left w:w="100" w:type="dxa"/>
              <w:bottom w:w="80" w:type="dxa"/>
              <w:right w:w="100" w:type="dxa"/>
            </w:tcMar>
          </w:tcPr>
          <w:p w:rsidR="00102129" w:rsidRDefault="00102129" w:rsidP="00CE15F7">
            <w:r>
              <w:rPr>
                <w:color w:val="000000"/>
                <w:sz w:val="19"/>
                <w:szCs w:val="19"/>
              </w:rPr>
              <w:t>Y1</w:t>
            </w:r>
          </w:p>
        </w:tc>
        <w:tc>
          <w:tcPr>
            <w:tcW w:w="1750" w:type="dxa"/>
            <w:shd w:val="clear" w:color="auto" w:fill="FFFFFF"/>
            <w:tcMar>
              <w:top w:w="80" w:type="dxa"/>
              <w:left w:w="100" w:type="dxa"/>
              <w:bottom w:w="80" w:type="dxa"/>
              <w:right w:w="100" w:type="dxa"/>
            </w:tcMar>
          </w:tcPr>
          <w:p w:rsidR="00102129" w:rsidRDefault="00102129" w:rsidP="00CE15F7">
            <w:r>
              <w:rPr>
                <w:color w:val="000000"/>
                <w:sz w:val="19"/>
                <w:szCs w:val="19"/>
              </w:rPr>
              <w:t>Pre-Seed</w:t>
            </w:r>
          </w:p>
        </w:tc>
        <w:tc>
          <w:tcPr>
            <w:tcW w:w="1350" w:type="dxa"/>
            <w:shd w:val="clear" w:color="auto" w:fill="FFFFFF"/>
            <w:tcMar>
              <w:top w:w="80" w:type="dxa"/>
              <w:left w:w="100" w:type="dxa"/>
              <w:bottom w:w="80" w:type="dxa"/>
              <w:right w:w="100" w:type="dxa"/>
            </w:tcMar>
          </w:tcPr>
          <w:p w:rsidR="00102129" w:rsidRDefault="00102129" w:rsidP="00CE15F7">
            <w:r>
              <w:rPr>
                <w:color w:val="000000"/>
                <w:sz w:val="19"/>
                <w:szCs w:val="19"/>
              </w:rPr>
              <w:t>$0.75M</w:t>
            </w:r>
          </w:p>
        </w:tc>
        <w:tc>
          <w:tcPr>
            <w:tcW w:w="1950" w:type="dxa"/>
            <w:shd w:val="clear" w:color="auto" w:fill="FFFFFF"/>
            <w:tcMar>
              <w:top w:w="80" w:type="dxa"/>
              <w:left w:w="100" w:type="dxa"/>
              <w:bottom w:w="80" w:type="dxa"/>
              <w:right w:w="100" w:type="dxa"/>
            </w:tcMar>
          </w:tcPr>
          <w:p w:rsidR="00102129" w:rsidRDefault="00102129" w:rsidP="00CE15F7">
            <w:r>
              <w:rPr>
                <w:color w:val="000000"/>
                <w:sz w:val="19"/>
                <w:szCs w:val="19"/>
              </w:rPr>
              <w:t>$5M</w:t>
            </w:r>
          </w:p>
        </w:tc>
        <w:tc>
          <w:tcPr>
            <w:tcW w:w="2300" w:type="dxa"/>
            <w:shd w:val="clear" w:color="auto" w:fill="FFFFFF"/>
            <w:tcMar>
              <w:top w:w="80" w:type="dxa"/>
              <w:left w:w="100" w:type="dxa"/>
              <w:bottom w:w="80" w:type="dxa"/>
              <w:right w:w="100" w:type="dxa"/>
            </w:tcMar>
          </w:tcPr>
          <w:p w:rsidR="00102129" w:rsidRDefault="00102129" w:rsidP="00CE15F7">
            <w:r>
              <w:rPr>
                <w:color w:val="000000"/>
                <w:sz w:val="19"/>
                <w:szCs w:val="19"/>
              </w:rPr>
              <w:t>Sandbox build, pilot compliance framework, anchor bank integration</w:t>
            </w:r>
          </w:p>
        </w:tc>
        <w:tc>
          <w:tcPr>
            <w:tcW w:w="2000" w:type="dxa"/>
            <w:shd w:val="clear" w:color="auto" w:fill="FFFFFF"/>
            <w:tcMar>
              <w:top w:w="80" w:type="dxa"/>
              <w:left w:w="100" w:type="dxa"/>
              <w:bottom w:w="80" w:type="dxa"/>
              <w:right w:w="100" w:type="dxa"/>
            </w:tcMar>
          </w:tcPr>
          <w:p w:rsidR="00102129" w:rsidRDefault="00102129" w:rsidP="00CE15F7">
            <w:r>
              <w:rPr>
                <w:color w:val="000000"/>
                <w:sz w:val="19"/>
                <w:szCs w:val="19"/>
              </w:rPr>
              <w:t>Product/regulatory feasibility</w:t>
            </w:r>
          </w:p>
        </w:tc>
      </w:tr>
      <w:tr w:rsidR="00102129" w:rsidTr="00CE15F7">
        <w:tblPrEx>
          <w:tblCellMar>
            <w:top w:w="0" w:type="dxa"/>
            <w:bottom w:w="0" w:type="dxa"/>
          </w:tblCellMar>
        </w:tblPrEx>
        <w:tc>
          <w:tcPr>
            <w:tcW w:w="500" w:type="dxa"/>
            <w:shd w:val="clear" w:color="auto" w:fill="F2F2F2"/>
            <w:tcMar>
              <w:top w:w="80" w:type="dxa"/>
              <w:left w:w="100" w:type="dxa"/>
              <w:bottom w:w="80" w:type="dxa"/>
              <w:right w:w="100" w:type="dxa"/>
            </w:tcMar>
          </w:tcPr>
          <w:p w:rsidR="00102129" w:rsidRDefault="00102129" w:rsidP="00CE15F7">
            <w:r>
              <w:rPr>
                <w:color w:val="000000"/>
                <w:sz w:val="19"/>
                <w:szCs w:val="19"/>
              </w:rPr>
              <w:t>Y2</w:t>
            </w:r>
          </w:p>
        </w:tc>
        <w:tc>
          <w:tcPr>
            <w:tcW w:w="1750" w:type="dxa"/>
            <w:shd w:val="clear" w:color="auto" w:fill="F2F2F2"/>
            <w:tcMar>
              <w:top w:w="80" w:type="dxa"/>
              <w:left w:w="100" w:type="dxa"/>
              <w:bottom w:w="80" w:type="dxa"/>
              <w:right w:w="100" w:type="dxa"/>
            </w:tcMar>
          </w:tcPr>
          <w:p w:rsidR="00102129" w:rsidRDefault="00102129" w:rsidP="00CE15F7">
            <w:r>
              <w:rPr>
                <w:color w:val="000000"/>
                <w:sz w:val="19"/>
                <w:szCs w:val="19"/>
              </w:rPr>
              <w:t>Seed</w:t>
            </w:r>
          </w:p>
        </w:tc>
        <w:tc>
          <w:tcPr>
            <w:tcW w:w="1350" w:type="dxa"/>
            <w:shd w:val="clear" w:color="auto" w:fill="F2F2F2"/>
            <w:tcMar>
              <w:top w:w="80" w:type="dxa"/>
              <w:left w:w="100" w:type="dxa"/>
              <w:bottom w:w="80" w:type="dxa"/>
              <w:right w:w="100" w:type="dxa"/>
            </w:tcMar>
          </w:tcPr>
          <w:p w:rsidR="00102129" w:rsidRDefault="00102129" w:rsidP="00CE15F7">
            <w:r>
              <w:rPr>
                <w:color w:val="000000"/>
                <w:sz w:val="19"/>
                <w:szCs w:val="19"/>
              </w:rPr>
              <w:t>$6M</w:t>
            </w:r>
          </w:p>
        </w:tc>
        <w:tc>
          <w:tcPr>
            <w:tcW w:w="1950" w:type="dxa"/>
            <w:shd w:val="clear" w:color="auto" w:fill="F2F2F2"/>
            <w:tcMar>
              <w:top w:w="80" w:type="dxa"/>
              <w:left w:w="100" w:type="dxa"/>
              <w:bottom w:w="80" w:type="dxa"/>
              <w:right w:w="100" w:type="dxa"/>
            </w:tcMar>
          </w:tcPr>
          <w:p w:rsidR="00102129" w:rsidRDefault="00102129" w:rsidP="00CE15F7">
            <w:r>
              <w:rPr>
                <w:color w:val="000000"/>
                <w:sz w:val="19"/>
                <w:szCs w:val="19"/>
              </w:rPr>
              <w:t>$35M</w:t>
            </w:r>
          </w:p>
        </w:tc>
        <w:tc>
          <w:tcPr>
            <w:tcW w:w="2300" w:type="dxa"/>
            <w:shd w:val="clear" w:color="auto" w:fill="F2F2F2"/>
            <w:tcMar>
              <w:top w:w="80" w:type="dxa"/>
              <w:left w:w="100" w:type="dxa"/>
              <w:bottom w:w="80" w:type="dxa"/>
              <w:right w:w="100" w:type="dxa"/>
            </w:tcMar>
          </w:tcPr>
          <w:p w:rsidR="00102129" w:rsidRDefault="00102129" w:rsidP="00CE15F7">
            <w:r>
              <w:rPr>
                <w:color w:val="000000"/>
                <w:sz w:val="19"/>
                <w:szCs w:val="19"/>
              </w:rPr>
              <w:t>Parallel expansion into 3 new corridors, second bank partner, team build-out</w:t>
            </w:r>
          </w:p>
        </w:tc>
        <w:tc>
          <w:tcPr>
            <w:tcW w:w="2000" w:type="dxa"/>
            <w:shd w:val="clear" w:color="auto" w:fill="F2F2F2"/>
            <w:tcMar>
              <w:top w:w="80" w:type="dxa"/>
              <w:left w:w="100" w:type="dxa"/>
              <w:bottom w:w="80" w:type="dxa"/>
              <w:right w:w="100" w:type="dxa"/>
            </w:tcMar>
          </w:tcPr>
          <w:p w:rsidR="00102129" w:rsidRDefault="00102129" w:rsidP="00CE15F7">
            <w:r>
              <w:rPr>
                <w:color w:val="000000"/>
                <w:sz w:val="19"/>
                <w:szCs w:val="19"/>
              </w:rPr>
              <w:t>Repeatability across corridors and banks simultaneously</w:t>
            </w:r>
          </w:p>
        </w:tc>
      </w:tr>
      <w:tr w:rsidR="00102129" w:rsidTr="00CE15F7">
        <w:tblPrEx>
          <w:tblCellMar>
            <w:top w:w="0" w:type="dxa"/>
            <w:bottom w:w="0" w:type="dxa"/>
          </w:tblCellMar>
        </w:tblPrEx>
        <w:tc>
          <w:tcPr>
            <w:tcW w:w="500" w:type="dxa"/>
            <w:shd w:val="clear" w:color="auto" w:fill="FFFFFF"/>
            <w:tcMar>
              <w:top w:w="80" w:type="dxa"/>
              <w:left w:w="100" w:type="dxa"/>
              <w:bottom w:w="80" w:type="dxa"/>
              <w:right w:w="100" w:type="dxa"/>
            </w:tcMar>
          </w:tcPr>
          <w:p w:rsidR="00102129" w:rsidRDefault="00102129" w:rsidP="00CE15F7">
            <w:r>
              <w:rPr>
                <w:color w:val="000000"/>
                <w:sz w:val="19"/>
                <w:szCs w:val="19"/>
              </w:rPr>
              <w:t>Y3</w:t>
            </w:r>
          </w:p>
        </w:tc>
        <w:tc>
          <w:tcPr>
            <w:tcW w:w="1750" w:type="dxa"/>
            <w:shd w:val="clear" w:color="auto" w:fill="FFFFFF"/>
            <w:tcMar>
              <w:top w:w="80" w:type="dxa"/>
              <w:left w:w="100" w:type="dxa"/>
              <w:bottom w:w="80" w:type="dxa"/>
              <w:right w:w="100" w:type="dxa"/>
            </w:tcMar>
          </w:tcPr>
          <w:p w:rsidR="00102129" w:rsidRDefault="00102129" w:rsidP="00CE15F7">
            <w:r>
              <w:rPr>
                <w:color w:val="000000"/>
                <w:sz w:val="19"/>
                <w:szCs w:val="19"/>
              </w:rPr>
              <w:t>Series A</w:t>
            </w:r>
          </w:p>
        </w:tc>
        <w:tc>
          <w:tcPr>
            <w:tcW w:w="1350" w:type="dxa"/>
            <w:shd w:val="clear" w:color="auto" w:fill="FFFFFF"/>
            <w:tcMar>
              <w:top w:w="80" w:type="dxa"/>
              <w:left w:w="100" w:type="dxa"/>
              <w:bottom w:w="80" w:type="dxa"/>
              <w:right w:w="100" w:type="dxa"/>
            </w:tcMar>
          </w:tcPr>
          <w:p w:rsidR="00102129" w:rsidRDefault="00102129" w:rsidP="00CE15F7">
            <w:r>
              <w:rPr>
                <w:color w:val="000000"/>
                <w:sz w:val="19"/>
                <w:szCs w:val="19"/>
              </w:rPr>
              <w:t>$25M</w:t>
            </w:r>
          </w:p>
        </w:tc>
        <w:tc>
          <w:tcPr>
            <w:tcW w:w="1950" w:type="dxa"/>
            <w:shd w:val="clear" w:color="auto" w:fill="FFFFFF"/>
            <w:tcMar>
              <w:top w:w="80" w:type="dxa"/>
              <w:left w:w="100" w:type="dxa"/>
              <w:bottom w:w="80" w:type="dxa"/>
              <w:right w:w="100" w:type="dxa"/>
            </w:tcMar>
          </w:tcPr>
          <w:p w:rsidR="00102129" w:rsidRDefault="00102129" w:rsidP="00CE15F7">
            <w:r>
              <w:rPr>
                <w:color w:val="000000"/>
                <w:sz w:val="19"/>
                <w:szCs w:val="19"/>
              </w:rPr>
              <w:t>$150M</w:t>
            </w:r>
          </w:p>
        </w:tc>
        <w:tc>
          <w:tcPr>
            <w:tcW w:w="2300" w:type="dxa"/>
            <w:shd w:val="clear" w:color="auto" w:fill="FFFFFF"/>
            <w:tcMar>
              <w:top w:w="80" w:type="dxa"/>
              <w:left w:w="100" w:type="dxa"/>
              <w:bottom w:w="80" w:type="dxa"/>
              <w:right w:w="100" w:type="dxa"/>
            </w:tcMar>
          </w:tcPr>
          <w:p w:rsidR="00102129" w:rsidRDefault="00102129" w:rsidP="00CE15F7">
            <w:r>
              <w:rPr>
                <w:color w:val="000000"/>
                <w:sz w:val="19"/>
                <w:szCs w:val="19"/>
              </w:rPr>
              <w:t>9-corridor scale, 3rd–4th bank partners, compliance scale-up</w:t>
            </w:r>
          </w:p>
        </w:tc>
        <w:tc>
          <w:tcPr>
            <w:tcW w:w="2000" w:type="dxa"/>
            <w:shd w:val="clear" w:color="auto" w:fill="FFFFFF"/>
            <w:tcMar>
              <w:top w:w="80" w:type="dxa"/>
              <w:left w:w="100" w:type="dxa"/>
              <w:bottom w:w="80" w:type="dxa"/>
              <w:right w:w="100" w:type="dxa"/>
            </w:tcMar>
          </w:tcPr>
          <w:p w:rsidR="00102129" w:rsidRDefault="00102129" w:rsidP="00CE15F7">
            <w:r>
              <w:rPr>
                <w:color w:val="000000"/>
                <w:sz w:val="19"/>
                <w:szCs w:val="19"/>
              </w:rPr>
              <w:t>Multi-bank model proof at accelerated pace</w:t>
            </w:r>
          </w:p>
        </w:tc>
      </w:tr>
      <w:tr w:rsidR="00102129" w:rsidTr="00CE15F7">
        <w:tblPrEx>
          <w:tblCellMar>
            <w:top w:w="0" w:type="dxa"/>
            <w:bottom w:w="0" w:type="dxa"/>
          </w:tblCellMar>
        </w:tblPrEx>
        <w:tc>
          <w:tcPr>
            <w:tcW w:w="500" w:type="dxa"/>
            <w:shd w:val="clear" w:color="auto" w:fill="F2F2F2"/>
            <w:tcMar>
              <w:top w:w="80" w:type="dxa"/>
              <w:left w:w="100" w:type="dxa"/>
              <w:bottom w:w="80" w:type="dxa"/>
              <w:right w:w="100" w:type="dxa"/>
            </w:tcMar>
          </w:tcPr>
          <w:p w:rsidR="00102129" w:rsidRDefault="00102129" w:rsidP="00CE15F7">
            <w:r>
              <w:rPr>
                <w:color w:val="000000"/>
                <w:sz w:val="19"/>
                <w:szCs w:val="19"/>
              </w:rPr>
              <w:t>Y4</w:t>
            </w:r>
          </w:p>
        </w:tc>
        <w:tc>
          <w:tcPr>
            <w:tcW w:w="1750" w:type="dxa"/>
            <w:shd w:val="clear" w:color="auto" w:fill="F2F2F2"/>
            <w:tcMar>
              <w:top w:w="80" w:type="dxa"/>
              <w:left w:w="100" w:type="dxa"/>
              <w:bottom w:w="80" w:type="dxa"/>
              <w:right w:w="100" w:type="dxa"/>
            </w:tcMar>
          </w:tcPr>
          <w:p w:rsidR="00102129" w:rsidRDefault="00102129" w:rsidP="00CE15F7">
            <w:r>
              <w:rPr>
                <w:color w:val="000000"/>
                <w:sz w:val="19"/>
                <w:szCs w:val="19"/>
              </w:rPr>
              <w:t>Series B</w:t>
            </w:r>
          </w:p>
        </w:tc>
        <w:tc>
          <w:tcPr>
            <w:tcW w:w="1350" w:type="dxa"/>
            <w:shd w:val="clear" w:color="auto" w:fill="F2F2F2"/>
            <w:tcMar>
              <w:top w:w="80" w:type="dxa"/>
              <w:left w:w="100" w:type="dxa"/>
              <w:bottom w:w="80" w:type="dxa"/>
              <w:right w:w="100" w:type="dxa"/>
            </w:tcMar>
          </w:tcPr>
          <w:p w:rsidR="00102129" w:rsidRDefault="00102129" w:rsidP="00CE15F7">
            <w:r>
              <w:rPr>
                <w:color w:val="000000"/>
                <w:sz w:val="19"/>
                <w:szCs w:val="19"/>
              </w:rPr>
              <w:t>$65M</w:t>
            </w:r>
          </w:p>
        </w:tc>
        <w:tc>
          <w:tcPr>
            <w:tcW w:w="1950" w:type="dxa"/>
            <w:shd w:val="clear" w:color="auto" w:fill="F2F2F2"/>
            <w:tcMar>
              <w:top w:w="80" w:type="dxa"/>
              <w:left w:w="100" w:type="dxa"/>
              <w:bottom w:w="80" w:type="dxa"/>
              <w:right w:w="100" w:type="dxa"/>
            </w:tcMar>
          </w:tcPr>
          <w:p w:rsidR="00102129" w:rsidRDefault="00102129" w:rsidP="00CE15F7">
            <w:r>
              <w:rPr>
                <w:color w:val="000000"/>
                <w:sz w:val="19"/>
                <w:szCs w:val="19"/>
              </w:rPr>
              <w:t>$500M</w:t>
            </w:r>
          </w:p>
        </w:tc>
        <w:tc>
          <w:tcPr>
            <w:tcW w:w="2300" w:type="dxa"/>
            <w:shd w:val="clear" w:color="auto" w:fill="F2F2F2"/>
            <w:tcMar>
              <w:top w:w="80" w:type="dxa"/>
              <w:left w:w="100" w:type="dxa"/>
              <w:bottom w:w="80" w:type="dxa"/>
              <w:right w:w="100" w:type="dxa"/>
            </w:tcMar>
          </w:tcPr>
          <w:p w:rsidR="00102129" w:rsidRDefault="00102129" w:rsidP="00CE15F7">
            <w:r>
              <w:rPr>
                <w:color w:val="000000"/>
                <w:sz w:val="19"/>
                <w:szCs w:val="19"/>
              </w:rPr>
              <w:t>15-corridor scale, SME/trade product line, embedded-finance groundwork</w:t>
            </w:r>
          </w:p>
        </w:tc>
        <w:tc>
          <w:tcPr>
            <w:tcW w:w="2000" w:type="dxa"/>
            <w:shd w:val="clear" w:color="auto" w:fill="F2F2F2"/>
            <w:tcMar>
              <w:top w:w="80" w:type="dxa"/>
              <w:left w:w="100" w:type="dxa"/>
              <w:bottom w:w="80" w:type="dxa"/>
              <w:right w:w="100" w:type="dxa"/>
            </w:tcMar>
          </w:tcPr>
          <w:p w:rsidR="00102129" w:rsidRDefault="00102129" w:rsidP="00CE15F7">
            <w:r>
              <w:rPr>
                <w:color w:val="000000"/>
                <w:sz w:val="19"/>
                <w:szCs w:val="19"/>
              </w:rPr>
              <w:t>Unit economics at scale, approaching profitability</w:t>
            </w:r>
          </w:p>
        </w:tc>
      </w:tr>
      <w:tr w:rsidR="00102129" w:rsidTr="00CE15F7">
        <w:tblPrEx>
          <w:tblCellMar>
            <w:top w:w="0" w:type="dxa"/>
            <w:bottom w:w="0" w:type="dxa"/>
          </w:tblCellMar>
        </w:tblPrEx>
        <w:tc>
          <w:tcPr>
            <w:tcW w:w="500" w:type="dxa"/>
            <w:shd w:val="clear" w:color="auto" w:fill="FFFFFF"/>
            <w:tcMar>
              <w:top w:w="80" w:type="dxa"/>
              <w:left w:w="100" w:type="dxa"/>
              <w:bottom w:w="80" w:type="dxa"/>
              <w:right w:w="100" w:type="dxa"/>
            </w:tcMar>
          </w:tcPr>
          <w:p w:rsidR="00102129" w:rsidRDefault="00102129" w:rsidP="00CE15F7">
            <w:r>
              <w:rPr>
                <w:color w:val="000000"/>
                <w:sz w:val="19"/>
                <w:szCs w:val="19"/>
              </w:rPr>
              <w:t>Y5</w:t>
            </w:r>
          </w:p>
        </w:tc>
        <w:tc>
          <w:tcPr>
            <w:tcW w:w="1750" w:type="dxa"/>
            <w:shd w:val="clear" w:color="auto" w:fill="FFFFFF"/>
            <w:tcMar>
              <w:top w:w="80" w:type="dxa"/>
              <w:left w:w="100" w:type="dxa"/>
              <w:bottom w:w="80" w:type="dxa"/>
              <w:right w:w="100" w:type="dxa"/>
            </w:tcMar>
          </w:tcPr>
          <w:p w:rsidR="00102129" w:rsidRDefault="00102129" w:rsidP="00CE15F7">
            <w:r>
              <w:rPr>
                <w:color w:val="000000"/>
                <w:sz w:val="19"/>
                <w:szCs w:val="19"/>
              </w:rPr>
              <w:t>Series C / Growth Round</w:t>
            </w:r>
          </w:p>
        </w:tc>
        <w:tc>
          <w:tcPr>
            <w:tcW w:w="1350" w:type="dxa"/>
            <w:shd w:val="clear" w:color="auto" w:fill="FFFFFF"/>
            <w:tcMar>
              <w:top w:w="80" w:type="dxa"/>
              <w:left w:w="100" w:type="dxa"/>
              <w:bottom w:w="80" w:type="dxa"/>
              <w:right w:w="100" w:type="dxa"/>
            </w:tcMar>
          </w:tcPr>
          <w:p w:rsidR="00102129" w:rsidRDefault="00102129" w:rsidP="00CE15F7">
            <w:r>
              <w:rPr>
                <w:color w:val="000000"/>
                <w:sz w:val="19"/>
                <w:szCs w:val="19"/>
              </w:rPr>
              <w:t>$140M</w:t>
            </w:r>
          </w:p>
        </w:tc>
        <w:tc>
          <w:tcPr>
            <w:tcW w:w="1950" w:type="dxa"/>
            <w:shd w:val="clear" w:color="auto" w:fill="FFFFFF"/>
            <w:tcMar>
              <w:top w:w="80" w:type="dxa"/>
              <w:left w:w="100" w:type="dxa"/>
              <w:bottom w:w="80" w:type="dxa"/>
              <w:right w:w="100" w:type="dxa"/>
            </w:tcMar>
          </w:tcPr>
          <w:p w:rsidR="00102129" w:rsidRDefault="00102129" w:rsidP="00CE15F7">
            <w:r>
              <w:rPr>
                <w:color w:val="000000"/>
                <w:sz w:val="19"/>
                <w:szCs w:val="19"/>
              </w:rPr>
              <w:t>$1.2B — Unicorn threshold crossed</w:t>
            </w:r>
          </w:p>
        </w:tc>
        <w:tc>
          <w:tcPr>
            <w:tcW w:w="2300" w:type="dxa"/>
            <w:shd w:val="clear" w:color="auto" w:fill="FFFFFF"/>
            <w:tcMar>
              <w:top w:w="80" w:type="dxa"/>
              <w:left w:w="100" w:type="dxa"/>
              <w:bottom w:w="80" w:type="dxa"/>
              <w:right w:w="100" w:type="dxa"/>
            </w:tcMar>
          </w:tcPr>
          <w:p w:rsidR="00102129" w:rsidRDefault="00102129" w:rsidP="00CE15F7">
            <w:r>
              <w:rPr>
                <w:color w:val="000000"/>
                <w:sz w:val="19"/>
                <w:szCs w:val="19"/>
              </w:rPr>
              <w:t>22-corridor network maturity, embedded/white-label rollout, IPO-readiness groundwork</w:t>
            </w:r>
          </w:p>
        </w:tc>
        <w:tc>
          <w:tcPr>
            <w:tcW w:w="2000" w:type="dxa"/>
            <w:shd w:val="clear" w:color="auto" w:fill="FFFFFF"/>
            <w:tcMar>
              <w:top w:w="80" w:type="dxa"/>
              <w:left w:w="100" w:type="dxa"/>
              <w:bottom w:w="80" w:type="dxa"/>
              <w:right w:w="100" w:type="dxa"/>
            </w:tcMar>
          </w:tcPr>
          <w:p w:rsidR="00102129" w:rsidRDefault="00102129" w:rsidP="00CE15F7">
            <w:r>
              <w:rPr>
                <w:color w:val="000000"/>
                <w:sz w:val="19"/>
                <w:szCs w:val="19"/>
              </w:rPr>
              <w:t>Category leadership and sustained profitability trajectory</w:t>
            </w:r>
          </w:p>
        </w:tc>
      </w:tr>
    </w:tbl>
    <w:p w:rsidR="00102129" w:rsidRDefault="00102129" w:rsidP="00102129">
      <w:pPr>
        <w:spacing w:before="60" w:after="200"/>
      </w:pPr>
      <w:r>
        <w:rPr>
          <w:i/>
          <w:iCs/>
          <w:color w:val="595959"/>
          <w:sz w:val="18"/>
          <w:szCs w:val="18"/>
        </w:rPr>
        <w:t>Table 11.1: Every figure is an illustrative planning scenario. Actual round sizes, timing, and valuations depend on real pilot performance, market conditions, and investor appetite at each stage. Total illustrative capital raised across five rounds: ~$236M, materially more front-loaded than the original 10-year plan's pacing.</w:t>
      </w:r>
    </w:p>
    <w:p w:rsidR="00102129" w:rsidRDefault="00102129" w:rsidP="00102129">
      <w:pPr>
        <w:pStyle w:val="Heading2"/>
        <w:spacing w:before="260" w:after="140"/>
      </w:pPr>
      <w:r>
        <w:t>11.1 Dilution Discipline</w:t>
      </w:r>
    </w:p>
    <w:p w:rsidR="00102129" w:rsidRDefault="00102129" w:rsidP="00102129">
      <w:pPr>
        <w:spacing w:after="160" w:line="300" w:lineRule="auto"/>
        <w:jc w:val="both"/>
      </w:pPr>
      <w:r>
        <w:t>As an illustrative guardrail, each primary round should target roughly 15–22% dilution given the faster cadence and higher execution-risk premium investors will price in. Founders and the executive team should model a target combined founder ownership floor (e.g., not below ~35% through Series B) as an internal governance guardrail, to be refined with legal/financial advisors at each raise. The compressed timeline means less time between rounds to rebuild negotiating leverage through demonstrated results — this should be discussed openly with the board as a trade-off of the 5-year path versus the original 10-year path.</w:t>
      </w:r>
    </w:p>
    <w:p w:rsidR="00102129" w:rsidRDefault="00102129" w:rsidP="00102129">
      <w:r>
        <w:br w:type="page"/>
      </w:r>
    </w:p>
    <w:p w:rsidR="00102129" w:rsidRDefault="00102129" w:rsidP="00102129">
      <w:pPr>
        <w:pStyle w:val="Heading1"/>
        <w:spacing w:before="360" w:after="200"/>
      </w:pPr>
      <w:r>
        <w:lastRenderedPageBreak/>
        <w:t>12. Path to Unicorn — Milestones &amp; Value Drivers</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7"/>
        <w:gridCol w:w="1008"/>
        <w:gridCol w:w="5091"/>
      </w:tblGrid>
      <w:tr w:rsidR="00102129" w:rsidTr="00102129">
        <w:tblPrEx>
          <w:tblCellMar>
            <w:top w:w="0" w:type="dxa"/>
            <w:bottom w:w="0" w:type="dxa"/>
          </w:tblCellMar>
        </w:tblPrEx>
        <w:trPr>
          <w:trHeight w:val="277"/>
          <w:tblHeader/>
        </w:trPr>
        <w:tc>
          <w:tcPr>
            <w:tcW w:w="3327" w:type="dxa"/>
            <w:shd w:val="clear" w:color="auto" w:fill="12284B"/>
            <w:tcMar>
              <w:top w:w="80" w:type="dxa"/>
              <w:left w:w="100" w:type="dxa"/>
              <w:bottom w:w="80" w:type="dxa"/>
              <w:right w:w="100" w:type="dxa"/>
            </w:tcMar>
          </w:tcPr>
          <w:p w:rsidR="00102129" w:rsidRDefault="00102129" w:rsidP="00CE15F7">
            <w:r>
              <w:rPr>
                <w:b/>
                <w:bCs/>
                <w:color w:val="FFFFFF"/>
                <w:sz w:val="19"/>
                <w:szCs w:val="19"/>
              </w:rPr>
              <w:t>Milestone</w:t>
            </w:r>
          </w:p>
        </w:tc>
        <w:tc>
          <w:tcPr>
            <w:tcW w:w="1008" w:type="dxa"/>
            <w:shd w:val="clear" w:color="auto" w:fill="12284B"/>
            <w:tcMar>
              <w:top w:w="80" w:type="dxa"/>
              <w:left w:w="100" w:type="dxa"/>
              <w:bottom w:w="80" w:type="dxa"/>
              <w:right w:w="100" w:type="dxa"/>
            </w:tcMar>
          </w:tcPr>
          <w:p w:rsidR="00102129" w:rsidRDefault="00102129" w:rsidP="00CE15F7">
            <w:r>
              <w:rPr>
                <w:b/>
                <w:bCs/>
                <w:color w:val="FFFFFF"/>
                <w:sz w:val="19"/>
                <w:szCs w:val="19"/>
              </w:rPr>
              <w:t>Target</w:t>
            </w:r>
          </w:p>
        </w:tc>
        <w:tc>
          <w:tcPr>
            <w:tcW w:w="5091" w:type="dxa"/>
            <w:shd w:val="clear" w:color="auto" w:fill="12284B"/>
            <w:tcMar>
              <w:top w:w="80" w:type="dxa"/>
              <w:left w:w="100" w:type="dxa"/>
              <w:bottom w:w="80" w:type="dxa"/>
              <w:right w:w="100" w:type="dxa"/>
            </w:tcMar>
          </w:tcPr>
          <w:p w:rsidR="00102129" w:rsidRDefault="00102129" w:rsidP="00CE15F7">
            <w:r>
              <w:rPr>
                <w:b/>
                <w:bCs/>
                <w:color w:val="FFFFFF"/>
                <w:sz w:val="19"/>
                <w:szCs w:val="19"/>
              </w:rPr>
              <w:t>Why It Moves the Valuation</w:t>
            </w:r>
          </w:p>
        </w:tc>
      </w:tr>
      <w:tr w:rsidR="00102129" w:rsidTr="00102129">
        <w:tblPrEx>
          <w:tblCellMar>
            <w:top w:w="0" w:type="dxa"/>
            <w:bottom w:w="0" w:type="dxa"/>
          </w:tblCellMar>
        </w:tblPrEx>
        <w:trPr>
          <w:trHeight w:val="572"/>
        </w:trPr>
        <w:tc>
          <w:tcPr>
            <w:tcW w:w="3327" w:type="dxa"/>
            <w:shd w:val="clear" w:color="auto" w:fill="FFFFFF"/>
            <w:tcMar>
              <w:top w:w="80" w:type="dxa"/>
              <w:left w:w="100" w:type="dxa"/>
              <w:bottom w:w="80" w:type="dxa"/>
              <w:right w:w="100" w:type="dxa"/>
            </w:tcMar>
          </w:tcPr>
          <w:p w:rsidR="00102129" w:rsidRDefault="00102129" w:rsidP="00CE15F7">
            <w:r>
              <w:rPr>
                <w:color w:val="000000"/>
                <w:sz w:val="19"/>
                <w:szCs w:val="19"/>
              </w:rPr>
              <w:t>Signed anchor bank settlement partnership</w:t>
            </w:r>
          </w:p>
        </w:tc>
        <w:tc>
          <w:tcPr>
            <w:tcW w:w="1008" w:type="dxa"/>
            <w:shd w:val="clear" w:color="auto" w:fill="FFFFFF"/>
            <w:tcMar>
              <w:top w:w="80" w:type="dxa"/>
              <w:left w:w="100" w:type="dxa"/>
              <w:bottom w:w="80" w:type="dxa"/>
              <w:right w:w="100" w:type="dxa"/>
            </w:tcMar>
          </w:tcPr>
          <w:p w:rsidR="00102129" w:rsidRDefault="00102129" w:rsidP="00CE15F7">
            <w:r>
              <w:rPr>
                <w:color w:val="000000"/>
                <w:sz w:val="19"/>
                <w:szCs w:val="19"/>
              </w:rPr>
              <w:t>Y1</w:t>
            </w:r>
          </w:p>
        </w:tc>
        <w:tc>
          <w:tcPr>
            <w:tcW w:w="5091" w:type="dxa"/>
            <w:shd w:val="clear" w:color="auto" w:fill="FFFFFF"/>
            <w:tcMar>
              <w:top w:w="80" w:type="dxa"/>
              <w:left w:w="100" w:type="dxa"/>
              <w:bottom w:w="80" w:type="dxa"/>
              <w:right w:w="100" w:type="dxa"/>
            </w:tcMar>
          </w:tcPr>
          <w:p w:rsidR="00102129" w:rsidRDefault="00102129" w:rsidP="00CE15F7">
            <w:r>
              <w:rPr>
                <w:color w:val="000000"/>
                <w:sz w:val="19"/>
                <w:szCs w:val="19"/>
              </w:rPr>
              <w:t>Converts the model from theoretical to operational — the single highest-leverage early milestone.</w:t>
            </w:r>
          </w:p>
        </w:tc>
      </w:tr>
      <w:tr w:rsidR="00102129" w:rsidTr="00102129">
        <w:tblPrEx>
          <w:tblCellMar>
            <w:top w:w="0" w:type="dxa"/>
            <w:bottom w:w="0" w:type="dxa"/>
          </w:tblCellMar>
        </w:tblPrEx>
        <w:trPr>
          <w:trHeight w:val="829"/>
        </w:trPr>
        <w:tc>
          <w:tcPr>
            <w:tcW w:w="3327" w:type="dxa"/>
            <w:shd w:val="clear" w:color="auto" w:fill="F2F2F2"/>
            <w:tcMar>
              <w:top w:w="80" w:type="dxa"/>
              <w:left w:w="100" w:type="dxa"/>
              <w:bottom w:w="80" w:type="dxa"/>
              <w:right w:w="100" w:type="dxa"/>
            </w:tcMar>
          </w:tcPr>
          <w:p w:rsidR="00102129" w:rsidRDefault="00102129" w:rsidP="00CE15F7">
            <w:r>
              <w:rPr>
                <w:color w:val="000000"/>
                <w:sz w:val="19"/>
                <w:szCs w:val="19"/>
              </w:rPr>
              <w:t>Pilot corridor KPI targets met</w:t>
            </w:r>
          </w:p>
        </w:tc>
        <w:tc>
          <w:tcPr>
            <w:tcW w:w="1008" w:type="dxa"/>
            <w:shd w:val="clear" w:color="auto" w:fill="F2F2F2"/>
            <w:tcMar>
              <w:top w:w="80" w:type="dxa"/>
              <w:left w:w="100" w:type="dxa"/>
              <w:bottom w:w="80" w:type="dxa"/>
              <w:right w:w="100" w:type="dxa"/>
            </w:tcMar>
          </w:tcPr>
          <w:p w:rsidR="00102129" w:rsidRDefault="00102129" w:rsidP="00CE15F7">
            <w:r>
              <w:rPr>
                <w:color w:val="000000"/>
                <w:sz w:val="19"/>
                <w:szCs w:val="19"/>
              </w:rPr>
              <w:t>Y1</w:t>
            </w:r>
          </w:p>
        </w:tc>
        <w:tc>
          <w:tcPr>
            <w:tcW w:w="5091" w:type="dxa"/>
            <w:shd w:val="clear" w:color="auto" w:fill="F2F2F2"/>
            <w:tcMar>
              <w:top w:w="80" w:type="dxa"/>
              <w:left w:w="100" w:type="dxa"/>
              <w:bottom w:w="80" w:type="dxa"/>
              <w:right w:w="100" w:type="dxa"/>
            </w:tcMar>
          </w:tcPr>
          <w:p w:rsidR="00102129" w:rsidRDefault="00102129" w:rsidP="00CE15F7">
            <w:r>
              <w:rPr>
                <w:color w:val="000000"/>
                <w:sz w:val="19"/>
                <w:szCs w:val="19"/>
              </w:rPr>
              <w:t>Proves the core matching + dual-confirmation settlement mechanic works at real volume, and must happen fast to keep the 5-year clock on track.</w:t>
            </w:r>
          </w:p>
        </w:tc>
      </w:tr>
      <w:tr w:rsidR="00102129" w:rsidTr="00102129">
        <w:tblPrEx>
          <w:tblCellMar>
            <w:top w:w="0" w:type="dxa"/>
            <w:bottom w:w="0" w:type="dxa"/>
          </w:tblCellMar>
        </w:tblPrEx>
        <w:trPr>
          <w:trHeight w:val="849"/>
        </w:trPr>
        <w:tc>
          <w:tcPr>
            <w:tcW w:w="3327" w:type="dxa"/>
            <w:shd w:val="clear" w:color="auto" w:fill="FFFFFF"/>
            <w:tcMar>
              <w:top w:w="80" w:type="dxa"/>
              <w:left w:w="100" w:type="dxa"/>
              <w:bottom w:w="80" w:type="dxa"/>
              <w:right w:w="100" w:type="dxa"/>
            </w:tcMar>
          </w:tcPr>
          <w:p w:rsidR="00102129" w:rsidRDefault="00102129" w:rsidP="00CE15F7">
            <w:r>
              <w:rPr>
                <w:color w:val="000000"/>
                <w:sz w:val="19"/>
                <w:szCs w:val="19"/>
              </w:rPr>
              <w:t>Second bank partner signed in parallel with anchor-corridor scaling</w:t>
            </w:r>
          </w:p>
        </w:tc>
        <w:tc>
          <w:tcPr>
            <w:tcW w:w="1008" w:type="dxa"/>
            <w:shd w:val="clear" w:color="auto" w:fill="FFFFFF"/>
            <w:tcMar>
              <w:top w:w="80" w:type="dxa"/>
              <w:left w:w="100" w:type="dxa"/>
              <w:bottom w:w="80" w:type="dxa"/>
              <w:right w:w="100" w:type="dxa"/>
            </w:tcMar>
          </w:tcPr>
          <w:p w:rsidR="00102129" w:rsidRDefault="00102129" w:rsidP="00CE15F7">
            <w:r>
              <w:rPr>
                <w:color w:val="000000"/>
                <w:sz w:val="19"/>
                <w:szCs w:val="19"/>
              </w:rPr>
              <w:t>Y2</w:t>
            </w:r>
          </w:p>
        </w:tc>
        <w:tc>
          <w:tcPr>
            <w:tcW w:w="5091" w:type="dxa"/>
            <w:shd w:val="clear" w:color="auto" w:fill="FFFFFF"/>
            <w:tcMar>
              <w:top w:w="80" w:type="dxa"/>
              <w:left w:w="100" w:type="dxa"/>
              <w:bottom w:w="80" w:type="dxa"/>
              <w:right w:w="100" w:type="dxa"/>
            </w:tcMar>
          </w:tcPr>
          <w:p w:rsidR="00102129" w:rsidRDefault="00102129" w:rsidP="00CE15F7">
            <w:r>
              <w:rPr>
                <w:color w:val="000000"/>
                <w:sz w:val="19"/>
                <w:szCs w:val="19"/>
              </w:rPr>
              <w:t>Proves the multi-bank network thesis (Section 7.2) far earlier than a sequential plan would, directly justifying the accelerated Seed/Series A valuations.</w:t>
            </w:r>
          </w:p>
        </w:tc>
      </w:tr>
      <w:tr w:rsidR="00102129" w:rsidTr="00102129">
        <w:tblPrEx>
          <w:tblCellMar>
            <w:top w:w="0" w:type="dxa"/>
            <w:bottom w:w="0" w:type="dxa"/>
          </w:tblCellMar>
        </w:tblPrEx>
        <w:trPr>
          <w:trHeight w:val="554"/>
        </w:trPr>
        <w:tc>
          <w:tcPr>
            <w:tcW w:w="3327" w:type="dxa"/>
            <w:shd w:val="clear" w:color="auto" w:fill="F2F2F2"/>
            <w:tcMar>
              <w:top w:w="80" w:type="dxa"/>
              <w:left w:w="100" w:type="dxa"/>
              <w:bottom w:w="80" w:type="dxa"/>
              <w:right w:w="100" w:type="dxa"/>
            </w:tcMar>
          </w:tcPr>
          <w:p w:rsidR="00102129" w:rsidRDefault="00102129" w:rsidP="00CE15F7">
            <w:r>
              <w:rPr>
                <w:color w:val="000000"/>
                <w:sz w:val="19"/>
                <w:szCs w:val="19"/>
              </w:rPr>
              <w:t>Third and fourth corridors launched using the reusable playbook</w:t>
            </w:r>
          </w:p>
        </w:tc>
        <w:tc>
          <w:tcPr>
            <w:tcW w:w="1008" w:type="dxa"/>
            <w:shd w:val="clear" w:color="auto" w:fill="F2F2F2"/>
            <w:tcMar>
              <w:top w:w="80" w:type="dxa"/>
              <w:left w:w="100" w:type="dxa"/>
              <w:bottom w:w="80" w:type="dxa"/>
              <w:right w:w="100" w:type="dxa"/>
            </w:tcMar>
          </w:tcPr>
          <w:p w:rsidR="00102129" w:rsidRDefault="00102129" w:rsidP="00CE15F7">
            <w:r>
              <w:rPr>
                <w:color w:val="000000"/>
                <w:sz w:val="19"/>
                <w:szCs w:val="19"/>
              </w:rPr>
              <w:t>Y2–Y3</w:t>
            </w:r>
          </w:p>
        </w:tc>
        <w:tc>
          <w:tcPr>
            <w:tcW w:w="5091" w:type="dxa"/>
            <w:shd w:val="clear" w:color="auto" w:fill="F2F2F2"/>
            <w:tcMar>
              <w:top w:w="80" w:type="dxa"/>
              <w:left w:w="100" w:type="dxa"/>
              <w:bottom w:w="80" w:type="dxa"/>
              <w:right w:w="100" w:type="dxa"/>
            </w:tcMar>
          </w:tcPr>
          <w:p w:rsidR="00102129" w:rsidRDefault="00102129" w:rsidP="00CE15F7">
            <w:r>
              <w:rPr>
                <w:color w:val="000000"/>
                <w:sz w:val="19"/>
                <w:szCs w:val="19"/>
              </w:rPr>
              <w:t>Proves repeatability at a pace fast enough to matter for a 5-year outcome.</w:t>
            </w:r>
          </w:p>
        </w:tc>
      </w:tr>
      <w:tr w:rsidR="00102129" w:rsidTr="00102129">
        <w:tblPrEx>
          <w:tblCellMar>
            <w:top w:w="0" w:type="dxa"/>
            <w:bottom w:w="0" w:type="dxa"/>
          </w:tblCellMar>
        </w:tblPrEx>
        <w:trPr>
          <w:trHeight w:val="849"/>
        </w:trPr>
        <w:tc>
          <w:tcPr>
            <w:tcW w:w="3327" w:type="dxa"/>
            <w:shd w:val="clear" w:color="auto" w:fill="FFFFFF"/>
            <w:tcMar>
              <w:top w:w="80" w:type="dxa"/>
              <w:left w:w="100" w:type="dxa"/>
              <w:bottom w:w="80" w:type="dxa"/>
              <w:right w:w="100" w:type="dxa"/>
            </w:tcMar>
          </w:tcPr>
          <w:p w:rsidR="00102129" w:rsidRDefault="00102129" w:rsidP="00CE15F7">
            <w:r>
              <w:rPr>
                <w:color w:val="000000"/>
                <w:sz w:val="19"/>
                <w:szCs w:val="19"/>
              </w:rPr>
              <w:t>SME/trade-finance product line live</w:t>
            </w:r>
          </w:p>
        </w:tc>
        <w:tc>
          <w:tcPr>
            <w:tcW w:w="1008" w:type="dxa"/>
            <w:shd w:val="clear" w:color="auto" w:fill="FFFFFF"/>
            <w:tcMar>
              <w:top w:w="80" w:type="dxa"/>
              <w:left w:w="100" w:type="dxa"/>
              <w:bottom w:w="80" w:type="dxa"/>
              <w:right w:w="100" w:type="dxa"/>
            </w:tcMar>
          </w:tcPr>
          <w:p w:rsidR="00102129" w:rsidRDefault="00102129" w:rsidP="00CE15F7">
            <w:r>
              <w:rPr>
                <w:color w:val="000000"/>
                <w:sz w:val="19"/>
                <w:szCs w:val="19"/>
              </w:rPr>
              <w:t>Y3</w:t>
            </w:r>
          </w:p>
        </w:tc>
        <w:tc>
          <w:tcPr>
            <w:tcW w:w="5091" w:type="dxa"/>
            <w:shd w:val="clear" w:color="auto" w:fill="FFFFFF"/>
            <w:tcMar>
              <w:top w:w="80" w:type="dxa"/>
              <w:left w:w="100" w:type="dxa"/>
              <w:bottom w:w="80" w:type="dxa"/>
              <w:right w:w="100" w:type="dxa"/>
            </w:tcMar>
          </w:tcPr>
          <w:p w:rsidR="00102129" w:rsidRDefault="00102129" w:rsidP="00CE15F7">
            <w:r>
              <w:rPr>
                <w:color w:val="000000"/>
                <w:sz w:val="19"/>
                <w:szCs w:val="19"/>
              </w:rPr>
              <w:t>Expands average transaction size, directly improving the fee-model economics described in Section 5.4, earlier than the original plan.</w:t>
            </w:r>
          </w:p>
        </w:tc>
      </w:tr>
      <w:tr w:rsidR="00102129" w:rsidTr="00102129">
        <w:tblPrEx>
          <w:tblCellMar>
            <w:top w:w="0" w:type="dxa"/>
            <w:bottom w:w="0" w:type="dxa"/>
          </w:tblCellMar>
        </w:tblPrEx>
        <w:trPr>
          <w:trHeight w:val="829"/>
        </w:trPr>
        <w:tc>
          <w:tcPr>
            <w:tcW w:w="3327" w:type="dxa"/>
            <w:shd w:val="clear" w:color="auto" w:fill="F2F2F2"/>
            <w:tcMar>
              <w:top w:w="80" w:type="dxa"/>
              <w:left w:w="100" w:type="dxa"/>
              <w:bottom w:w="80" w:type="dxa"/>
              <w:right w:w="100" w:type="dxa"/>
            </w:tcMar>
          </w:tcPr>
          <w:p w:rsidR="00102129" w:rsidRDefault="00102129" w:rsidP="00CE15F7">
            <w:r>
              <w:rPr>
                <w:color w:val="000000"/>
                <w:sz w:val="19"/>
                <w:szCs w:val="19"/>
              </w:rPr>
              <w:t>9+ corridors, positive unit economics at the transaction level</w:t>
            </w:r>
          </w:p>
        </w:tc>
        <w:tc>
          <w:tcPr>
            <w:tcW w:w="1008" w:type="dxa"/>
            <w:shd w:val="clear" w:color="auto" w:fill="F2F2F2"/>
            <w:tcMar>
              <w:top w:w="80" w:type="dxa"/>
              <w:left w:w="100" w:type="dxa"/>
              <w:bottom w:w="80" w:type="dxa"/>
              <w:right w:w="100" w:type="dxa"/>
            </w:tcMar>
          </w:tcPr>
          <w:p w:rsidR="00102129" w:rsidRDefault="00102129" w:rsidP="00CE15F7">
            <w:r>
              <w:rPr>
                <w:color w:val="000000"/>
                <w:sz w:val="19"/>
                <w:szCs w:val="19"/>
              </w:rPr>
              <w:t>Y3–Y4</w:t>
            </w:r>
          </w:p>
        </w:tc>
        <w:tc>
          <w:tcPr>
            <w:tcW w:w="5091" w:type="dxa"/>
            <w:shd w:val="clear" w:color="auto" w:fill="F2F2F2"/>
            <w:tcMar>
              <w:top w:w="80" w:type="dxa"/>
              <w:left w:w="100" w:type="dxa"/>
              <w:bottom w:w="80" w:type="dxa"/>
              <w:right w:w="100" w:type="dxa"/>
            </w:tcMar>
          </w:tcPr>
          <w:p w:rsidR="00102129" w:rsidRDefault="00102129" w:rsidP="00CE15F7">
            <w:r>
              <w:rPr>
                <w:color w:val="000000"/>
                <w:sz w:val="19"/>
                <w:szCs w:val="19"/>
              </w:rPr>
              <w:t>Signals a repeatable, profitable core engine — typically the point where growth-stage investors re-rate a company sharply.</w:t>
            </w:r>
          </w:p>
        </w:tc>
      </w:tr>
      <w:tr w:rsidR="00102129" w:rsidTr="00102129">
        <w:tblPrEx>
          <w:tblCellMar>
            <w:top w:w="0" w:type="dxa"/>
            <w:bottom w:w="0" w:type="dxa"/>
          </w:tblCellMar>
        </w:tblPrEx>
        <w:trPr>
          <w:trHeight w:val="849"/>
        </w:trPr>
        <w:tc>
          <w:tcPr>
            <w:tcW w:w="3327" w:type="dxa"/>
            <w:shd w:val="clear" w:color="auto" w:fill="FFFFFF"/>
            <w:tcMar>
              <w:top w:w="80" w:type="dxa"/>
              <w:left w:w="100" w:type="dxa"/>
              <w:bottom w:w="80" w:type="dxa"/>
              <w:right w:w="100" w:type="dxa"/>
            </w:tcMar>
          </w:tcPr>
          <w:p w:rsidR="00102129" w:rsidRDefault="00102129" w:rsidP="00CE15F7">
            <w:r>
              <w:rPr>
                <w:color w:val="000000"/>
                <w:sz w:val="19"/>
                <w:szCs w:val="19"/>
              </w:rPr>
              <w:t>Embedded/white-label API available to third parties</w:t>
            </w:r>
          </w:p>
        </w:tc>
        <w:tc>
          <w:tcPr>
            <w:tcW w:w="1008" w:type="dxa"/>
            <w:shd w:val="clear" w:color="auto" w:fill="FFFFFF"/>
            <w:tcMar>
              <w:top w:w="80" w:type="dxa"/>
              <w:left w:w="100" w:type="dxa"/>
              <w:bottom w:w="80" w:type="dxa"/>
              <w:right w:w="100" w:type="dxa"/>
            </w:tcMar>
          </w:tcPr>
          <w:p w:rsidR="00102129" w:rsidRDefault="00102129" w:rsidP="00CE15F7">
            <w:r>
              <w:rPr>
                <w:color w:val="000000"/>
                <w:sz w:val="19"/>
                <w:szCs w:val="19"/>
              </w:rPr>
              <w:t>Y4</w:t>
            </w:r>
          </w:p>
        </w:tc>
        <w:tc>
          <w:tcPr>
            <w:tcW w:w="5091" w:type="dxa"/>
            <w:shd w:val="clear" w:color="auto" w:fill="FFFFFF"/>
            <w:tcMar>
              <w:top w:w="80" w:type="dxa"/>
              <w:left w:w="100" w:type="dxa"/>
              <w:bottom w:w="80" w:type="dxa"/>
              <w:right w:w="100" w:type="dxa"/>
            </w:tcMar>
          </w:tcPr>
          <w:p w:rsidR="00102129" w:rsidRDefault="00102129" w:rsidP="00CE15F7">
            <w:r>
              <w:rPr>
                <w:color w:val="000000"/>
                <w:sz w:val="19"/>
                <w:szCs w:val="19"/>
              </w:rPr>
              <w:t>Shifts the story from 'app' to 'infrastructure,' typically commanding a materially higher revenue multiple — pulled forward from Year 7–8 in the original plan.</w:t>
            </w:r>
          </w:p>
        </w:tc>
      </w:tr>
      <w:tr w:rsidR="00102129" w:rsidTr="00102129">
        <w:tblPrEx>
          <w:tblCellMar>
            <w:top w:w="0" w:type="dxa"/>
            <w:bottom w:w="0" w:type="dxa"/>
          </w:tblCellMar>
        </w:tblPrEx>
        <w:trPr>
          <w:trHeight w:val="554"/>
        </w:trPr>
        <w:tc>
          <w:tcPr>
            <w:tcW w:w="3327" w:type="dxa"/>
            <w:shd w:val="clear" w:color="auto" w:fill="F2F2F2"/>
            <w:tcMar>
              <w:top w:w="80" w:type="dxa"/>
              <w:left w:w="100" w:type="dxa"/>
              <w:bottom w:w="80" w:type="dxa"/>
              <w:right w:w="100" w:type="dxa"/>
            </w:tcMar>
          </w:tcPr>
          <w:p w:rsidR="00102129" w:rsidRDefault="00102129" w:rsidP="00CE15F7">
            <w:r>
              <w:rPr>
                <w:color w:val="000000"/>
                <w:sz w:val="19"/>
                <w:szCs w:val="19"/>
              </w:rPr>
              <w:t>Sustained EBITDA profitability at scale</w:t>
            </w:r>
          </w:p>
        </w:tc>
        <w:tc>
          <w:tcPr>
            <w:tcW w:w="1008" w:type="dxa"/>
            <w:shd w:val="clear" w:color="auto" w:fill="F2F2F2"/>
            <w:tcMar>
              <w:top w:w="80" w:type="dxa"/>
              <w:left w:w="100" w:type="dxa"/>
              <w:bottom w:w="80" w:type="dxa"/>
              <w:right w:w="100" w:type="dxa"/>
            </w:tcMar>
          </w:tcPr>
          <w:p w:rsidR="00102129" w:rsidRDefault="00102129" w:rsidP="00CE15F7">
            <w:r>
              <w:rPr>
                <w:color w:val="000000"/>
                <w:sz w:val="19"/>
                <w:szCs w:val="19"/>
              </w:rPr>
              <w:t>Y4–Y5</w:t>
            </w:r>
          </w:p>
        </w:tc>
        <w:tc>
          <w:tcPr>
            <w:tcW w:w="5091" w:type="dxa"/>
            <w:shd w:val="clear" w:color="auto" w:fill="F2F2F2"/>
            <w:tcMar>
              <w:top w:w="80" w:type="dxa"/>
              <w:left w:w="100" w:type="dxa"/>
              <w:bottom w:w="80" w:type="dxa"/>
              <w:right w:w="100" w:type="dxa"/>
            </w:tcMar>
          </w:tcPr>
          <w:p w:rsidR="00102129" w:rsidRDefault="00102129" w:rsidP="00CE15F7">
            <w:r>
              <w:rPr>
                <w:color w:val="000000"/>
                <w:sz w:val="19"/>
                <w:szCs w:val="19"/>
              </w:rPr>
              <w:t>Removes reliance on continued fundraising to survive, strengthening negotiating position and valuation floor.</w:t>
            </w:r>
          </w:p>
        </w:tc>
      </w:tr>
      <w:tr w:rsidR="00102129" w:rsidTr="00102129">
        <w:tblPrEx>
          <w:tblCellMar>
            <w:top w:w="0" w:type="dxa"/>
            <w:bottom w:w="0" w:type="dxa"/>
          </w:tblCellMar>
        </w:tblPrEx>
        <w:trPr>
          <w:trHeight w:val="554"/>
        </w:trPr>
        <w:tc>
          <w:tcPr>
            <w:tcW w:w="3327" w:type="dxa"/>
            <w:shd w:val="clear" w:color="auto" w:fill="FFFFFF"/>
            <w:tcMar>
              <w:top w:w="80" w:type="dxa"/>
              <w:left w:w="100" w:type="dxa"/>
              <w:bottom w:w="80" w:type="dxa"/>
              <w:right w:w="100" w:type="dxa"/>
            </w:tcMar>
          </w:tcPr>
          <w:p w:rsidR="00102129" w:rsidRDefault="00102129" w:rsidP="00CE15F7">
            <w:r>
              <w:rPr>
                <w:color w:val="000000"/>
                <w:sz w:val="19"/>
                <w:szCs w:val="19"/>
              </w:rPr>
              <w:t>Unicorn valuation threshold crossed (base case)</w:t>
            </w:r>
          </w:p>
        </w:tc>
        <w:tc>
          <w:tcPr>
            <w:tcW w:w="1008" w:type="dxa"/>
            <w:shd w:val="clear" w:color="auto" w:fill="FFFFFF"/>
            <w:tcMar>
              <w:top w:w="80" w:type="dxa"/>
              <w:left w:w="100" w:type="dxa"/>
              <w:bottom w:w="80" w:type="dxa"/>
              <w:right w:w="100" w:type="dxa"/>
            </w:tcMar>
          </w:tcPr>
          <w:p w:rsidR="00102129" w:rsidRDefault="00102129" w:rsidP="00CE15F7">
            <w:r>
              <w:rPr>
                <w:color w:val="000000"/>
                <w:sz w:val="19"/>
                <w:szCs w:val="19"/>
              </w:rPr>
              <w:t>Y5</w:t>
            </w:r>
          </w:p>
        </w:tc>
        <w:tc>
          <w:tcPr>
            <w:tcW w:w="5091" w:type="dxa"/>
            <w:shd w:val="clear" w:color="auto" w:fill="FFFFFF"/>
            <w:tcMar>
              <w:top w:w="80" w:type="dxa"/>
              <w:left w:w="100" w:type="dxa"/>
              <w:bottom w:w="80" w:type="dxa"/>
              <w:right w:w="100" w:type="dxa"/>
            </w:tcMar>
          </w:tcPr>
          <w:p w:rsidR="00102129" w:rsidRDefault="00102129" w:rsidP="00CE15F7">
            <w:r>
              <w:rPr>
                <w:color w:val="000000"/>
                <w:sz w:val="19"/>
                <w:szCs w:val="19"/>
              </w:rPr>
              <w:t>The headline target of this plan — contingent on all prior milestones landing close to schedule.</w:t>
            </w:r>
          </w:p>
        </w:tc>
      </w:tr>
    </w:tbl>
    <w:p w:rsidR="00102129" w:rsidRDefault="00102129" w:rsidP="00102129">
      <w:r>
        <w:br w:type="page"/>
      </w:r>
    </w:p>
    <w:p w:rsidR="00102129" w:rsidRDefault="00102129" w:rsidP="00102129">
      <w:pPr>
        <w:pStyle w:val="Heading1"/>
        <w:spacing w:before="360" w:after="200"/>
      </w:pPr>
      <w:r>
        <w:lastRenderedPageBreak/>
        <w:t>13. SWOT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02129" w:rsidTr="00CE15F7">
        <w:tblPrEx>
          <w:tblCellMar>
            <w:top w:w="0" w:type="dxa"/>
            <w:bottom w:w="0" w:type="dxa"/>
          </w:tblCellMar>
        </w:tblPrEx>
        <w:trPr>
          <w:tblHeader/>
        </w:trPr>
        <w:tc>
          <w:tcPr>
            <w:tcW w:w="4675" w:type="dxa"/>
            <w:shd w:val="clear" w:color="auto" w:fill="12284B"/>
            <w:tcMar>
              <w:top w:w="80" w:type="dxa"/>
              <w:left w:w="100" w:type="dxa"/>
              <w:bottom w:w="80" w:type="dxa"/>
              <w:right w:w="100" w:type="dxa"/>
            </w:tcMar>
          </w:tcPr>
          <w:p w:rsidR="00102129" w:rsidRDefault="00102129" w:rsidP="00CE15F7">
            <w:r>
              <w:rPr>
                <w:b/>
                <w:bCs/>
                <w:color w:val="FFFFFF"/>
                <w:sz w:val="19"/>
                <w:szCs w:val="19"/>
              </w:rPr>
              <w:t>Strengths</w:t>
            </w:r>
          </w:p>
        </w:tc>
        <w:tc>
          <w:tcPr>
            <w:tcW w:w="4675" w:type="dxa"/>
            <w:shd w:val="clear" w:color="auto" w:fill="12284B"/>
            <w:tcMar>
              <w:top w:w="80" w:type="dxa"/>
              <w:left w:w="100" w:type="dxa"/>
              <w:bottom w:w="80" w:type="dxa"/>
              <w:right w:w="100" w:type="dxa"/>
            </w:tcMar>
          </w:tcPr>
          <w:p w:rsidR="00102129" w:rsidRDefault="00102129" w:rsidP="00CE15F7">
            <w:r>
              <w:rPr>
                <w:b/>
                <w:bCs/>
                <w:color w:val="FFFFFF"/>
                <w:sz w:val="19"/>
                <w:szCs w:val="19"/>
              </w:rPr>
              <w:t>Weaknesses</w:t>
            </w:r>
          </w:p>
        </w:tc>
      </w:tr>
      <w:tr w:rsidR="00102129" w:rsidTr="00CE15F7">
        <w:tblPrEx>
          <w:tblCellMar>
            <w:top w:w="0" w:type="dxa"/>
            <w:bottom w:w="0" w:type="dxa"/>
          </w:tblCellMar>
        </w:tblPrEx>
        <w:tc>
          <w:tcPr>
            <w:tcW w:w="4675" w:type="dxa"/>
            <w:shd w:val="clear" w:color="auto" w:fill="FFFFFF"/>
            <w:tcMar>
              <w:top w:w="80" w:type="dxa"/>
              <w:left w:w="100" w:type="dxa"/>
              <w:bottom w:w="80" w:type="dxa"/>
              <w:right w:w="100" w:type="dxa"/>
            </w:tcMar>
          </w:tcPr>
          <w:p w:rsidR="00102129" w:rsidRDefault="00102129" w:rsidP="00CE15F7">
            <w:r>
              <w:rPr>
                <w:color w:val="000000"/>
                <w:sz w:val="19"/>
                <w:szCs w:val="19"/>
              </w:rPr>
              <w:t>Non-custodial, capital-light model; transparent, structurally cheaper flat-fee pricing; regulation-first posture; experienced, committed founding team</w:t>
            </w:r>
          </w:p>
        </w:tc>
        <w:tc>
          <w:tcPr>
            <w:tcW w:w="4675" w:type="dxa"/>
            <w:shd w:val="clear" w:color="auto" w:fill="FFFFFF"/>
            <w:tcMar>
              <w:top w:w="80" w:type="dxa"/>
              <w:left w:w="100" w:type="dxa"/>
              <w:bottom w:w="80" w:type="dxa"/>
              <w:right w:w="100" w:type="dxa"/>
            </w:tcMar>
          </w:tcPr>
          <w:p w:rsidR="00102129" w:rsidRDefault="00102129" w:rsidP="00CE15F7">
            <w:r>
              <w:rPr>
                <w:color w:val="000000"/>
                <w:sz w:val="19"/>
                <w:szCs w:val="19"/>
              </w:rPr>
              <w:t>Early-stage team credibility not yet backed by deep public track record; single anchor bank dependency in Year 1; advisor bios currently lack explicit financial-services credentials</w:t>
            </w:r>
          </w:p>
        </w:tc>
      </w:tr>
      <w:tr w:rsidR="00102129" w:rsidTr="00CE15F7">
        <w:tblPrEx>
          <w:tblCellMar>
            <w:top w:w="0" w:type="dxa"/>
            <w:bottom w:w="0" w:type="dxa"/>
          </w:tblCellMar>
        </w:tblPrEx>
        <w:trPr>
          <w:tblHeader/>
        </w:trPr>
        <w:tc>
          <w:tcPr>
            <w:tcW w:w="4675" w:type="dxa"/>
            <w:shd w:val="clear" w:color="auto" w:fill="12284B"/>
            <w:tcMar>
              <w:top w:w="80" w:type="dxa"/>
              <w:left w:w="100" w:type="dxa"/>
              <w:bottom w:w="80" w:type="dxa"/>
              <w:right w:w="100" w:type="dxa"/>
            </w:tcMar>
          </w:tcPr>
          <w:p w:rsidR="00102129" w:rsidRDefault="00102129" w:rsidP="00CE15F7">
            <w:r>
              <w:rPr>
                <w:b/>
                <w:bCs/>
                <w:color w:val="FFFFFF"/>
                <w:sz w:val="19"/>
                <w:szCs w:val="19"/>
              </w:rPr>
              <w:t>Opportunities</w:t>
            </w:r>
          </w:p>
        </w:tc>
        <w:tc>
          <w:tcPr>
            <w:tcW w:w="4675" w:type="dxa"/>
            <w:shd w:val="clear" w:color="auto" w:fill="12284B"/>
            <w:tcMar>
              <w:top w:w="80" w:type="dxa"/>
              <w:left w:w="100" w:type="dxa"/>
              <w:bottom w:w="80" w:type="dxa"/>
              <w:right w:w="100" w:type="dxa"/>
            </w:tcMar>
          </w:tcPr>
          <w:p w:rsidR="00102129" w:rsidRDefault="00102129" w:rsidP="00CE15F7">
            <w:r>
              <w:rPr>
                <w:b/>
                <w:bCs/>
                <w:color w:val="FFFFFF"/>
                <w:sz w:val="19"/>
                <w:szCs w:val="19"/>
              </w:rPr>
              <w:t>Threats</w:t>
            </w:r>
          </w:p>
        </w:tc>
      </w:tr>
      <w:tr w:rsidR="00102129" w:rsidTr="00CE15F7">
        <w:tblPrEx>
          <w:tblCellMar>
            <w:top w:w="0" w:type="dxa"/>
            <w:bottom w:w="0" w:type="dxa"/>
          </w:tblCellMar>
        </w:tblPrEx>
        <w:tc>
          <w:tcPr>
            <w:tcW w:w="4675" w:type="dxa"/>
            <w:shd w:val="clear" w:color="auto" w:fill="FFFFFF"/>
            <w:tcMar>
              <w:top w:w="80" w:type="dxa"/>
              <w:left w:w="100" w:type="dxa"/>
              <w:bottom w:w="80" w:type="dxa"/>
              <w:right w:w="100" w:type="dxa"/>
            </w:tcMar>
          </w:tcPr>
          <w:p w:rsidR="00102129" w:rsidRDefault="00102129" w:rsidP="00CE15F7">
            <w:r>
              <w:rPr>
                <w:color w:val="000000"/>
                <w:sz w:val="19"/>
                <w:szCs w:val="19"/>
              </w:rPr>
              <w:t>Large, underserved diaspora FX corridors; embedded/white-label expansion into other fintechs; genuine currency-stability/regulatory-alignment narrative that strengthens both fundraising and bank partnerships</w:t>
            </w:r>
          </w:p>
        </w:tc>
        <w:tc>
          <w:tcPr>
            <w:tcW w:w="4675" w:type="dxa"/>
            <w:shd w:val="clear" w:color="auto" w:fill="FFFFFF"/>
            <w:tcMar>
              <w:top w:w="80" w:type="dxa"/>
              <w:left w:w="100" w:type="dxa"/>
              <w:bottom w:w="80" w:type="dxa"/>
              <w:right w:w="100" w:type="dxa"/>
            </w:tcMar>
          </w:tcPr>
          <w:p w:rsidR="00102129" w:rsidRDefault="00102129" w:rsidP="00CE15F7">
            <w:r>
              <w:rPr>
                <w:color w:val="000000"/>
                <w:sz w:val="19"/>
                <w:szCs w:val="19"/>
              </w:rPr>
              <w:t>Competitive response from incumbents (LemFi and others) on pricing; regulatory change in any core corridor; execution risk inherent in a compressed 5-year timeline; matching-liquidity risk in thin corridors</w:t>
            </w:r>
          </w:p>
        </w:tc>
      </w:tr>
    </w:tbl>
    <w:p w:rsidR="00102129" w:rsidRDefault="00102129" w:rsidP="00102129">
      <w:pPr>
        <w:spacing w:before="60" w:after="200"/>
      </w:pPr>
      <w:r>
        <w:rPr>
          <w:i/>
          <w:iCs/>
          <w:color w:val="595959"/>
          <w:sz w:val="18"/>
          <w:szCs w:val="18"/>
        </w:rPr>
        <w:t>Table 13.1–13.2: A concise SWOT is included here as a standard element of world-class strategic planning documents; each item links back to a fuller discussion in Sections 6, 7, 9, and 15.</w:t>
      </w:r>
    </w:p>
    <w:p w:rsidR="00102129" w:rsidRDefault="00102129" w:rsidP="00102129">
      <w:r>
        <w:br w:type="page"/>
      </w:r>
    </w:p>
    <w:p w:rsidR="00102129" w:rsidRDefault="00102129" w:rsidP="00102129">
      <w:pPr>
        <w:pStyle w:val="Heading1"/>
        <w:spacing w:before="360" w:after="200"/>
      </w:pPr>
      <w:r>
        <w:lastRenderedPageBreak/>
        <w:t>14. Impact Thesis — Nigeria &amp; Global Currency Stability</w:t>
      </w:r>
    </w:p>
    <w:p w:rsidR="00102129" w:rsidRDefault="00102129" w:rsidP="00102129">
      <w:pPr>
        <w:pStyle w:val="Heading2"/>
        <w:spacing w:before="260" w:after="140"/>
      </w:pPr>
      <w:r>
        <w:t>14.1 Why This Is a Genuine Game-Changer, Not Just a Growth Story</w:t>
      </w:r>
    </w:p>
    <w:p w:rsidR="00102129" w:rsidRDefault="00102129" w:rsidP="00102129">
      <w:pPr>
        <w:pStyle w:val="ListParagraph"/>
        <w:numPr>
          <w:ilvl w:val="0"/>
          <w:numId w:val="11"/>
        </w:numPr>
        <w:spacing w:after="90"/>
      </w:pPr>
      <w:r>
        <w:t>Formalizing invisible flows: a meaningful share of real FX demand in Nigeria and comparable markets currently moves through informal or parallel channels precisely because formal channels are too expensive, too slow, or too scarce. Every transaction Xspeeria moves onto licensed, monitored bank rails is a transaction regulators and central banks can actually see.</w:t>
      </w:r>
    </w:p>
    <w:p w:rsidR="00102129" w:rsidRDefault="00102129" w:rsidP="00102129">
      <w:pPr>
        <w:pStyle w:val="ListParagraph"/>
        <w:numPr>
          <w:ilvl w:val="0"/>
          <w:numId w:val="11"/>
        </w:numPr>
        <w:spacing w:after="90"/>
      </w:pPr>
      <w:r>
        <w:t>Narrowing the parallel-market gap: by giving users a fast, licensed, competitively priced alternative to informal FX brokers, Xspeeria reduces the structural incentive to transact outside the formal system — which, at meaningful scale, can help narrow the gap between official and parallel exchange rates rather than widen it.</w:t>
      </w:r>
    </w:p>
    <w:p w:rsidR="00102129" w:rsidRDefault="00102129" w:rsidP="00102129">
      <w:pPr>
        <w:pStyle w:val="ListParagraph"/>
        <w:numPr>
          <w:ilvl w:val="0"/>
          <w:numId w:val="11"/>
        </w:numPr>
        <w:spacing w:after="90"/>
      </w:pPr>
      <w:r>
        <w:t>Better price discovery: because rates and fees are transparent and disclosed rather than buried in a spread, Xspeeria contributes to more informed, competitive FX pricing across the platforms operating in a given corridor — a public good beyond Xspeeria's own commercial interest.</w:t>
      </w:r>
    </w:p>
    <w:p w:rsidR="00102129" w:rsidRDefault="00102129" w:rsidP="00102129">
      <w:pPr>
        <w:pStyle w:val="ListParagraph"/>
        <w:numPr>
          <w:ilvl w:val="0"/>
          <w:numId w:val="11"/>
        </w:numPr>
        <w:spacing w:after="90"/>
      </w:pPr>
      <w:r>
        <w:t>Financial inclusion: SMEs, freelancers, and diaspora households who are underserved or over-charged by traditional cross-border banking gain a cheaper, faster, transparent channel — directly supporting trade and remittance-dependent livelihoods.</w:t>
      </w:r>
    </w:p>
    <w:p w:rsidR="00102129" w:rsidRDefault="00102129" w:rsidP="00102129">
      <w:pPr>
        <w:pStyle w:val="ListParagraph"/>
        <w:numPr>
          <w:ilvl w:val="0"/>
          <w:numId w:val="11"/>
        </w:numPr>
        <w:spacing w:after="90"/>
      </w:pPr>
      <w:r>
        <w:t>AML/CFT uplift, not erosion: because every transaction is tied to verified identity, screened, and settled through a licensed bank, formalizing this volume is a net gain for financial-crime visibility compared to the informal channels it displaces.</w:t>
      </w:r>
    </w:p>
    <w:p w:rsidR="00102129" w:rsidRDefault="00102129" w:rsidP="00102129">
      <w:pPr>
        <w:pStyle w:val="Heading2"/>
        <w:spacing w:before="260" w:after="140"/>
      </w:pPr>
      <w:r>
        <w:t>14.2 A Necessary Caveat</w:t>
      </w:r>
    </w:p>
    <w:p w:rsidR="00102129" w:rsidRDefault="00102129" w:rsidP="00102129">
      <w:pPr>
        <w:spacing w:after="160" w:line="300" w:lineRule="auto"/>
        <w:jc w:val="both"/>
      </w:pPr>
      <w:r>
        <w:t>These are directional, plausible effects of formalizing P2P FX flows at scale — not a guarantee that Xspeeria alone will materially move a national currency's parallel-market premium, and even less so on a compressed five-year timeline where scale takes longer to build than the headline valuation trajectory implies. The magnitude of any real macroeconomic effect depends on achieving genuine scale (a meaningful share of corridor volume), and should be described to regulators and partners as a contribution and an aligned incentive, not as a claim of causality that Xspeeria cannot yet substantiate with data.</w:t>
      </w:r>
    </w:p>
    <w:p w:rsidR="00102129" w:rsidRDefault="00102129" w:rsidP="00102129">
      <w:r>
        <w:br w:type="page"/>
      </w:r>
    </w:p>
    <w:p w:rsidR="00102129" w:rsidRDefault="00102129" w:rsidP="00102129">
      <w:pPr>
        <w:pStyle w:val="Heading1"/>
        <w:spacing w:before="360" w:after="200"/>
      </w:pPr>
      <w:r>
        <w:lastRenderedPageBreak/>
        <w:t>15. Risk Factors &amp; Mitigants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0"/>
      </w:tblGrid>
      <w:tr w:rsidR="00102129" w:rsidTr="00CE15F7">
        <w:tblPrEx>
          <w:tblCellMar>
            <w:top w:w="0" w:type="dxa"/>
            <w:bottom w:w="0" w:type="dxa"/>
          </w:tblCellMar>
        </w:tblPrEx>
        <w:trPr>
          <w:tblHeader/>
        </w:trPr>
        <w:tc>
          <w:tcPr>
            <w:tcW w:w="3500" w:type="dxa"/>
            <w:shd w:val="clear" w:color="auto" w:fill="12284B"/>
            <w:tcMar>
              <w:top w:w="80" w:type="dxa"/>
              <w:left w:w="100" w:type="dxa"/>
              <w:bottom w:w="80" w:type="dxa"/>
              <w:right w:w="100" w:type="dxa"/>
            </w:tcMar>
          </w:tcPr>
          <w:p w:rsidR="00102129" w:rsidRDefault="00102129" w:rsidP="00CE15F7">
            <w:r>
              <w:rPr>
                <w:b/>
                <w:bCs/>
                <w:color w:val="FFFFFF"/>
                <w:sz w:val="19"/>
                <w:szCs w:val="19"/>
              </w:rPr>
              <w:t>Risk</w:t>
            </w:r>
          </w:p>
        </w:tc>
        <w:tc>
          <w:tcPr>
            <w:tcW w:w="5850" w:type="dxa"/>
            <w:shd w:val="clear" w:color="auto" w:fill="12284B"/>
            <w:tcMar>
              <w:top w:w="80" w:type="dxa"/>
              <w:left w:w="100" w:type="dxa"/>
              <w:bottom w:w="80" w:type="dxa"/>
              <w:right w:w="100" w:type="dxa"/>
            </w:tcMar>
          </w:tcPr>
          <w:p w:rsidR="00102129" w:rsidRDefault="00102129" w:rsidP="00CE15F7">
            <w:r>
              <w:rPr>
                <w:b/>
                <w:bCs/>
                <w:color w:val="FFFFFF"/>
                <w:sz w:val="19"/>
                <w:szCs w:val="19"/>
              </w:rPr>
              <w:t>Mitigant</w:t>
            </w:r>
          </w:p>
        </w:tc>
      </w:tr>
      <w:tr w:rsidR="00102129" w:rsidTr="00CE15F7">
        <w:tblPrEx>
          <w:tblCellMar>
            <w:top w:w="0" w:type="dxa"/>
            <w:bottom w:w="0" w:type="dxa"/>
          </w:tblCellMar>
        </w:tblPrEx>
        <w:tc>
          <w:tcPr>
            <w:tcW w:w="3500" w:type="dxa"/>
            <w:shd w:val="clear" w:color="auto" w:fill="FFFFFF"/>
            <w:tcMar>
              <w:top w:w="80" w:type="dxa"/>
              <w:left w:w="100" w:type="dxa"/>
              <w:bottom w:w="80" w:type="dxa"/>
              <w:right w:w="100" w:type="dxa"/>
            </w:tcMar>
          </w:tcPr>
          <w:p w:rsidR="00102129" w:rsidRDefault="00102129" w:rsidP="00CE15F7">
            <w:r>
              <w:rPr>
                <w:color w:val="000000"/>
                <w:sz w:val="19"/>
                <w:szCs w:val="19"/>
              </w:rPr>
              <w:t>Compressed timeline outpaces regulatory approval speed in a given corridor</w:t>
            </w:r>
          </w:p>
        </w:tc>
        <w:tc>
          <w:tcPr>
            <w:tcW w:w="5850" w:type="dxa"/>
            <w:shd w:val="clear" w:color="auto" w:fill="FFFFFF"/>
            <w:tcMar>
              <w:top w:w="80" w:type="dxa"/>
              <w:left w:w="100" w:type="dxa"/>
              <w:bottom w:w="80" w:type="dxa"/>
              <w:right w:w="100" w:type="dxa"/>
            </w:tcMar>
          </w:tcPr>
          <w:p w:rsidR="00102129" w:rsidRDefault="00102129" w:rsidP="00CE15F7">
            <w:r>
              <w:rPr>
                <w:color w:val="000000"/>
                <w:sz w:val="19"/>
                <w:szCs w:val="19"/>
              </w:rPr>
              <w:t>Corridor sequencing (Section 8) is gated on actual licensing/legal-opinion status, not calendar targets alone; bear-case scenario (Section 10.4) explicitly models this slippage.</w:t>
            </w:r>
          </w:p>
        </w:tc>
      </w:tr>
      <w:tr w:rsidR="00102129" w:rsidTr="00CE15F7">
        <w:tblPrEx>
          <w:tblCellMar>
            <w:top w:w="0" w:type="dxa"/>
            <w:bottom w:w="0" w:type="dxa"/>
          </w:tblCellMar>
        </w:tblPrEx>
        <w:tc>
          <w:tcPr>
            <w:tcW w:w="3500" w:type="dxa"/>
            <w:shd w:val="clear" w:color="auto" w:fill="F2F2F2"/>
            <w:tcMar>
              <w:top w:w="80" w:type="dxa"/>
              <w:left w:w="100" w:type="dxa"/>
              <w:bottom w:w="80" w:type="dxa"/>
              <w:right w:w="100" w:type="dxa"/>
            </w:tcMar>
          </w:tcPr>
          <w:p w:rsidR="00102129" w:rsidRDefault="00102129" w:rsidP="00CE15F7">
            <w:r>
              <w:rPr>
                <w:color w:val="000000"/>
                <w:sz w:val="19"/>
                <w:szCs w:val="19"/>
              </w:rPr>
              <w:t>Single-bank dependency in Year 1</w:t>
            </w:r>
          </w:p>
        </w:tc>
        <w:tc>
          <w:tcPr>
            <w:tcW w:w="5850" w:type="dxa"/>
            <w:shd w:val="clear" w:color="auto" w:fill="F2F2F2"/>
            <w:tcMar>
              <w:top w:w="80" w:type="dxa"/>
              <w:left w:w="100" w:type="dxa"/>
              <w:bottom w:w="80" w:type="dxa"/>
              <w:right w:w="100" w:type="dxa"/>
            </w:tcMar>
          </w:tcPr>
          <w:p w:rsidR="00102129" w:rsidRDefault="00102129" w:rsidP="00CE15F7">
            <w:r>
              <w:rPr>
                <w:color w:val="000000"/>
                <w:sz w:val="19"/>
                <w:szCs w:val="19"/>
              </w:rPr>
              <w:t>Section 7.2's multi-bank roadmap is front-loaded into Year 2, not deferred — the most time-compressed element of this plan versus the original 10-year version.</w:t>
            </w:r>
          </w:p>
        </w:tc>
      </w:tr>
      <w:tr w:rsidR="00102129" w:rsidTr="00CE15F7">
        <w:tblPrEx>
          <w:tblCellMar>
            <w:top w:w="0" w:type="dxa"/>
            <w:bottom w:w="0" w:type="dxa"/>
          </w:tblCellMar>
        </w:tblPrEx>
        <w:tc>
          <w:tcPr>
            <w:tcW w:w="3500" w:type="dxa"/>
            <w:shd w:val="clear" w:color="auto" w:fill="FFFFFF"/>
            <w:tcMar>
              <w:top w:w="80" w:type="dxa"/>
              <w:left w:w="100" w:type="dxa"/>
              <w:bottom w:w="80" w:type="dxa"/>
              <w:right w:w="100" w:type="dxa"/>
            </w:tcMar>
          </w:tcPr>
          <w:p w:rsidR="00102129" w:rsidRDefault="00102129" w:rsidP="00CE15F7">
            <w:r>
              <w:rPr>
                <w:color w:val="000000"/>
                <w:sz w:val="19"/>
                <w:szCs w:val="19"/>
              </w:rPr>
              <w:t>Matching liquidity risk (no counterpart available) in thin, newly launched corridors</w:t>
            </w:r>
          </w:p>
        </w:tc>
        <w:tc>
          <w:tcPr>
            <w:tcW w:w="5850" w:type="dxa"/>
            <w:shd w:val="clear" w:color="auto" w:fill="FFFFFF"/>
            <w:tcMar>
              <w:top w:w="80" w:type="dxa"/>
              <w:left w:w="100" w:type="dxa"/>
              <w:bottom w:w="80" w:type="dxa"/>
              <w:right w:w="100" w:type="dxa"/>
            </w:tcMar>
          </w:tcPr>
          <w:p w:rsidR="00102129" w:rsidRDefault="00102129" w:rsidP="00CE15F7">
            <w:r>
              <w:rPr>
                <w:color w:val="000000"/>
                <w:sz w:val="19"/>
                <w:szCs w:val="19"/>
              </w:rPr>
              <w:t>Corridor sequencing prioritizes corridors with proven two-way demand; AI-assisted rate/timing suggestions to improve match likelihood; new corridors launched only after prior corridor KPI gates are met.</w:t>
            </w:r>
          </w:p>
        </w:tc>
      </w:tr>
      <w:tr w:rsidR="00102129" w:rsidTr="00CE15F7">
        <w:tblPrEx>
          <w:tblCellMar>
            <w:top w:w="0" w:type="dxa"/>
            <w:bottom w:w="0" w:type="dxa"/>
          </w:tblCellMar>
        </w:tblPrEx>
        <w:tc>
          <w:tcPr>
            <w:tcW w:w="3500" w:type="dxa"/>
            <w:shd w:val="clear" w:color="auto" w:fill="F2F2F2"/>
            <w:tcMar>
              <w:top w:w="80" w:type="dxa"/>
              <w:left w:w="100" w:type="dxa"/>
              <w:bottom w:w="80" w:type="dxa"/>
              <w:right w:w="100" w:type="dxa"/>
            </w:tcMar>
          </w:tcPr>
          <w:p w:rsidR="00102129" w:rsidRDefault="00102129" w:rsidP="00CE15F7">
            <w:r>
              <w:rPr>
                <w:color w:val="000000"/>
                <w:sz w:val="19"/>
                <w:szCs w:val="19"/>
              </w:rPr>
              <w:t>Currency volatility disrupting one-sided funding windows</w:t>
            </w:r>
          </w:p>
        </w:tc>
        <w:tc>
          <w:tcPr>
            <w:tcW w:w="5850" w:type="dxa"/>
            <w:shd w:val="clear" w:color="auto" w:fill="F2F2F2"/>
            <w:tcMar>
              <w:top w:w="80" w:type="dxa"/>
              <w:left w:w="100" w:type="dxa"/>
              <w:bottom w:w="80" w:type="dxa"/>
              <w:right w:w="100" w:type="dxa"/>
            </w:tcMar>
          </w:tcPr>
          <w:p w:rsidR="00102129" w:rsidRDefault="00102129" w:rsidP="00CE15F7">
            <w:r>
              <w:rPr>
                <w:color w:val="000000"/>
                <w:sz w:val="19"/>
                <w:szCs w:val="19"/>
              </w:rPr>
              <w:t>Dual-confirmation settlement (no release until both legs are funded) removes Xspeeria's own exposure to this risk; timeout/re-match handling covers the user-level impact.</w:t>
            </w:r>
          </w:p>
        </w:tc>
      </w:tr>
      <w:tr w:rsidR="00102129" w:rsidTr="00CE15F7">
        <w:tblPrEx>
          <w:tblCellMar>
            <w:top w:w="0" w:type="dxa"/>
            <w:bottom w:w="0" w:type="dxa"/>
          </w:tblCellMar>
        </w:tblPrEx>
        <w:tc>
          <w:tcPr>
            <w:tcW w:w="3500" w:type="dxa"/>
            <w:shd w:val="clear" w:color="auto" w:fill="FFFFFF"/>
            <w:tcMar>
              <w:top w:w="80" w:type="dxa"/>
              <w:left w:w="100" w:type="dxa"/>
              <w:bottom w:w="80" w:type="dxa"/>
              <w:right w:w="100" w:type="dxa"/>
            </w:tcMar>
          </w:tcPr>
          <w:p w:rsidR="00102129" w:rsidRDefault="00102129" w:rsidP="00CE15F7">
            <w:r>
              <w:rPr>
                <w:color w:val="000000"/>
                <w:sz w:val="19"/>
                <w:szCs w:val="19"/>
              </w:rPr>
              <w:t>Competitive response from incumbents (LemFi and others) on pricing</w:t>
            </w:r>
          </w:p>
        </w:tc>
        <w:tc>
          <w:tcPr>
            <w:tcW w:w="5850" w:type="dxa"/>
            <w:shd w:val="clear" w:color="auto" w:fill="FFFFFF"/>
            <w:tcMar>
              <w:top w:w="80" w:type="dxa"/>
              <w:left w:w="100" w:type="dxa"/>
              <w:bottom w:w="80" w:type="dxa"/>
              <w:right w:w="100" w:type="dxa"/>
            </w:tcMar>
          </w:tcPr>
          <w:p w:rsidR="00102129" w:rsidRDefault="00102129" w:rsidP="00CE15F7">
            <w:r>
              <w:rPr>
                <w:color w:val="000000"/>
                <w:sz w:val="19"/>
                <w:szCs w:val="19"/>
              </w:rPr>
              <w:t>Section 5's structural cost advantage grows with transaction size, aligning with Xspeeria's differentiated SME/trade focus rather than competing head-on for the smallest transfers.</w:t>
            </w:r>
          </w:p>
        </w:tc>
      </w:tr>
      <w:tr w:rsidR="00102129" w:rsidTr="00CE15F7">
        <w:tblPrEx>
          <w:tblCellMar>
            <w:top w:w="0" w:type="dxa"/>
            <w:bottom w:w="0" w:type="dxa"/>
          </w:tblCellMar>
        </w:tblPrEx>
        <w:tc>
          <w:tcPr>
            <w:tcW w:w="3500" w:type="dxa"/>
            <w:shd w:val="clear" w:color="auto" w:fill="F2F2F2"/>
            <w:tcMar>
              <w:top w:w="80" w:type="dxa"/>
              <w:left w:w="100" w:type="dxa"/>
              <w:bottom w:w="80" w:type="dxa"/>
              <w:right w:w="100" w:type="dxa"/>
            </w:tcMar>
          </w:tcPr>
          <w:p w:rsidR="00102129" w:rsidRDefault="00102129" w:rsidP="00CE15F7">
            <w:r>
              <w:rPr>
                <w:color w:val="000000"/>
                <w:sz w:val="19"/>
                <w:szCs w:val="19"/>
              </w:rPr>
              <w:t>Capital-raise cadence outruns actual milestone delivery</w:t>
            </w:r>
          </w:p>
        </w:tc>
        <w:tc>
          <w:tcPr>
            <w:tcW w:w="5850" w:type="dxa"/>
            <w:shd w:val="clear" w:color="auto" w:fill="F2F2F2"/>
            <w:tcMar>
              <w:top w:w="80" w:type="dxa"/>
              <w:left w:w="100" w:type="dxa"/>
              <w:bottom w:w="80" w:type="dxa"/>
              <w:right w:w="100" w:type="dxa"/>
            </w:tcMar>
          </w:tcPr>
          <w:p w:rsidR="00102129" w:rsidRDefault="00102129" w:rsidP="00CE15F7">
            <w:r>
              <w:rPr>
                <w:color w:val="000000"/>
                <w:sz w:val="19"/>
                <w:szCs w:val="19"/>
              </w:rPr>
              <w:t>Phase-gated capital raise (Section 11) ties each round to demonstrated milestones (Section 12); the board should be prepared to slow the raise cadence toward the original 10-year pacing if milestones slip, rather than raising ahead of proof points.</w:t>
            </w:r>
          </w:p>
        </w:tc>
      </w:tr>
      <w:tr w:rsidR="00102129" w:rsidTr="00CE15F7">
        <w:tblPrEx>
          <w:tblCellMar>
            <w:top w:w="0" w:type="dxa"/>
            <w:bottom w:w="0" w:type="dxa"/>
          </w:tblCellMar>
        </w:tblPrEx>
        <w:tc>
          <w:tcPr>
            <w:tcW w:w="3500" w:type="dxa"/>
            <w:shd w:val="clear" w:color="auto" w:fill="FFFFFF"/>
            <w:tcMar>
              <w:top w:w="80" w:type="dxa"/>
              <w:left w:w="100" w:type="dxa"/>
              <w:bottom w:w="80" w:type="dxa"/>
              <w:right w:w="100" w:type="dxa"/>
            </w:tcMar>
          </w:tcPr>
          <w:p w:rsidR="00102129" w:rsidRDefault="00102129" w:rsidP="00CE15F7">
            <w:r>
              <w:rPr>
                <w:color w:val="000000"/>
                <w:sz w:val="19"/>
                <w:szCs w:val="19"/>
              </w:rPr>
              <w:t>Team/governance credibility gap for a fast-moving fintech-bank partnership</w:t>
            </w:r>
          </w:p>
        </w:tc>
        <w:tc>
          <w:tcPr>
            <w:tcW w:w="5850" w:type="dxa"/>
            <w:shd w:val="clear" w:color="auto" w:fill="FFFFFF"/>
            <w:tcMar>
              <w:top w:w="80" w:type="dxa"/>
              <w:left w:w="100" w:type="dxa"/>
              <w:bottom w:w="80" w:type="dxa"/>
              <w:right w:w="100" w:type="dxa"/>
            </w:tcMar>
          </w:tcPr>
          <w:p w:rsidR="00102129" w:rsidRDefault="00102129" w:rsidP="00CE15F7">
            <w:r>
              <w:rPr>
                <w:color w:val="000000"/>
                <w:sz w:val="19"/>
                <w:szCs w:val="19"/>
              </w:rPr>
              <w:t>Section 9.3's near-term governance additions (MLRO, CFO, banking-experienced board seat) should be prioritized in Year 1, not deferred, given the compressed external-facing timeline.</w:t>
            </w:r>
          </w:p>
        </w:tc>
      </w:tr>
    </w:tbl>
    <w:p w:rsidR="00102129" w:rsidRDefault="00102129" w:rsidP="00102129">
      <w:r>
        <w:br w:type="page"/>
      </w:r>
    </w:p>
    <w:p w:rsidR="00102129" w:rsidRDefault="00102129" w:rsidP="00102129">
      <w:pPr>
        <w:pStyle w:val="Heading1"/>
        <w:spacing w:before="360" w:after="200"/>
      </w:pPr>
      <w:r>
        <w:lastRenderedPageBreak/>
        <w:t>16. Exit Strategy &amp; Long-Term Optionality</w:t>
      </w:r>
    </w:p>
    <w:p w:rsidR="00102129" w:rsidRDefault="00102129" w:rsidP="00102129">
      <w:pPr>
        <w:spacing w:after="160" w:line="300" w:lineRule="auto"/>
        <w:jc w:val="both"/>
      </w:pPr>
      <w:r>
        <w:t>A world-class plan sets out, even at this early stage, what a realistic path beyond Year 5 looks like — not to commit to a specific outcome, but to demonstrate to investors and banking partners that the company is being built toward a durable, well-governed endpoint rather than an open-ended fundraising cycle.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600"/>
        <w:gridCol w:w="2650"/>
      </w:tblGrid>
      <w:tr w:rsidR="00102129" w:rsidTr="00CE15F7">
        <w:tblPrEx>
          <w:tblCellMar>
            <w:top w:w="0" w:type="dxa"/>
            <w:bottom w:w="0" w:type="dxa"/>
          </w:tblCellMar>
        </w:tblPrEx>
        <w:trPr>
          <w:tblHeader/>
        </w:trPr>
        <w:tc>
          <w:tcPr>
            <w:tcW w:w="2100" w:type="dxa"/>
            <w:shd w:val="clear" w:color="auto" w:fill="12284B"/>
            <w:tcMar>
              <w:top w:w="80" w:type="dxa"/>
              <w:left w:w="100" w:type="dxa"/>
              <w:bottom w:w="80" w:type="dxa"/>
              <w:right w:w="100" w:type="dxa"/>
            </w:tcMar>
          </w:tcPr>
          <w:p w:rsidR="00102129" w:rsidRDefault="00102129" w:rsidP="00CE15F7">
            <w:r>
              <w:rPr>
                <w:b/>
                <w:bCs/>
                <w:color w:val="FFFFFF"/>
                <w:sz w:val="19"/>
                <w:szCs w:val="19"/>
              </w:rPr>
              <w:t>Path</w:t>
            </w:r>
          </w:p>
        </w:tc>
        <w:tc>
          <w:tcPr>
            <w:tcW w:w="4600" w:type="dxa"/>
            <w:shd w:val="clear" w:color="auto" w:fill="12284B"/>
            <w:tcMar>
              <w:top w:w="80" w:type="dxa"/>
              <w:left w:w="100" w:type="dxa"/>
              <w:bottom w:w="80" w:type="dxa"/>
              <w:right w:w="100" w:type="dxa"/>
            </w:tcMar>
          </w:tcPr>
          <w:p w:rsidR="00102129" w:rsidRDefault="00102129" w:rsidP="00CE15F7">
            <w:r>
              <w:rPr>
                <w:b/>
                <w:bCs/>
                <w:color w:val="FFFFFF"/>
                <w:sz w:val="19"/>
                <w:szCs w:val="19"/>
              </w:rPr>
              <w:t>Description</w:t>
            </w:r>
          </w:p>
        </w:tc>
        <w:tc>
          <w:tcPr>
            <w:tcW w:w="2650" w:type="dxa"/>
            <w:shd w:val="clear" w:color="auto" w:fill="12284B"/>
            <w:tcMar>
              <w:top w:w="80" w:type="dxa"/>
              <w:left w:w="100" w:type="dxa"/>
              <w:bottom w:w="80" w:type="dxa"/>
              <w:right w:w="100" w:type="dxa"/>
            </w:tcMar>
          </w:tcPr>
          <w:p w:rsidR="00102129" w:rsidRDefault="00102129" w:rsidP="00CE15F7">
            <w:r>
              <w:rPr>
                <w:b/>
                <w:bCs/>
                <w:color w:val="FFFFFF"/>
                <w:sz w:val="19"/>
                <w:szCs w:val="19"/>
              </w:rPr>
              <w:t>Readiness Requirement</w:t>
            </w:r>
          </w:p>
        </w:tc>
      </w:tr>
      <w:tr w:rsidR="00102129" w:rsidTr="00CE15F7">
        <w:tblPrEx>
          <w:tblCellMar>
            <w:top w:w="0" w:type="dxa"/>
            <w:bottom w:w="0" w:type="dxa"/>
          </w:tblCellMar>
        </w:tblPrEx>
        <w:tc>
          <w:tcPr>
            <w:tcW w:w="2100" w:type="dxa"/>
            <w:shd w:val="clear" w:color="auto" w:fill="FFFFFF"/>
            <w:tcMar>
              <w:top w:w="80" w:type="dxa"/>
              <w:left w:w="100" w:type="dxa"/>
              <w:bottom w:w="80" w:type="dxa"/>
              <w:right w:w="100" w:type="dxa"/>
            </w:tcMar>
          </w:tcPr>
          <w:p w:rsidR="00102129" w:rsidRDefault="00102129" w:rsidP="00CE15F7">
            <w:r>
              <w:rPr>
                <w:color w:val="000000"/>
                <w:sz w:val="19"/>
                <w:szCs w:val="19"/>
              </w:rPr>
              <w:t>Continued private growth</w:t>
            </w:r>
          </w:p>
        </w:tc>
        <w:tc>
          <w:tcPr>
            <w:tcW w:w="4600" w:type="dxa"/>
            <w:shd w:val="clear" w:color="auto" w:fill="FFFFFF"/>
            <w:tcMar>
              <w:top w:w="80" w:type="dxa"/>
              <w:left w:w="100" w:type="dxa"/>
              <w:bottom w:w="80" w:type="dxa"/>
              <w:right w:w="100" w:type="dxa"/>
            </w:tcMar>
          </w:tcPr>
          <w:p w:rsidR="00102129" w:rsidRDefault="00102129" w:rsidP="00CE15F7">
            <w:r>
              <w:rPr>
                <w:color w:val="000000"/>
                <w:sz w:val="19"/>
                <w:szCs w:val="19"/>
              </w:rPr>
              <w:t>Additional growth-stage rounds beyond Year 5 to fund further geographic and product expansion, deferring a liquidity event.</w:t>
            </w:r>
          </w:p>
        </w:tc>
        <w:tc>
          <w:tcPr>
            <w:tcW w:w="2650" w:type="dxa"/>
            <w:shd w:val="clear" w:color="auto" w:fill="FFFFFF"/>
            <w:tcMar>
              <w:top w:w="80" w:type="dxa"/>
              <w:left w:w="100" w:type="dxa"/>
              <w:bottom w:w="80" w:type="dxa"/>
              <w:right w:w="100" w:type="dxa"/>
            </w:tcMar>
          </w:tcPr>
          <w:p w:rsidR="00102129" w:rsidRDefault="00102129" w:rsidP="00CE15F7">
            <w:r>
              <w:rPr>
                <w:color w:val="000000"/>
                <w:sz w:val="19"/>
                <w:szCs w:val="19"/>
              </w:rPr>
              <w:t>Sustained EBITDA profitability; diversified multi-bank network; no single-market concentration risk.</w:t>
            </w:r>
          </w:p>
        </w:tc>
      </w:tr>
      <w:tr w:rsidR="00102129" w:rsidTr="00CE15F7">
        <w:tblPrEx>
          <w:tblCellMar>
            <w:top w:w="0" w:type="dxa"/>
            <w:bottom w:w="0" w:type="dxa"/>
          </w:tblCellMar>
        </w:tblPrEx>
        <w:tc>
          <w:tcPr>
            <w:tcW w:w="2100" w:type="dxa"/>
            <w:shd w:val="clear" w:color="auto" w:fill="F2F2F2"/>
            <w:tcMar>
              <w:top w:w="80" w:type="dxa"/>
              <w:left w:w="100" w:type="dxa"/>
              <w:bottom w:w="80" w:type="dxa"/>
              <w:right w:w="100" w:type="dxa"/>
            </w:tcMar>
          </w:tcPr>
          <w:p w:rsidR="00102129" w:rsidRDefault="00102129" w:rsidP="00CE15F7">
            <w:r>
              <w:rPr>
                <w:color w:val="000000"/>
                <w:sz w:val="19"/>
                <w:szCs w:val="19"/>
              </w:rPr>
              <w:t>Strategic acquisition</w:t>
            </w:r>
          </w:p>
        </w:tc>
        <w:tc>
          <w:tcPr>
            <w:tcW w:w="4600" w:type="dxa"/>
            <w:shd w:val="clear" w:color="auto" w:fill="F2F2F2"/>
            <w:tcMar>
              <w:top w:w="80" w:type="dxa"/>
              <w:left w:w="100" w:type="dxa"/>
              <w:bottom w:w="80" w:type="dxa"/>
              <w:right w:w="100" w:type="dxa"/>
            </w:tcMar>
          </w:tcPr>
          <w:p w:rsidR="00102129" w:rsidRDefault="00102129" w:rsidP="00CE15F7">
            <w:r>
              <w:rPr>
                <w:color w:val="000000"/>
                <w:sz w:val="19"/>
                <w:szCs w:val="19"/>
              </w:rPr>
              <w:t>Acquisition by a larger fintech, payments network, or bank seeking the matching-engine/multi-bank-network technology and corridor footprint outright.</w:t>
            </w:r>
          </w:p>
        </w:tc>
        <w:tc>
          <w:tcPr>
            <w:tcW w:w="2650" w:type="dxa"/>
            <w:shd w:val="clear" w:color="auto" w:fill="F2F2F2"/>
            <w:tcMar>
              <w:top w:w="80" w:type="dxa"/>
              <w:left w:w="100" w:type="dxa"/>
              <w:bottom w:w="80" w:type="dxa"/>
              <w:right w:w="100" w:type="dxa"/>
            </w:tcMar>
          </w:tcPr>
          <w:p w:rsidR="00102129" w:rsidRDefault="00102129" w:rsidP="00CE15F7">
            <w:r>
              <w:rPr>
                <w:color w:val="000000"/>
                <w:sz w:val="19"/>
                <w:szCs w:val="19"/>
              </w:rPr>
              <w:t>Clean, auditable financials; defensible IP and compliance track record; no unresolved regulatory issues in any corridor.</w:t>
            </w:r>
          </w:p>
        </w:tc>
      </w:tr>
      <w:tr w:rsidR="00102129" w:rsidTr="00CE15F7">
        <w:tblPrEx>
          <w:tblCellMar>
            <w:top w:w="0" w:type="dxa"/>
            <w:bottom w:w="0" w:type="dxa"/>
          </w:tblCellMar>
        </w:tblPrEx>
        <w:tc>
          <w:tcPr>
            <w:tcW w:w="2100" w:type="dxa"/>
            <w:shd w:val="clear" w:color="auto" w:fill="FFFFFF"/>
            <w:tcMar>
              <w:top w:w="80" w:type="dxa"/>
              <w:left w:w="100" w:type="dxa"/>
              <w:bottom w:w="80" w:type="dxa"/>
              <w:right w:w="100" w:type="dxa"/>
            </w:tcMar>
          </w:tcPr>
          <w:p w:rsidR="00102129" w:rsidRDefault="00102129" w:rsidP="00CE15F7">
            <w:r>
              <w:rPr>
                <w:color w:val="000000"/>
                <w:sz w:val="19"/>
                <w:szCs w:val="19"/>
              </w:rPr>
              <w:t>Initial Public Offering (IPO)</w:t>
            </w:r>
          </w:p>
        </w:tc>
        <w:tc>
          <w:tcPr>
            <w:tcW w:w="4600" w:type="dxa"/>
            <w:shd w:val="clear" w:color="auto" w:fill="FFFFFF"/>
            <w:tcMar>
              <w:top w:w="80" w:type="dxa"/>
              <w:left w:w="100" w:type="dxa"/>
              <w:bottom w:w="80" w:type="dxa"/>
              <w:right w:w="100" w:type="dxa"/>
            </w:tcMar>
          </w:tcPr>
          <w:p w:rsidR="00102129" w:rsidRDefault="00102129" w:rsidP="00CE15F7">
            <w:r>
              <w:rPr>
                <w:color w:val="000000"/>
                <w:sz w:val="19"/>
                <w:szCs w:val="19"/>
              </w:rPr>
              <w:t>Public listing once governance, audit, and multi-year financial-reporting standards are met.</w:t>
            </w:r>
          </w:p>
        </w:tc>
        <w:tc>
          <w:tcPr>
            <w:tcW w:w="2650" w:type="dxa"/>
            <w:shd w:val="clear" w:color="auto" w:fill="FFFFFF"/>
            <w:tcMar>
              <w:top w:w="80" w:type="dxa"/>
              <w:left w:w="100" w:type="dxa"/>
              <w:bottom w:w="80" w:type="dxa"/>
              <w:right w:w="100" w:type="dxa"/>
            </w:tcMar>
          </w:tcPr>
          <w:p w:rsidR="00102129" w:rsidRDefault="00102129" w:rsidP="00CE15F7">
            <w:r>
              <w:rPr>
                <w:color w:val="000000"/>
                <w:sz w:val="19"/>
                <w:szCs w:val="19"/>
              </w:rPr>
              <w:t>Multi-year audited financials; mature board and governance structure; demonstrated regulatory standing across all active jurisdictions.</w:t>
            </w:r>
          </w:p>
        </w:tc>
      </w:tr>
    </w:tbl>
    <w:p w:rsidR="00102129" w:rsidRDefault="00102129" w:rsidP="00102129">
      <w:pPr>
        <w:spacing w:after="160" w:line="300" w:lineRule="auto"/>
        <w:jc w:val="both"/>
      </w:pPr>
      <w:r>
        <w:t>None of these paths should be prioritized prematurely — the near-term priority remains executing the pilot and proving the multi-bank model described in Sections 7–12. This section exists to show the board and prospective partners that the long-term picture has been thought through, not to commit to a specific exit timeline.</w:t>
      </w:r>
    </w:p>
    <w:p w:rsidR="00102129" w:rsidRDefault="00102129" w:rsidP="00102129">
      <w:r>
        <w:br w:type="page"/>
      </w:r>
    </w:p>
    <w:p w:rsidR="00102129" w:rsidRDefault="00102129" w:rsidP="00102129">
      <w:pPr>
        <w:pStyle w:val="Heading1"/>
        <w:spacing w:before="360" w:after="200"/>
      </w:pPr>
      <w:r>
        <w:lastRenderedPageBreak/>
        <w:t>17. Conclusion &amp; The Ask</w:t>
      </w:r>
    </w:p>
    <w:p w:rsidR="00102129" w:rsidRDefault="00102129" w:rsidP="00102129">
      <w:pPr>
        <w:spacing w:after="160" w:line="300" w:lineRule="auto"/>
        <w:jc w:val="both"/>
      </w:pPr>
      <w:r>
        <w:t>Xspeeria's accelerated path to significant scale rests on a genuinely differentiated, structurally cheaper pricing model; a capital-efficient, non-custodial architecture that avoids the balance-sheet burden of a traditional FX or remittance business; a deliberately front-loaded multi-bank network strategy that removes single-partner dependency earlier than a standard plan; and a public-interest dimension — currency-market transparency and financial inclusion — that strengthens, rather than competes with, its commercial case.</w:t>
      </w:r>
    </w:p>
    <w:p w:rsidR="00540B26" w:rsidRDefault="00102129" w:rsidP="00102129">
      <w:pPr>
        <w:pStyle w:val="Heading1"/>
        <w:tabs>
          <w:tab w:val="left" w:pos="7660"/>
        </w:tabs>
        <w:spacing w:before="360" w:after="200"/>
      </w:pPr>
      <w:r>
        <w:rPr>
          <w:b w:val="0"/>
          <w:bCs w:val="0"/>
          <w:sz w:val="22"/>
          <w:szCs w:val="22"/>
        </w:rPr>
        <w:t>The immediate ask, consistent with the main Business Proposal and Project Implementation Plan, is: (1) a signed anchor settlement-bank partnership to begin Phase 1, and (2) a pre-seed raise (Section 11) to fund the 12-month sandbox budget. Every subsequent milestone in this plan is gated on real performance data from that pilot — and the board should treat the bear-case scenario in Section 10.4, not just the base case, as the plan to be prepared for. This document is the strategic scaffold; the pilot is what will actually</w:t>
      </w:r>
    </w:p>
    <w:sectPr w:rsidR="00540B26">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B2585" w:rsidRDefault="004B2585">
      <w:r>
        <w:separator/>
      </w:r>
    </w:p>
  </w:endnote>
  <w:endnote w:type="continuationSeparator" w:id="0">
    <w:p w:rsidR="004B2585" w:rsidRDefault="004B2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64E6"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67ABB">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67AB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B2585" w:rsidRDefault="004B2585">
      <w:r>
        <w:separator/>
      </w:r>
    </w:p>
  </w:footnote>
  <w:footnote w:type="continuationSeparator" w:id="0">
    <w:p w:rsidR="004B2585" w:rsidRDefault="004B2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64E6" w:rsidRPr="00872019" w:rsidRDefault="00000000" w:rsidP="00033B1A">
    <w:pPr>
      <w:jc w:val="right"/>
      <w:rPr>
        <w:b/>
        <w:bCs/>
        <w:i/>
        <w:iCs/>
        <w:color w:val="595959"/>
        <w:sz w:val="16"/>
        <w:szCs w:val="16"/>
      </w:rPr>
    </w:pPr>
    <w:r>
      <w:rPr>
        <w:i/>
        <w:iCs/>
        <w:color w:val="595959"/>
        <w:sz w:val="16"/>
        <w:szCs w:val="16"/>
      </w:rPr>
      <w:t xml:space="preserve">Xspeeria — </w:t>
    </w:r>
    <w:r w:rsidR="003A6D61">
      <w:rPr>
        <w:b/>
        <w:bCs/>
        <w:i/>
        <w:iCs/>
        <w:color w:val="595959"/>
        <w:sz w:val="16"/>
        <w:szCs w:val="16"/>
        <w:lang w:val="en-GB"/>
      </w:rPr>
      <w:t>5</w:t>
    </w:r>
    <w:r w:rsidR="00033B1A" w:rsidRPr="00033B1A">
      <w:rPr>
        <w:b/>
        <w:bCs/>
        <w:i/>
        <w:iCs/>
        <w:color w:val="595959"/>
        <w:sz w:val="16"/>
        <w:szCs w:val="16"/>
      </w:rPr>
      <w:t>-Year Business Plan</w:t>
    </w:r>
    <w:r w:rsidR="00033B1A">
      <w:rPr>
        <w:b/>
        <w:bCs/>
        <w:i/>
        <w:iCs/>
        <w:color w:val="595959"/>
        <w:sz w:val="16"/>
        <w:szCs w:val="16"/>
        <w:lang w:val="en-GB"/>
      </w:rPr>
      <w:t xml:space="preserve"> </w:t>
    </w:r>
    <w:r w:rsidR="0020035A">
      <w:rPr>
        <w:i/>
        <w:iCs/>
        <w:color w:val="595959"/>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B39A2"/>
    <w:multiLevelType w:val="hybridMultilevel"/>
    <w:tmpl w:val="539E2492"/>
    <w:lvl w:ilvl="0" w:tplc="3B2C9B80">
      <w:start w:val="1"/>
      <w:numFmt w:val="decimal"/>
      <w:lvlText w:val="%1."/>
      <w:lvlJc w:val="left"/>
      <w:pPr>
        <w:ind w:left="450" w:hanging="300"/>
      </w:pPr>
    </w:lvl>
    <w:lvl w:ilvl="1" w:tplc="2668D38E">
      <w:numFmt w:val="decimal"/>
      <w:lvlText w:val=""/>
      <w:lvlJc w:val="left"/>
    </w:lvl>
    <w:lvl w:ilvl="2" w:tplc="8982D044">
      <w:numFmt w:val="decimal"/>
      <w:lvlText w:val=""/>
      <w:lvlJc w:val="left"/>
    </w:lvl>
    <w:lvl w:ilvl="3" w:tplc="398E4BDC">
      <w:numFmt w:val="decimal"/>
      <w:lvlText w:val=""/>
      <w:lvlJc w:val="left"/>
    </w:lvl>
    <w:lvl w:ilvl="4" w:tplc="C4AC85AC">
      <w:numFmt w:val="decimal"/>
      <w:lvlText w:val=""/>
      <w:lvlJc w:val="left"/>
    </w:lvl>
    <w:lvl w:ilvl="5" w:tplc="C136E34A">
      <w:numFmt w:val="decimal"/>
      <w:lvlText w:val=""/>
      <w:lvlJc w:val="left"/>
    </w:lvl>
    <w:lvl w:ilvl="6" w:tplc="441661DA">
      <w:numFmt w:val="decimal"/>
      <w:lvlText w:val=""/>
      <w:lvlJc w:val="left"/>
    </w:lvl>
    <w:lvl w:ilvl="7" w:tplc="5692924A">
      <w:numFmt w:val="decimal"/>
      <w:lvlText w:val=""/>
      <w:lvlJc w:val="left"/>
    </w:lvl>
    <w:lvl w:ilvl="8" w:tplc="B8401CFC">
      <w:numFmt w:val="decimal"/>
      <w:lvlText w:val=""/>
      <w:lvlJc w:val="left"/>
    </w:lvl>
  </w:abstractNum>
  <w:abstractNum w:abstractNumId="1" w15:restartNumberingAfterBreak="0">
    <w:nsid w:val="15D54487"/>
    <w:multiLevelType w:val="hybridMultilevel"/>
    <w:tmpl w:val="44863EF2"/>
    <w:lvl w:ilvl="0" w:tplc="17E879E2">
      <w:start w:val="1"/>
      <w:numFmt w:val="bullet"/>
      <w:lvlText w:val="•"/>
      <w:lvlJc w:val="left"/>
      <w:pPr>
        <w:ind w:left="450" w:hanging="260"/>
      </w:pPr>
    </w:lvl>
    <w:lvl w:ilvl="1" w:tplc="6EB23718">
      <w:start w:val="1"/>
      <w:numFmt w:val="bullet"/>
      <w:lvlText w:val="◦"/>
      <w:lvlJc w:val="left"/>
      <w:pPr>
        <w:ind w:left="900" w:hanging="260"/>
      </w:pPr>
    </w:lvl>
    <w:lvl w:ilvl="2" w:tplc="ED28CC3E">
      <w:numFmt w:val="decimal"/>
      <w:lvlText w:val=""/>
      <w:lvlJc w:val="left"/>
    </w:lvl>
    <w:lvl w:ilvl="3" w:tplc="F9AA87D2">
      <w:numFmt w:val="decimal"/>
      <w:lvlText w:val=""/>
      <w:lvlJc w:val="left"/>
    </w:lvl>
    <w:lvl w:ilvl="4" w:tplc="19EE2628">
      <w:numFmt w:val="decimal"/>
      <w:lvlText w:val=""/>
      <w:lvlJc w:val="left"/>
    </w:lvl>
    <w:lvl w:ilvl="5" w:tplc="47560AD0">
      <w:numFmt w:val="decimal"/>
      <w:lvlText w:val=""/>
      <w:lvlJc w:val="left"/>
    </w:lvl>
    <w:lvl w:ilvl="6" w:tplc="3148FFF0">
      <w:numFmt w:val="decimal"/>
      <w:lvlText w:val=""/>
      <w:lvlJc w:val="left"/>
    </w:lvl>
    <w:lvl w:ilvl="7" w:tplc="3AA05A52">
      <w:numFmt w:val="decimal"/>
      <w:lvlText w:val=""/>
      <w:lvlJc w:val="left"/>
    </w:lvl>
    <w:lvl w:ilvl="8" w:tplc="9588EA82">
      <w:numFmt w:val="decimal"/>
      <w:lvlText w:val=""/>
      <w:lvlJc w:val="left"/>
    </w:lvl>
  </w:abstractNum>
  <w:abstractNum w:abstractNumId="2" w15:restartNumberingAfterBreak="0">
    <w:nsid w:val="20797C31"/>
    <w:multiLevelType w:val="hybridMultilevel"/>
    <w:tmpl w:val="552CCDBC"/>
    <w:lvl w:ilvl="0" w:tplc="35EE47AA">
      <w:start w:val="1"/>
      <w:numFmt w:val="bullet"/>
      <w:lvlText w:val="•"/>
      <w:lvlJc w:val="left"/>
      <w:pPr>
        <w:ind w:left="450" w:hanging="260"/>
      </w:pPr>
    </w:lvl>
    <w:lvl w:ilvl="1" w:tplc="A4D27B22">
      <w:start w:val="1"/>
      <w:numFmt w:val="bullet"/>
      <w:lvlText w:val="◦"/>
      <w:lvlJc w:val="left"/>
      <w:pPr>
        <w:ind w:left="900" w:hanging="260"/>
      </w:pPr>
    </w:lvl>
    <w:lvl w:ilvl="2" w:tplc="682007CE">
      <w:numFmt w:val="decimal"/>
      <w:lvlText w:val=""/>
      <w:lvlJc w:val="left"/>
    </w:lvl>
    <w:lvl w:ilvl="3" w:tplc="CE10C3B8">
      <w:numFmt w:val="decimal"/>
      <w:lvlText w:val=""/>
      <w:lvlJc w:val="left"/>
    </w:lvl>
    <w:lvl w:ilvl="4" w:tplc="0924FAFC">
      <w:numFmt w:val="decimal"/>
      <w:lvlText w:val=""/>
      <w:lvlJc w:val="left"/>
    </w:lvl>
    <w:lvl w:ilvl="5" w:tplc="20A494B6">
      <w:numFmt w:val="decimal"/>
      <w:lvlText w:val=""/>
      <w:lvlJc w:val="left"/>
    </w:lvl>
    <w:lvl w:ilvl="6" w:tplc="868C1862">
      <w:numFmt w:val="decimal"/>
      <w:lvlText w:val=""/>
      <w:lvlJc w:val="left"/>
    </w:lvl>
    <w:lvl w:ilvl="7" w:tplc="ED321AAC">
      <w:numFmt w:val="decimal"/>
      <w:lvlText w:val=""/>
      <w:lvlJc w:val="left"/>
    </w:lvl>
    <w:lvl w:ilvl="8" w:tplc="A7AC0124">
      <w:numFmt w:val="decimal"/>
      <w:lvlText w:val=""/>
      <w:lvlJc w:val="left"/>
    </w:lvl>
  </w:abstractNum>
  <w:abstractNum w:abstractNumId="3" w15:restartNumberingAfterBreak="0">
    <w:nsid w:val="23B62555"/>
    <w:multiLevelType w:val="hybridMultilevel"/>
    <w:tmpl w:val="C8B8F912"/>
    <w:lvl w:ilvl="0" w:tplc="BC7ED5EC">
      <w:start w:val="1"/>
      <w:numFmt w:val="bullet"/>
      <w:lvlText w:val="•"/>
      <w:lvlJc w:val="left"/>
      <w:pPr>
        <w:ind w:left="450" w:hanging="260"/>
      </w:pPr>
    </w:lvl>
    <w:lvl w:ilvl="1" w:tplc="4A3A1E80">
      <w:start w:val="1"/>
      <w:numFmt w:val="bullet"/>
      <w:lvlText w:val="◦"/>
      <w:lvlJc w:val="left"/>
      <w:pPr>
        <w:ind w:left="900" w:hanging="260"/>
      </w:pPr>
    </w:lvl>
    <w:lvl w:ilvl="2" w:tplc="7F8A5BB4">
      <w:numFmt w:val="decimal"/>
      <w:lvlText w:val=""/>
      <w:lvlJc w:val="left"/>
    </w:lvl>
    <w:lvl w:ilvl="3" w:tplc="8AB25FD8">
      <w:numFmt w:val="decimal"/>
      <w:lvlText w:val=""/>
      <w:lvlJc w:val="left"/>
    </w:lvl>
    <w:lvl w:ilvl="4" w:tplc="441E8C14">
      <w:numFmt w:val="decimal"/>
      <w:lvlText w:val=""/>
      <w:lvlJc w:val="left"/>
    </w:lvl>
    <w:lvl w:ilvl="5" w:tplc="76E480E8">
      <w:numFmt w:val="decimal"/>
      <w:lvlText w:val=""/>
      <w:lvlJc w:val="left"/>
    </w:lvl>
    <w:lvl w:ilvl="6" w:tplc="AFA8604C">
      <w:numFmt w:val="decimal"/>
      <w:lvlText w:val=""/>
      <w:lvlJc w:val="left"/>
    </w:lvl>
    <w:lvl w:ilvl="7" w:tplc="DC7AE472">
      <w:numFmt w:val="decimal"/>
      <w:lvlText w:val=""/>
      <w:lvlJc w:val="left"/>
    </w:lvl>
    <w:lvl w:ilvl="8" w:tplc="7C58A814">
      <w:numFmt w:val="decimal"/>
      <w:lvlText w:val=""/>
      <w:lvlJc w:val="left"/>
    </w:lvl>
  </w:abstractNum>
  <w:abstractNum w:abstractNumId="4" w15:restartNumberingAfterBreak="0">
    <w:nsid w:val="399A7D0F"/>
    <w:multiLevelType w:val="hybridMultilevel"/>
    <w:tmpl w:val="1838946C"/>
    <w:lvl w:ilvl="0" w:tplc="98D238D2">
      <w:start w:val="1"/>
      <w:numFmt w:val="decimal"/>
      <w:lvlText w:val="%1."/>
      <w:lvlJc w:val="left"/>
      <w:pPr>
        <w:ind w:left="450" w:hanging="300"/>
      </w:pPr>
    </w:lvl>
    <w:lvl w:ilvl="1" w:tplc="27682840">
      <w:numFmt w:val="decimal"/>
      <w:lvlText w:val=""/>
      <w:lvlJc w:val="left"/>
    </w:lvl>
    <w:lvl w:ilvl="2" w:tplc="94563426">
      <w:numFmt w:val="decimal"/>
      <w:lvlText w:val=""/>
      <w:lvlJc w:val="left"/>
    </w:lvl>
    <w:lvl w:ilvl="3" w:tplc="0A1C5196">
      <w:numFmt w:val="decimal"/>
      <w:lvlText w:val=""/>
      <w:lvlJc w:val="left"/>
    </w:lvl>
    <w:lvl w:ilvl="4" w:tplc="44A2721C">
      <w:numFmt w:val="decimal"/>
      <w:lvlText w:val=""/>
      <w:lvlJc w:val="left"/>
    </w:lvl>
    <w:lvl w:ilvl="5" w:tplc="1CF43666">
      <w:numFmt w:val="decimal"/>
      <w:lvlText w:val=""/>
      <w:lvlJc w:val="left"/>
    </w:lvl>
    <w:lvl w:ilvl="6" w:tplc="51104842">
      <w:numFmt w:val="decimal"/>
      <w:lvlText w:val=""/>
      <w:lvlJc w:val="left"/>
    </w:lvl>
    <w:lvl w:ilvl="7" w:tplc="7F72C3D8">
      <w:numFmt w:val="decimal"/>
      <w:lvlText w:val=""/>
      <w:lvlJc w:val="left"/>
    </w:lvl>
    <w:lvl w:ilvl="8" w:tplc="AEB4A176">
      <w:numFmt w:val="decimal"/>
      <w:lvlText w:val=""/>
      <w:lvlJc w:val="left"/>
    </w:lvl>
  </w:abstractNum>
  <w:abstractNum w:abstractNumId="5" w15:restartNumberingAfterBreak="0">
    <w:nsid w:val="3D743A1F"/>
    <w:multiLevelType w:val="hybridMultilevel"/>
    <w:tmpl w:val="D3C4B4AC"/>
    <w:lvl w:ilvl="0" w:tplc="9A122A08">
      <w:start w:val="1"/>
      <w:numFmt w:val="bullet"/>
      <w:lvlText w:val="•"/>
      <w:lvlJc w:val="left"/>
      <w:pPr>
        <w:ind w:left="450" w:hanging="260"/>
      </w:pPr>
    </w:lvl>
    <w:lvl w:ilvl="1" w:tplc="BA9A54B0">
      <w:start w:val="1"/>
      <w:numFmt w:val="bullet"/>
      <w:lvlText w:val="◦"/>
      <w:lvlJc w:val="left"/>
      <w:pPr>
        <w:ind w:left="900" w:hanging="260"/>
      </w:pPr>
    </w:lvl>
    <w:lvl w:ilvl="2" w:tplc="585AF8C4">
      <w:numFmt w:val="decimal"/>
      <w:lvlText w:val=""/>
      <w:lvlJc w:val="left"/>
    </w:lvl>
    <w:lvl w:ilvl="3" w:tplc="FF66A52A">
      <w:numFmt w:val="decimal"/>
      <w:lvlText w:val=""/>
      <w:lvlJc w:val="left"/>
    </w:lvl>
    <w:lvl w:ilvl="4" w:tplc="DE502384">
      <w:numFmt w:val="decimal"/>
      <w:lvlText w:val=""/>
      <w:lvlJc w:val="left"/>
    </w:lvl>
    <w:lvl w:ilvl="5" w:tplc="E5EADF0C">
      <w:numFmt w:val="decimal"/>
      <w:lvlText w:val=""/>
      <w:lvlJc w:val="left"/>
    </w:lvl>
    <w:lvl w:ilvl="6" w:tplc="4C3ACAAE">
      <w:numFmt w:val="decimal"/>
      <w:lvlText w:val=""/>
      <w:lvlJc w:val="left"/>
    </w:lvl>
    <w:lvl w:ilvl="7" w:tplc="19B24BBC">
      <w:numFmt w:val="decimal"/>
      <w:lvlText w:val=""/>
      <w:lvlJc w:val="left"/>
    </w:lvl>
    <w:lvl w:ilvl="8" w:tplc="DBC80E72">
      <w:numFmt w:val="decimal"/>
      <w:lvlText w:val=""/>
      <w:lvlJc w:val="left"/>
    </w:lvl>
  </w:abstractNum>
  <w:abstractNum w:abstractNumId="6" w15:restartNumberingAfterBreak="0">
    <w:nsid w:val="596548A9"/>
    <w:multiLevelType w:val="hybridMultilevel"/>
    <w:tmpl w:val="6ED8B7E4"/>
    <w:lvl w:ilvl="0" w:tplc="3B1E7834">
      <w:start w:val="1"/>
      <w:numFmt w:val="decimal"/>
      <w:lvlText w:val="%1."/>
      <w:lvlJc w:val="left"/>
      <w:pPr>
        <w:ind w:left="450" w:hanging="300"/>
      </w:pPr>
    </w:lvl>
    <w:lvl w:ilvl="1" w:tplc="0798995E">
      <w:numFmt w:val="decimal"/>
      <w:lvlText w:val=""/>
      <w:lvlJc w:val="left"/>
    </w:lvl>
    <w:lvl w:ilvl="2" w:tplc="4606CB6A">
      <w:numFmt w:val="decimal"/>
      <w:lvlText w:val=""/>
      <w:lvlJc w:val="left"/>
    </w:lvl>
    <w:lvl w:ilvl="3" w:tplc="3A1CD26A">
      <w:numFmt w:val="decimal"/>
      <w:lvlText w:val=""/>
      <w:lvlJc w:val="left"/>
    </w:lvl>
    <w:lvl w:ilvl="4" w:tplc="EB3E2B32">
      <w:numFmt w:val="decimal"/>
      <w:lvlText w:val=""/>
      <w:lvlJc w:val="left"/>
    </w:lvl>
    <w:lvl w:ilvl="5" w:tplc="64F8DD60">
      <w:numFmt w:val="decimal"/>
      <w:lvlText w:val=""/>
      <w:lvlJc w:val="left"/>
    </w:lvl>
    <w:lvl w:ilvl="6" w:tplc="5B44B242">
      <w:numFmt w:val="decimal"/>
      <w:lvlText w:val=""/>
      <w:lvlJc w:val="left"/>
    </w:lvl>
    <w:lvl w:ilvl="7" w:tplc="0B1C8EA4">
      <w:numFmt w:val="decimal"/>
      <w:lvlText w:val=""/>
      <w:lvlJc w:val="left"/>
    </w:lvl>
    <w:lvl w:ilvl="8" w:tplc="A11AD9CE">
      <w:numFmt w:val="decimal"/>
      <w:lvlText w:val=""/>
      <w:lvlJc w:val="left"/>
    </w:lvl>
  </w:abstractNum>
  <w:abstractNum w:abstractNumId="7" w15:restartNumberingAfterBreak="0">
    <w:nsid w:val="598C0929"/>
    <w:multiLevelType w:val="hybridMultilevel"/>
    <w:tmpl w:val="28269BF8"/>
    <w:lvl w:ilvl="0" w:tplc="0C8A5EE0">
      <w:start w:val="1"/>
      <w:numFmt w:val="bullet"/>
      <w:lvlText w:val="•"/>
      <w:lvlJc w:val="left"/>
      <w:pPr>
        <w:ind w:left="450" w:hanging="260"/>
      </w:pPr>
    </w:lvl>
    <w:lvl w:ilvl="1" w:tplc="2F2E7CEA">
      <w:start w:val="1"/>
      <w:numFmt w:val="bullet"/>
      <w:lvlText w:val="◦"/>
      <w:lvlJc w:val="left"/>
      <w:pPr>
        <w:ind w:left="900" w:hanging="260"/>
      </w:pPr>
    </w:lvl>
    <w:lvl w:ilvl="2" w:tplc="A68E1AF0">
      <w:numFmt w:val="decimal"/>
      <w:lvlText w:val=""/>
      <w:lvlJc w:val="left"/>
    </w:lvl>
    <w:lvl w:ilvl="3" w:tplc="F39ADB6E">
      <w:numFmt w:val="decimal"/>
      <w:lvlText w:val=""/>
      <w:lvlJc w:val="left"/>
    </w:lvl>
    <w:lvl w:ilvl="4" w:tplc="AA646ABE">
      <w:numFmt w:val="decimal"/>
      <w:lvlText w:val=""/>
      <w:lvlJc w:val="left"/>
    </w:lvl>
    <w:lvl w:ilvl="5" w:tplc="843096B4">
      <w:numFmt w:val="decimal"/>
      <w:lvlText w:val=""/>
      <w:lvlJc w:val="left"/>
    </w:lvl>
    <w:lvl w:ilvl="6" w:tplc="DD68A0B0">
      <w:numFmt w:val="decimal"/>
      <w:lvlText w:val=""/>
      <w:lvlJc w:val="left"/>
    </w:lvl>
    <w:lvl w:ilvl="7" w:tplc="F472645A">
      <w:numFmt w:val="decimal"/>
      <w:lvlText w:val=""/>
      <w:lvlJc w:val="left"/>
    </w:lvl>
    <w:lvl w:ilvl="8" w:tplc="6574B0BC">
      <w:numFmt w:val="decimal"/>
      <w:lvlText w:val=""/>
      <w:lvlJc w:val="left"/>
    </w:lvl>
  </w:abstractNum>
  <w:abstractNum w:abstractNumId="8" w15:restartNumberingAfterBreak="0">
    <w:nsid w:val="648E716F"/>
    <w:multiLevelType w:val="hybridMultilevel"/>
    <w:tmpl w:val="EE586F0A"/>
    <w:lvl w:ilvl="0" w:tplc="662C0924">
      <w:start w:val="1"/>
      <w:numFmt w:val="bullet"/>
      <w:lvlText w:val="●"/>
      <w:lvlJc w:val="left"/>
      <w:pPr>
        <w:ind w:left="720" w:hanging="360"/>
      </w:pPr>
    </w:lvl>
    <w:lvl w:ilvl="1" w:tplc="1586FCDE">
      <w:start w:val="1"/>
      <w:numFmt w:val="bullet"/>
      <w:lvlText w:val="○"/>
      <w:lvlJc w:val="left"/>
      <w:pPr>
        <w:ind w:left="1440" w:hanging="360"/>
      </w:pPr>
    </w:lvl>
    <w:lvl w:ilvl="2" w:tplc="97285B64">
      <w:start w:val="1"/>
      <w:numFmt w:val="bullet"/>
      <w:lvlText w:val="■"/>
      <w:lvlJc w:val="left"/>
      <w:pPr>
        <w:ind w:left="2160" w:hanging="360"/>
      </w:pPr>
    </w:lvl>
    <w:lvl w:ilvl="3" w:tplc="96B297DA">
      <w:start w:val="1"/>
      <w:numFmt w:val="bullet"/>
      <w:lvlText w:val="●"/>
      <w:lvlJc w:val="left"/>
      <w:pPr>
        <w:ind w:left="2880" w:hanging="360"/>
      </w:pPr>
    </w:lvl>
    <w:lvl w:ilvl="4" w:tplc="2E46A75A">
      <w:start w:val="1"/>
      <w:numFmt w:val="bullet"/>
      <w:lvlText w:val="○"/>
      <w:lvlJc w:val="left"/>
      <w:pPr>
        <w:ind w:left="3600" w:hanging="360"/>
      </w:pPr>
    </w:lvl>
    <w:lvl w:ilvl="5" w:tplc="AE74411E">
      <w:start w:val="1"/>
      <w:numFmt w:val="bullet"/>
      <w:lvlText w:val="■"/>
      <w:lvlJc w:val="left"/>
      <w:pPr>
        <w:ind w:left="4320" w:hanging="360"/>
      </w:pPr>
    </w:lvl>
    <w:lvl w:ilvl="6" w:tplc="9D067CBC">
      <w:start w:val="1"/>
      <w:numFmt w:val="bullet"/>
      <w:lvlText w:val="●"/>
      <w:lvlJc w:val="left"/>
      <w:pPr>
        <w:ind w:left="5040" w:hanging="360"/>
      </w:pPr>
    </w:lvl>
    <w:lvl w:ilvl="7" w:tplc="AACE4720">
      <w:start w:val="1"/>
      <w:numFmt w:val="bullet"/>
      <w:lvlText w:val="●"/>
      <w:lvlJc w:val="left"/>
      <w:pPr>
        <w:ind w:left="5760" w:hanging="360"/>
      </w:pPr>
    </w:lvl>
    <w:lvl w:ilvl="8" w:tplc="E52440DA">
      <w:start w:val="1"/>
      <w:numFmt w:val="bullet"/>
      <w:lvlText w:val="●"/>
      <w:lvlJc w:val="left"/>
      <w:pPr>
        <w:ind w:left="6480" w:hanging="360"/>
      </w:pPr>
    </w:lvl>
  </w:abstractNum>
  <w:abstractNum w:abstractNumId="9" w15:restartNumberingAfterBreak="0">
    <w:nsid w:val="68F24E71"/>
    <w:multiLevelType w:val="hybridMultilevel"/>
    <w:tmpl w:val="04022AE8"/>
    <w:lvl w:ilvl="0" w:tplc="6E7887B0">
      <w:start w:val="1"/>
      <w:numFmt w:val="bullet"/>
      <w:lvlText w:val="•"/>
      <w:lvlJc w:val="left"/>
      <w:pPr>
        <w:ind w:left="450" w:hanging="260"/>
      </w:pPr>
    </w:lvl>
    <w:lvl w:ilvl="1" w:tplc="F288D5E6">
      <w:start w:val="1"/>
      <w:numFmt w:val="bullet"/>
      <w:lvlText w:val="◦"/>
      <w:lvlJc w:val="left"/>
      <w:pPr>
        <w:ind w:left="900" w:hanging="260"/>
      </w:pPr>
    </w:lvl>
    <w:lvl w:ilvl="2" w:tplc="89F4D96E">
      <w:numFmt w:val="decimal"/>
      <w:lvlText w:val=""/>
      <w:lvlJc w:val="left"/>
    </w:lvl>
    <w:lvl w:ilvl="3" w:tplc="0A0CC0C0">
      <w:numFmt w:val="decimal"/>
      <w:lvlText w:val=""/>
      <w:lvlJc w:val="left"/>
    </w:lvl>
    <w:lvl w:ilvl="4" w:tplc="33E07B42">
      <w:numFmt w:val="decimal"/>
      <w:lvlText w:val=""/>
      <w:lvlJc w:val="left"/>
    </w:lvl>
    <w:lvl w:ilvl="5" w:tplc="2A148C82">
      <w:numFmt w:val="decimal"/>
      <w:lvlText w:val=""/>
      <w:lvlJc w:val="left"/>
    </w:lvl>
    <w:lvl w:ilvl="6" w:tplc="DE36539C">
      <w:numFmt w:val="decimal"/>
      <w:lvlText w:val=""/>
      <w:lvlJc w:val="left"/>
    </w:lvl>
    <w:lvl w:ilvl="7" w:tplc="FF12DA7A">
      <w:numFmt w:val="decimal"/>
      <w:lvlText w:val=""/>
      <w:lvlJc w:val="left"/>
    </w:lvl>
    <w:lvl w:ilvl="8" w:tplc="0E0E8104">
      <w:numFmt w:val="decimal"/>
      <w:lvlText w:val=""/>
      <w:lvlJc w:val="left"/>
    </w:lvl>
  </w:abstractNum>
  <w:abstractNum w:abstractNumId="10" w15:restartNumberingAfterBreak="0">
    <w:nsid w:val="6F65528E"/>
    <w:multiLevelType w:val="hybridMultilevel"/>
    <w:tmpl w:val="C94E305E"/>
    <w:lvl w:ilvl="0" w:tplc="F8CC736E">
      <w:start w:val="1"/>
      <w:numFmt w:val="bullet"/>
      <w:lvlText w:val="•"/>
      <w:lvlJc w:val="left"/>
      <w:pPr>
        <w:ind w:left="450" w:hanging="260"/>
      </w:pPr>
    </w:lvl>
    <w:lvl w:ilvl="1" w:tplc="CC7AE3BA">
      <w:start w:val="1"/>
      <w:numFmt w:val="bullet"/>
      <w:lvlText w:val="◦"/>
      <w:lvlJc w:val="left"/>
      <w:pPr>
        <w:ind w:left="900" w:hanging="260"/>
      </w:pPr>
    </w:lvl>
    <w:lvl w:ilvl="2" w:tplc="00A64592">
      <w:numFmt w:val="decimal"/>
      <w:lvlText w:val=""/>
      <w:lvlJc w:val="left"/>
    </w:lvl>
    <w:lvl w:ilvl="3" w:tplc="6D50F072">
      <w:numFmt w:val="decimal"/>
      <w:lvlText w:val=""/>
      <w:lvlJc w:val="left"/>
    </w:lvl>
    <w:lvl w:ilvl="4" w:tplc="02F23764">
      <w:numFmt w:val="decimal"/>
      <w:lvlText w:val=""/>
      <w:lvlJc w:val="left"/>
    </w:lvl>
    <w:lvl w:ilvl="5" w:tplc="7CBA574C">
      <w:numFmt w:val="decimal"/>
      <w:lvlText w:val=""/>
      <w:lvlJc w:val="left"/>
    </w:lvl>
    <w:lvl w:ilvl="6" w:tplc="6C403E9C">
      <w:numFmt w:val="decimal"/>
      <w:lvlText w:val=""/>
      <w:lvlJc w:val="left"/>
    </w:lvl>
    <w:lvl w:ilvl="7" w:tplc="51A22860">
      <w:numFmt w:val="decimal"/>
      <w:lvlText w:val=""/>
      <w:lvlJc w:val="left"/>
    </w:lvl>
    <w:lvl w:ilvl="8" w:tplc="341A378C">
      <w:numFmt w:val="decimal"/>
      <w:lvlText w:val=""/>
      <w:lvlJc w:val="left"/>
    </w:lvl>
  </w:abstractNum>
  <w:num w:numId="1" w16cid:durableId="935359504">
    <w:abstractNumId w:val="8"/>
    <w:lvlOverride w:ilvl="0">
      <w:startOverride w:val="1"/>
    </w:lvlOverride>
  </w:num>
  <w:num w:numId="2" w16cid:durableId="1550918518">
    <w:abstractNumId w:val="10"/>
    <w:lvlOverride w:ilvl="0">
      <w:startOverride w:val="1"/>
    </w:lvlOverride>
  </w:num>
  <w:num w:numId="3" w16cid:durableId="1586724834">
    <w:abstractNumId w:val="4"/>
    <w:lvlOverride w:ilvl="0">
      <w:startOverride w:val="1"/>
    </w:lvlOverride>
  </w:num>
  <w:num w:numId="4" w16cid:durableId="1483158734">
    <w:abstractNumId w:val="5"/>
    <w:lvlOverride w:ilvl="0">
      <w:startOverride w:val="1"/>
    </w:lvlOverride>
  </w:num>
  <w:num w:numId="5" w16cid:durableId="1190606962">
    <w:abstractNumId w:val="3"/>
    <w:lvlOverride w:ilvl="0">
      <w:startOverride w:val="1"/>
    </w:lvlOverride>
  </w:num>
  <w:num w:numId="6" w16cid:durableId="416173166">
    <w:abstractNumId w:val="9"/>
    <w:lvlOverride w:ilvl="0">
      <w:startOverride w:val="1"/>
    </w:lvlOverride>
  </w:num>
  <w:num w:numId="7" w16cid:durableId="1280336962">
    <w:abstractNumId w:val="6"/>
    <w:lvlOverride w:ilvl="0">
      <w:startOverride w:val="1"/>
    </w:lvlOverride>
  </w:num>
  <w:num w:numId="8" w16cid:durableId="1681811649">
    <w:abstractNumId w:val="2"/>
    <w:lvlOverride w:ilvl="0">
      <w:startOverride w:val="1"/>
    </w:lvlOverride>
  </w:num>
  <w:num w:numId="9" w16cid:durableId="254285673">
    <w:abstractNumId w:val="0"/>
    <w:lvlOverride w:ilvl="0">
      <w:startOverride w:val="1"/>
    </w:lvlOverride>
  </w:num>
  <w:num w:numId="10" w16cid:durableId="1087266134">
    <w:abstractNumId w:val="1"/>
    <w:lvlOverride w:ilvl="0">
      <w:startOverride w:val="1"/>
    </w:lvlOverride>
  </w:num>
  <w:num w:numId="11" w16cid:durableId="212726540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4E6"/>
    <w:rsid w:val="00033B1A"/>
    <w:rsid w:val="00102129"/>
    <w:rsid w:val="001717B3"/>
    <w:rsid w:val="0020035A"/>
    <w:rsid w:val="00235D83"/>
    <w:rsid w:val="002A10FA"/>
    <w:rsid w:val="002D1B81"/>
    <w:rsid w:val="002F38D3"/>
    <w:rsid w:val="003A6D61"/>
    <w:rsid w:val="00467034"/>
    <w:rsid w:val="004B2585"/>
    <w:rsid w:val="00507DB5"/>
    <w:rsid w:val="00540B26"/>
    <w:rsid w:val="005812C5"/>
    <w:rsid w:val="00634DE3"/>
    <w:rsid w:val="006464E6"/>
    <w:rsid w:val="006D2548"/>
    <w:rsid w:val="007463F2"/>
    <w:rsid w:val="00810C2C"/>
    <w:rsid w:val="00872019"/>
    <w:rsid w:val="00967ABB"/>
    <w:rsid w:val="00E635A4"/>
    <w:rsid w:val="00F86F60"/>
    <w:rsid w:val="00FF19F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39E0D118"/>
  <w15:docId w15:val="{B7AFAE97-7FBF-3D46-8576-1E2E59F82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90"/>
      <w:outlineLvl w:val="0"/>
    </w:pPr>
    <w:rPr>
      <w:b/>
      <w:bCs/>
      <w:color w:val="12284B"/>
      <w:sz w:val="30"/>
      <w:szCs w:val="30"/>
    </w:rPr>
  </w:style>
  <w:style w:type="paragraph" w:styleId="Heading2">
    <w:name w:val="heading 2"/>
    <w:uiPriority w:val="9"/>
    <w:unhideWhenUsed/>
    <w:qFormat/>
    <w:pPr>
      <w:spacing w:before="240" w:after="130"/>
      <w:outlineLvl w:val="1"/>
    </w:pPr>
    <w:rPr>
      <w:b/>
      <w:bCs/>
      <w:color w:val="12284B"/>
      <w:sz w:val="25"/>
      <w:szCs w:val="25"/>
    </w:rPr>
  </w:style>
  <w:style w:type="paragraph" w:styleId="Heading3">
    <w:name w:val="heading 3"/>
    <w:uiPriority w:val="9"/>
    <w:unhideWhenUsed/>
    <w:qFormat/>
    <w:pPr>
      <w:spacing w:before="190" w:after="90"/>
      <w:outlineLvl w:val="2"/>
    </w:pPr>
    <w:rPr>
      <w:b/>
      <w:bCs/>
      <w:color w:val="1B7A3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10FA"/>
    <w:pPr>
      <w:tabs>
        <w:tab w:val="center" w:pos="4513"/>
        <w:tab w:val="right" w:pos="9026"/>
      </w:tabs>
    </w:pPr>
  </w:style>
  <w:style w:type="character" w:customStyle="1" w:styleId="HeaderChar">
    <w:name w:val="Header Char"/>
    <w:basedOn w:val="DefaultParagraphFont"/>
    <w:link w:val="Header"/>
    <w:uiPriority w:val="99"/>
    <w:rsid w:val="002A10FA"/>
  </w:style>
  <w:style w:type="paragraph" w:styleId="Footer">
    <w:name w:val="footer"/>
    <w:basedOn w:val="Normal"/>
    <w:link w:val="FooterChar"/>
    <w:uiPriority w:val="99"/>
    <w:unhideWhenUsed/>
    <w:rsid w:val="002A10FA"/>
    <w:pPr>
      <w:tabs>
        <w:tab w:val="center" w:pos="4513"/>
        <w:tab w:val="right" w:pos="9026"/>
      </w:tabs>
    </w:pPr>
  </w:style>
  <w:style w:type="character" w:customStyle="1" w:styleId="FooterChar">
    <w:name w:val="Footer Char"/>
    <w:basedOn w:val="DefaultParagraphFont"/>
    <w:link w:val="Footer"/>
    <w:uiPriority w:val="99"/>
    <w:rsid w:val="002A1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5639</Words>
  <Characters>32145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APPLE</cp:lastModifiedBy>
  <cp:revision>3</cp:revision>
  <cp:lastPrinted>2026-08-17T11:10:00Z</cp:lastPrinted>
  <dcterms:created xsi:type="dcterms:W3CDTF">2026-08-17T11:10:00Z</dcterms:created>
  <dcterms:modified xsi:type="dcterms:W3CDTF">2026-08-17T11:10:00Z</dcterms:modified>
</cp:coreProperties>
</file>