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1B68"/>
          <w:sz w:val="44"/>
          <w:szCs w:val="44"/>
        </w:rPr>
        <w:t xml:space="preserve">XSPEERIA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Wallet-less Peer-to-Peer Fiat Currency Exchange</w:t>
      </w:r>
    </w:p>
    <w:p>
      <w:pPr>
        <w:pBdr>
          <w:top w:val="single" w:color="F4C21F" w:sz="12"/>
        </w:pBdr>
        <w:spacing w:before="200"/>
      </w:pP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F4C21F"/>
          <w:sz w:val="24"/>
          <w:szCs w:val="24"/>
        </w:rPr>
        <w:t xml:space="preserve">DOCUMENT 06 OF 05 — INFRA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Infrastructure &amp; DevOps Handbook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Environments, CI/CD, Infrastructure as Code, Monitoring &amp; Operational Runbooks</w:t>
      </w:r>
    </w:p>
    <w:p>
      <w:pPr>
        <w:spacing w:before="1000"/>
      </w:pP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000"/>
        <w:gridCol w:w="6350"/>
      </w:tblGrid>
      <w:tr>
        <w:tc>
          <w:tcPr>
            <w:tcW w:type="dxa" w:w="3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v1.0 — Draft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AWS Principal DevOps Architect / SRE Lead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Monthly during pre-launch; quarterly post-launch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Internal — Confidential — Pre-Development Blueprint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Draft — Pre-Development Blueprint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6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August 2026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color w:val="001B68"/>
        </w:rPr>
        <w:t xml:space="preserve">Version History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600"/>
        <w:gridCol w:w="2400"/>
        <w:gridCol w:w="39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v0.1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2026-07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DevOps Architect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Initial draft from ARCHITECTURE.md stack and SECURITY.md tooling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2026-08</w:t>
            </w:r>
          </w:p>
        </w:tc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DevOps Architect</w:t>
            </w:r>
          </w:p>
        </w:tc>
        <w:tc>
          <w:tcPr>
            <w:tcW w:type="dxa" w:w="39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Full environment strategy, CI/CD, IaC, monitoring, DR, and runbooks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color w:val="001B6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color w:val="001B68"/>
        </w:rPr>
        <w:t xml:space="preserve">Executive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handbook defines how Xspeeria’s infrastructure is provisioned, deployed, monitored, and recovered. It operationalizes the technology choices in ARCHITECTURE.md (FastAPI, PostgreSQL, Redis, SQLAlchemy, Celery, React Native/Expo, Next.js) and the tooling mandated by SECURITY.md (Bandit, Ruff, MyPy, Pytest, pip-audit) into a concrete environment strategy, CI/CD pipeline, Infrastructure-as-Code approach, observability stack, and a set of on-call runbooks for the failure modes most relevant to a real-money P2P exchange platform.</w:t>
      </w:r>
    </w:p>
    <w:p>
      <w:pPr>
        <w:pBdr>
          <w:left w:val="single" w:color="F4C21F" w:sz="18"/>
        </w:pBdr>
        <w:shd w:fill="FFF7E0" w:val="clear"/>
        <w:spacing w:after="160" w:before="80"/>
        <w:ind w:left="200"/>
      </w:pPr>
      <w:r>
        <w:rPr>
          <w:rFonts w:ascii="Calibri" w:cs="Calibri" w:eastAsia="Calibri" w:hAnsi="Calibri"/>
          <w:b/>
          <w:bCs/>
          <w:color w:val="92700C"/>
          <w:sz w:val="20"/>
          <w:szCs w:val="20"/>
        </w:rPr>
        <w:t xml:space="preserve">ASSUMPTION: </w:t>
      </w:r>
      <w:r>
        <w:rPr>
          <w:rFonts w:ascii="Calibri" w:cs="Calibri" w:eastAsia="Calibri" w:hAnsi="Calibri"/>
          <w:i/>
          <w:iCs/>
          <w:color w:val="92700C"/>
          <w:sz w:val="20"/>
          <w:szCs w:val="20"/>
        </w:rPr>
        <w:t xml:space="preserve">ARCHITECTURE.md and SECURITY.md specify the technology stack and required quality-gate tools but not a specific cloud provider, region, or hosting topology. This document assumes an AWS-centric deployment (consistent with the "AWS Principal DevOps Architect" role in MASTER_PROMPT.md) as the reference implementation. Provider-specific service names (RDS, ElastiCache, ECS/Fargate) are illustrative and should be confirmed against final infrastructure procurement decisions.</w:t>
      </w:r>
    </w:p>
    <w:p>
      <w:pPr>
        <w:pStyle w:val="Heading1"/>
        <w:spacing w:after="240" w:before="480"/>
      </w:pPr>
      <w:r>
        <w:rPr>
          <w:color w:val="001B68"/>
        </w:rPr>
        <w:t xml:space="preserve">1. Infrastructure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platform runs as a set of independently deployable services fronting a shared PostgreSQL primary, a Redis cluster serving both caching and the Celery broker role, and Celery worker pools for asynchronous domain-event processing (see Document 05, Section 6).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6B7280"/>
          <w:sz w:val="20"/>
          <w:szCs w:val="20"/>
        </w:rPr>
        <w:t xml:space="preserve">Figure: High-level infrastructure topology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```mermaid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graph TB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subgraph Client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RN[React Native App]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NX[Next.js Admin]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end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subgraph Edge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CF[CDN / WAF]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ALB[Application Load Balancer]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end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subgraph Compute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API[FastAPI Service - ECS Fargate]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WORKER[Celery Workers - ECS Fargate]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BEAT[Celery Beat Scheduler]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end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subgraph Data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PG[(PostgreSQL - RDS Multi-AZ)]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REDIS[(Redis - ElastiCache)]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S3[(Object Storage - S3, KYC docs)]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end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subgraph Observability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PROM[Prometheus]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GRAF[Grafana]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SENTRY[Sentry]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OTEL[OpenTelemetry Collector]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end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RN --&gt; CF --&gt; ALB --&gt; API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NX --&gt; CF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API --&gt; PG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API --&gt; REDIS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API --&gt; S3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WORKER --&gt; REDIS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WORKER --&gt; PG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BEAT --&gt; REDIS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API --&gt; OTEL --&gt; PROM --&gt; GRAF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API --&gt; SENTRY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WORKER --&gt; SENTRY</w:t>
            </w:r>
          </w:p>
          <w:p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```</w:t>
            </w:r>
          </w:p>
        </w:tc>
      </w:tr>
    </w:tbl>
    <w:p>
      <w:pPr>
        <w:spacing w:after="200"/>
      </w:pPr>
    </w:p>
    <w:p>
      <w:pPr>
        <w:pStyle w:val="Heading1"/>
        <w:spacing w:after="240" w:before="480"/>
      </w:pPr>
      <w:r>
        <w:rPr>
          <w:color w:val="001B68"/>
        </w:rPr>
        <w:t xml:space="preserve">2. Environment Strategy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337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37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337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Local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Individual developer machines; full stack via Docker Compose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Synthetic seed data only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Developer machine, no shared credentials</w:t>
            </w:r>
          </w:p>
        </w:tc>
      </w:tr>
      <w:tr>
        <w:tc>
          <w:tcPr>
            <w:tcW w:type="dxa" w:w="2337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337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Shared integration environment for in-progress feature branches</w:t>
            </w:r>
          </w:p>
        </w:tc>
        <w:tc>
          <w:tcPr>
            <w:tcW w:type="dxa" w:w="2337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Synthetic data, reset weekly</w:t>
            </w:r>
          </w:p>
        </w:tc>
        <w:tc>
          <w:tcPr>
            <w:tcW w:type="dxa" w:w="2337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Engineering team (VPN-gated)</w:t>
            </w:r>
          </w:p>
        </w:tc>
      </w:tr>
      <w:tr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Staging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Production-parity environment for release candidates and QA sign-off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Anonymized/synthetic data mirroring production schema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Engineering + QA + Product (VPN-gated)</w:t>
            </w:r>
          </w:p>
        </w:tc>
      </w:tr>
      <w:tr>
        <w:tc>
          <w:tcPr>
            <w:tcW w:type="dxa" w:w="2337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337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Live customer-facing environment</w:t>
            </w:r>
          </w:p>
        </w:tc>
        <w:tc>
          <w:tcPr>
            <w:tcW w:type="dxa" w:w="2337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Real customer and financial data, encrypted at rest (AES-256 per SECURITY.md)</w:t>
            </w:r>
          </w:p>
        </w:tc>
        <w:tc>
          <w:tcPr>
            <w:tcW w:type="dxa" w:w="2337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Least-privilege RBAC; break-glass procedure for emergency access, fully audit-logged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environment is provisioned from the same Terraform modules (Section 5) with environment-specific variable files, so staging is structurally identical to production — the primary source of "works in staging, fails in production" defects.</w:t>
      </w:r>
    </w:p>
    <w:p>
      <w:pPr>
        <w:pStyle w:val="Heading1"/>
        <w:spacing w:after="240" w:before="480"/>
      </w:pPr>
      <w:r>
        <w:rPr>
          <w:color w:val="001B68"/>
        </w:rPr>
        <w:t xml:space="preserve">3. Docker</w:t>
      </w:r>
    </w:p>
    <w:p>
      <w:pPr>
        <w:pStyle w:val="Heading2"/>
        <w:spacing w:after="200" w:before="360"/>
      </w:pPr>
      <w:r>
        <w:rPr>
          <w:color w:val="001B68"/>
        </w:rPr>
        <w:t xml:space="preserve">3.1 Compose Topology (Local &amp; Development)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docker-compose.yml defines the following services for local development, mirroring the production topology at reduced scale: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api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Built from ./backend/Dockerfile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FastAPI application server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worker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Built from ./backend/Dockerfile (celery worker entrypoint)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Celery worker pool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beat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Built from ./backend/Dockerfile (celery beat entrypoint)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Scheduled task dispatcher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postgres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postgres:16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relational database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redis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redis:7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Cache + Celery broker/result backend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admin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Built from ./admin/Dockerfile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Next.js Admin console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3.2 Networking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services share a dedicated bridge network (xspeeria-net) in Compose. Only api and admin expose host ports (8000, 3000 respectively); postgres and redis are internal-only, matching the production security group posture where the database and cache are never internet-routable.</w:t>
      </w:r>
    </w:p>
    <w:p>
      <w:pPr>
        <w:pStyle w:val="Heading2"/>
        <w:spacing w:after="200" w:before="360"/>
      </w:pPr>
      <w:r>
        <w:rPr>
          <w:color w:val="001B68"/>
        </w:rPr>
        <w:t xml:space="preserve">3.3 Volumes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Mount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pgdata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/var/lib/postgresql/data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Postgres persistence across container restarts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redisdata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/data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Redis AOF persistence (dev convenience; production uses ElastiCache managed persistence)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./backend:/app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bind mount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Live code reload in local development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3.4 Secrets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Local/Development use a git-ignored .env file loaded via docker-compose’s env_file directive, seeded from .env.example with placeholder values. Staging and Production never use .env files — secrets are injected at container start from AWS Secrets Manager via the ECS task definition’s secrets block, so no plaintext credential ever touches disk or a CI log.</w:t>
      </w:r>
    </w:p>
    <w:p>
      <w:pPr>
        <w:pStyle w:val="Heading1"/>
        <w:spacing w:after="240" w:before="480"/>
      </w:pPr>
      <w:r>
        <w:rPr>
          <w:color w:val="001B68"/>
        </w:rPr>
        <w:t xml:space="preserve">4. CI/CD Pipeline</w:t>
      </w:r>
    </w:p>
    <w:p>
      <w:pPr>
        <w:pStyle w:val="Heading2"/>
        <w:spacing w:after="200" w:before="360"/>
      </w:pPr>
      <w:r>
        <w:rPr>
          <w:color w:val="001B68"/>
        </w:rPr>
        <w:t xml:space="preserve">4.1 Pipeline Stages (GitHub Actions)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6B7280"/>
          <w:sz w:val="20"/>
          <w:szCs w:val="20"/>
        </w:rPr>
        <w:t xml:space="preserve">Figure: CI/CD pipeline flow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```mermaid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graph LR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A[Push / PR] --&gt; B[Lint: Ruff]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B --&gt; C[Type Check: MyPy]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 --&gt; D[Test: Pytest]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D --&gt; E[Security: Bandit]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E --&gt; F[Dependency Audit: pip-audit]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F --&gt; G{Branch?}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G --&gt;|feature branch| H[Report status, block merge on failure]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G --&gt;|main| I[Build Docker image]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I --&gt; J[Push to ECR]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J --&gt; K[Deploy to Staging]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K --&gt; L[Smoke tests]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L --&gt; M{Manual approval}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M --&gt;|approved| N[Deploy to Production]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N --&gt; O[Post-deploy health check]</w:t>
            </w:r>
          </w:p>
          <w:p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```</w:t>
            </w:r>
          </w:p>
        </w:tc>
      </w:tr>
    </w:tbl>
    <w:p>
      <w:pPr>
        <w:spacing w:after="200"/>
      </w:pPr>
    </w:p>
    <w:p>
      <w:pPr>
        <w:pStyle w:val="Heading2"/>
        <w:spacing w:after="200" w:before="360"/>
      </w:pPr>
      <w:r>
        <w:rPr>
          <w:color w:val="001B68"/>
        </w:rPr>
        <w:t xml:space="preserve">4.2 Quality Gates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Failure Behavior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Ruff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Python linting and formatting enforcement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Blocks merge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MyPy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Static type checking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Blocks merge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Pytest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Unit and integration test suite, minimum coverage threshold enforced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Blocks merge below coverage threshold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Bandit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Static application security testing (SAST) for Python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Blocks merge on high/critical findings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pip-audit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Known-vulnerability scan of Python dependencies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Blocks merge on high/critical CVEs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the exact tool set specified in SECURITY.md, applied as hard CI gates rather than advisory checks — no override path exists that bypasses these gates for main-branch merges.</w:t>
      </w:r>
    </w:p>
    <w:p>
      <w:pPr>
        <w:pStyle w:val="Heading2"/>
        <w:spacing w:after="200" w:before="360"/>
      </w:pPr>
      <w:r>
        <w:rPr>
          <w:color w:val="001B68"/>
        </w:rPr>
        <w:t xml:space="preserve">4.3 Deployment Flow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Merges to main automatically deploy to Staging. Production deployment requires an explicit manual approval gate in GitHub Actions (Environments feature), performed by a designated release approver, after staging smoke tests pass. This two-environment, human-gated promotion path is the minimum bar for a platform moving real customer funds.</w:t>
      </w:r>
    </w:p>
    <w:p>
      <w:pPr>
        <w:pStyle w:val="Heading1"/>
        <w:spacing w:after="240" w:before="480"/>
      </w:pPr>
      <w:r>
        <w:rPr>
          <w:color w:val="001B68"/>
        </w:rPr>
        <w:t xml:space="preserve">5. Infrastructure as Code</w:t>
      </w:r>
    </w:p>
    <w:p>
      <w:pPr>
        <w:pStyle w:val="Heading2"/>
        <w:spacing w:after="200" w:before="360"/>
      </w:pPr>
      <w:r>
        <w:rPr>
          <w:color w:val="001B68"/>
        </w:rPr>
        <w:t xml:space="preserve">5.1 Terraform Module Structure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4675"/>
        <w:gridCol w:w="4675"/>
      </w:tblGrid>
      <w:tr>
        <w:tc>
          <w:tcPr>
            <w:tcW w:type="dxa" w:w="4675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675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Provisions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modules/network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VPC, public/private subnets across 2+ AZs, NAT gateways, security groups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modules/database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RDS PostgreSQL (Multi-AZ in staging/production), parameter groups, automated backups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modules/cache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ElastiCache Redis cluster, subnet group, security group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modules/compute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ECS cluster, Fargate task definitions and services for api/worker/beat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modules/storage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S3 bucket for KYC documents with AES-256 default encryption and bucket policies denying public access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modules/observability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Prometheus/Grafana workspace or managed equivalent, Sentry project config, OTEL collector deployment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modules/dns-cdn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Route53 zones, CloudFront/WAF configuration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5.2 State Management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Terraform state is stored remotely in an S3 backend with DynamoDB state locking, one state file per environment (dev/staging/production) to prevent cross-environment blast radius from a single apply.</w:t>
      </w:r>
    </w:p>
    <w:p>
      <w:pPr>
        <w:pStyle w:val="Heading2"/>
        <w:spacing w:after="200" w:before="360"/>
      </w:pPr>
      <w:r>
        <w:rPr>
          <w:color w:val="001B68"/>
        </w:rPr>
        <w:t xml:space="preserve">5.3 Variables &amp; Secrets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Environment-specific values live in terraform.tfvars per environment, git-ignored where they contain anything sensitive; all genuinely secret values (database passwords, JWT signing keys, third-party API keys) are generated into AWS Secrets Manager by Terraform’s random_password + aws_secretsmanager_secret resources rather than being written to any .tfvars file at all.</w:t>
      </w:r>
    </w:p>
    <w:p>
      <w:pPr>
        <w:pStyle w:val="Heading1"/>
        <w:spacing w:after="240" w:before="480"/>
      </w:pPr>
      <w:r>
        <w:rPr>
          <w:color w:val="001B68"/>
        </w:rPr>
        <w:t xml:space="preserve">6. Monitoring</w:t>
      </w:r>
    </w:p>
    <w:p>
      <w:pPr>
        <w:pStyle w:val="Heading2"/>
        <w:spacing w:after="200" w:before="360"/>
      </w:pPr>
      <w:r>
        <w:rPr>
          <w:color w:val="001B68"/>
        </w:rPr>
        <w:t xml:space="preserve">6.1 Stack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4675"/>
        <w:gridCol w:w="4675"/>
      </w:tblGrid>
      <w:tr>
        <w:tc>
          <w:tcPr>
            <w:tcW w:type="dxa" w:w="4675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675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Prometheus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Metrics collection (request latency, error rate, queue depth, DB connection pool utilization)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Grafana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Dashboards and visualization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Sentry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tracking and exception aggregation across API and workers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OpenTelemetry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Distributed tracing across API → database → Celery task boundaries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6.2 Key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Health: request rate, p50/p95/p99 latency, 4xx/5xx rate by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Settlement Pipeline: Celery queue depth, task success/failure rate, time-in-state for each settlement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Database: connection pool saturation, replication lag (Multi-AZ), slow query log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Business Health: matches per hour, settlement completion rate, dispute rate — surfaced to Product alongside infra metrics since they share the same alerting pipeline.</w:t>
      </w:r>
    </w:p>
    <w:p>
      <w:pPr>
        <w:pStyle w:val="Heading2"/>
        <w:spacing w:after="200" w:before="360"/>
      </w:pPr>
      <w:r>
        <w:rPr>
          <w:color w:val="001B68"/>
        </w:rPr>
        <w:t xml:space="preserve">6.3 Alerting Policy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Trigger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API 5xx rate &gt; 5% for 5 minutes; Settlement queue processing halted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Immediate page to on-call SRE; incident channel opened automatically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p95 latency &gt; 2s sustained; Celery DLQ receiving MatchConfirmed/SettlementInitiated events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Page on-call within 15 minutes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P3 — Medium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Elevated error rate on a non-critical endpoint; disk usage &gt; 80%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Ticket created, addressed within business hours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P4 — Low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Informational threshold breaches, dependency version drift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Weekly triage</w:t>
            </w:r>
          </w:p>
        </w:tc>
      </w:tr>
    </w:tbl>
    <w:p>
      <w:pPr>
        <w:pStyle w:val="Heading1"/>
        <w:spacing w:after="240" w:before="480"/>
      </w:pPr>
      <w:r>
        <w:rPr>
          <w:color w:val="001B68"/>
        </w:rPr>
        <w:t xml:space="preserve">7. Backup &amp; Disaster Recovery</w:t>
      </w:r>
    </w:p>
    <w:p>
      <w:pPr>
        <w:pStyle w:val="Heading2"/>
        <w:spacing w:after="200" w:before="360"/>
      </w:pPr>
      <w:r>
        <w:rPr>
          <w:color w:val="001B68"/>
        </w:rPr>
        <w:t xml:space="preserve">7.1 Objectives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RPO (Recovery Point Objective)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 minutes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PostgreSQL Multi-AZ synchronous replication plus continuous WAL archiving bounds acceptable data loss for a financial ledger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RTO (Recovery Time Objective)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30 minutes for database failover; 2 hours for full-region recovery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Multi-AZ automatic failover handles the common case; full-region DR is a documented manual procedure</w:t>
            </w:r>
          </w:p>
        </w:tc>
      </w:tr>
    </w:tbl>
    <w:p>
      <w:pPr>
        <w:pBdr>
          <w:left w:val="single" w:color="F4C21F" w:sz="18"/>
        </w:pBdr>
        <w:shd w:fill="FFF7E0" w:val="clear"/>
        <w:spacing w:after="160" w:before="80"/>
        <w:ind w:left="200"/>
      </w:pPr>
      <w:r>
        <w:rPr>
          <w:rFonts w:ascii="Calibri" w:cs="Calibri" w:eastAsia="Calibri" w:hAnsi="Calibri"/>
          <w:b/>
          <w:bCs/>
          <w:color w:val="92700C"/>
          <w:sz w:val="20"/>
          <w:szCs w:val="20"/>
        </w:rPr>
        <w:t xml:space="preserve">ASSUMPTION: </w:t>
      </w:r>
      <w:r>
        <w:rPr>
          <w:rFonts w:ascii="Calibri" w:cs="Calibri" w:eastAsia="Calibri" w:hAnsi="Calibri"/>
          <w:i/>
          <w:iCs/>
          <w:color w:val="92700C"/>
          <w:sz w:val="20"/>
          <w:szCs w:val="20"/>
        </w:rPr>
        <w:t xml:space="preserve">Specific RPO/RTO figures are proposed targets consistent with standard practice for a Multi-AZ RDS deployment carrying financial data, not yet validated against a formal business-continuity risk assessment. They should be ratified by Engineering and Compliance jointly before being treated as an SLA commitment to banking partners (see Document 07, Section 8).</w:t>
      </w:r>
    </w:p>
    <w:p>
      <w:pPr>
        <w:pStyle w:val="Heading2"/>
        <w:spacing w:after="200" w:before="360"/>
      </w:pPr>
      <w:r>
        <w:rPr>
          <w:color w:val="001B68"/>
        </w:rPr>
        <w:t xml:space="preserve">7.2 Database Restore Procedure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Point-in-time recovery via RDS automated backups (35-day retention) restores to a new instance, which is validated against a checksum of expected row counts for core tables before traffic is cut over via a DNS/connection-string change — the original (possibly-corrupted) instance is never overwritten in place.</w:t>
      </w:r>
    </w:p>
    <w:p>
      <w:pPr>
        <w:pStyle w:val="Heading2"/>
        <w:spacing w:after="200" w:before="360"/>
      </w:pPr>
      <w:r>
        <w:rPr>
          <w:color w:val="001B68"/>
        </w:rPr>
        <w:t xml:space="preserve">7.3 Object Storage Recovery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S3 versioning is enabled on the KYC document bucket; accidental deletion or overwrite is recoverable via version rollback. Cross-region replication provides a secondary copy for full-region loss scenarios.</w:t>
      </w:r>
    </w:p>
    <w:p>
      <w:pPr>
        <w:pStyle w:val="Heading2"/>
        <w:spacing w:after="200" w:before="360"/>
      </w:pPr>
      <w:r>
        <w:rPr>
          <w:color w:val="001B68"/>
        </w:rPr>
        <w:t xml:space="preserve">7.4 Rollback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production deployment retains the prior ECS task definition revision. Rollback is a single ECS service update to the previous task definition ARN, executed via the same CI/CD pipeline’s rollback job, target completion under 5 minutes.</w:t>
      </w:r>
    </w:p>
    <w:p>
      <w:pPr>
        <w:pStyle w:val="Heading1"/>
        <w:spacing w:after="240" w:before="480"/>
      </w:pPr>
      <w:r>
        <w:rPr>
          <w:color w:val="001B68"/>
        </w:rPr>
        <w:t xml:space="preserve">8. Operational Runbooks</w:t>
      </w:r>
    </w:p>
    <w:p>
      <w:pPr>
        <w:pStyle w:val="Heading3"/>
        <w:spacing w:after="160" w:before="280"/>
      </w:pPr>
      <w:r>
        <w:rPr>
          <w:color w:val="111827"/>
        </w:rPr>
        <w:t xml:space="preserve">Deploy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Trigger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Merge to main after CI passes, or manual re-run of a prior successful build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Procedure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 Verify staging smoke tests are green. 2. Trigger manual approval gate in GitHub Actions. 3. Monitor ECS deployment circuit breaker during rollout. 4. Confirm post-deploy health check endpoint returns 200 across all tasks. 5. Watch error-rate dashboard for 15 minutes post-deploy.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Rollback / Abort Condition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If health checks fail or error rate spikes &gt;2x baseline within 15 minutes, execute Rollback runbook immediately.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Owning Role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On-call SRE + Release Approver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Rollback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Trigger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Failed deploy health check, or P1 incident traced to a recent release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Procedure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 Identify last-known-good ECS task definition revision. 2. Update ECS service to that revision. 3. Confirm health checks green. 4. Open incident postmortem ticket.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Rollback / Abort Condition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 — this is itself the abort procedure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Owning Role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On-call SRE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Rotate Secrets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Trigger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Scheduled quarterly rotation, or suspected credential compromise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Procedure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 Generate new secret value in AWS Secrets Manager (versioned, old value retained temporarily). 2. Update ECS task definitions to reference new version. 3. Rolling-restart affected services. 4. Confirm application health. 5. Revoke old secret version after a 24-hour soak period.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Rollback / Abort Condition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If rolling restart causes failures, revert task definitions to reference the prior secret version immediately — do not revoke the old value until new value is confirmed working.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Owning Role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Security Lead + On-call SRE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Database Migration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Trigger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New Alembic/SQLAlchemy migration merged to main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Procedure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 Review migration for backward compatibility (additive-first: new nullable columns before backfill, before making non-nullable in a later release). 2. Apply to Staging automatically via CI/CD. 3. Verify against staging data. 4. Apply to Production during low-traffic window with an active database backup snapshot immediately prior.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Rollback / Abort Condition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If migration fails partway, restore from the pre-migration snapshot rather than attempting a partial manual fix on a financial schema.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Owning Role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Backend Lead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Redis Failure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Trigger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ElastiCache node failure or connectivity loss alert (P1)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Procedure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 Confirm failure scope (single node vs. cluster) via CloudWatch/Prometheus. 2. ElastiCache automatic failover should promote a replica — confirm this occurred. 3. If automatic failover does not resolve within 5 minutes, manually trigger failover via AWS console/CLI. 4. Celery workers will retry queued tasks per their retry policy (Document 05, Section 6) once broker connectivity is restored — confirm queue depth drains rather than growing.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Rollback / Abort Condition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If cluster-wide failure persists beyond RTO target, activate read-only degraded mode (Marketplace browsing available, new Offer/Match creation paused) rather than allowing uncontrolled task backlog.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Owning Role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On-call SRE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Celery Queue Failure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Trigger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DLQ depth alert or queue processing halted (P1/P2 per event type, see Section 6.3)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Procedure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 Inspect DLQ contents to identify the failing event type and error pattern. 2. If the cause is a transient downstream dependency (e.g., banking webhook endpoint down), confirm dependency recovery and manually replay DLQ messages. 3. If the cause is a code defect, hotfix via the standard Deploy runbook before replaying to avoid repeated failure.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Rollback / Abort Condition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MatchConfirmed and SettlementInitiated failures are money-movement-critical — do not replay blindly; verify no duplicate settlement would result, using the idempotency keys defined in Document 05.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Owning Role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Backend Lead + On-call SRE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API Outage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Trigger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ALB health checks failing across all API tasks (P1)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Procedure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1. Check most recent deploy — if within the last hour, execute Rollback runbook immediately. 2. Check RDS/ElastiCache health dashboards for an upstream dependency failure. 3. Check ECS service events for a capacity/scheduling issue (e.g., failed task placement). 4. If root cause is not immediately evident, scale out task count as a mitigation while investigating.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Rollback / Abort Condition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Declare a customer-facing incident and post a status-page update if outage exceeds 5 minutes, per the communication expectations in Document 07’s failure-scenario handling.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Owning Role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On-call SRE, with Engineering Lead paged for outages exceeding 15 minutes</w:t>
            </w:r>
          </w:p>
        </w:tc>
      </w:tr>
    </w:tbl>
    <w:p>
      <w:pPr>
        <w:pStyle w:val="Heading1"/>
        <w:spacing w:after="240" w:before="480"/>
      </w:pPr>
      <w:r>
        <w:rPr>
          <w:color w:val="001B68"/>
        </w:rPr>
        <w:t xml:space="preserve">Appendix A: Tool Version Baseline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4675"/>
        <w:gridCol w:w="4675"/>
      </w:tblGrid>
      <w:tr>
        <w:tc>
          <w:tcPr>
            <w:tcW w:type="dxa" w:w="4675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675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 Version Policy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Latest stable major version at project start, minor-version patched monthly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Redis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Latest stable major version, patched monthly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Python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Pinned per backend/pyproject.toml, upgraded deliberately per quarter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Node.js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LTS release, upgraded deliberately per quarter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handbook assumes no infrastructure has been provisioned yet; it is the blueprint from which the first Terraform apply and first CI/CD pipeline run will be executed, consistent with EXECUTION_MANUAL.md’s Stage 3 (Build Architecture) and Stage 4 (Security) sequencing.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— Xspeeria Pre-Development Blueprint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XSPEERIA</w:t>
    </w:r>
    <w:r>
      <w:rPr>
        <w:rFonts w:ascii="Calibri" w:cs="Calibri" w:eastAsia="Calibri" w:hAnsi="Calibri"/>
        <w:color w:val="6B7280"/>
        <w:sz w:val="16"/>
        <w:szCs w:val="16"/>
      </w:rPr>
      <w:t xml:space="preserve">	Document 06 — Infrastructure &amp; DevOps Handbook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001B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Calibri" w:cs="Calibri" w:eastAsia="Calibri" w:hAnsi="Calibri"/>
      <w:b/>
      <w:bCs/>
      <w:color w:val="001B6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60" w:before="280"/>
      <w:outlineLvl w:val="2"/>
    </w:pPr>
    <w:rPr>
      <w:rFonts w:ascii="Calibri" w:cs="Calibri" w:eastAsia="Calibri" w:hAnsi="Calibri"/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2026-08-15T13:00:01.568Z</dcterms:created>
  <dcterms:modified xsi:type="dcterms:W3CDTF">2026-08-15T13:00:01.569Z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