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Calibri" w:cs="Calibri" w:eastAsia="Calibri" w:hAnsi="Calibri"/>
          <w:b/>
          <w:bCs/>
          <w:color w:val="001B68"/>
          <w:sz w:val="44"/>
          <w:szCs w:val="44"/>
        </w:rPr>
        <w:t xml:space="preserve">XSPEERIA</w:t>
      </w:r>
    </w:p>
    <w:p>
      <w:pPr>
        <w:spacing w:after="400"/>
        <w:jc w:val="center"/>
      </w:pPr>
      <w:r>
        <w:rPr>
          <w:rFonts w:ascii="Calibri" w:cs="Calibri" w:eastAsia="Calibri" w:hAnsi="Calibri"/>
          <w:color w:val="6B7280"/>
          <w:sz w:val="22"/>
          <w:szCs w:val="22"/>
        </w:rPr>
        <w:t xml:space="preserve">Wallet-less Peer-to-Peer Fiat Currency Exchange</w:t>
      </w:r>
    </w:p>
    <w:p>
      <w:pPr>
        <w:pBdr>
          <w:top w:val="single" w:color="F4C21F" w:sz="12"/>
        </w:pBdr>
        <w:spacing w:before="200"/>
      </w:pPr>
    </w:p>
    <w:p>
      <w:pPr>
        <w:spacing w:before="600"/>
        <w:jc w:val="center"/>
      </w:pPr>
      <w:r>
        <w:rPr>
          <w:rFonts w:ascii="Calibri" w:cs="Calibri" w:eastAsia="Calibri" w:hAnsi="Calibri"/>
          <w:b/>
          <w:bCs/>
          <w:color w:val="F4C21F"/>
          <w:sz w:val="24"/>
          <w:szCs w:val="24"/>
        </w:rPr>
        <w:t xml:space="preserve">DOCUMENT 07 OF 05 — BANK-INT</w:t>
      </w:r>
    </w:p>
    <w:p>
      <w:pPr>
        <w:spacing w:after="120" w:before="120"/>
        <w:jc w:val="center"/>
      </w:pPr>
      <w:r>
        <w:rPr>
          <w:rFonts w:ascii="Calibri" w:cs="Calibri" w:eastAsia="Calibri" w:hAnsi="Calibri"/>
          <w:b/>
          <w:bCs/>
          <w:color w:val="111827"/>
          <w:sz w:val="40"/>
          <w:szCs w:val="40"/>
        </w:rPr>
        <w:t xml:space="preserve">Banking Integration Specification</w:t>
      </w:r>
    </w:p>
    <w:p>
      <w:pPr>
        <w:spacing w:after="800"/>
        <w:jc w:val="center"/>
      </w:pPr>
      <w:r>
        <w:rPr>
          <w:rFonts w:ascii="Calibri" w:cs="Calibri" w:eastAsia="Calibri" w:hAnsi="Calibri"/>
          <w:i/>
          <w:iCs/>
          <w:color w:val="6B7280"/>
          <w:sz w:val="24"/>
          <w:szCs w:val="24"/>
        </w:rPr>
        <w:t xml:space="preserve">Provider-Agnostic Settlement Architecture, Webhook Contracts &amp; Reconciliation</w:t>
      </w:r>
    </w:p>
    <w:p>
      <w:pPr>
        <w:spacing w:before="1000"/>
      </w:pP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350"/>
      </w:tblGrid>
      <w:tr>
        <w:tc>
          <w:tcPr>
            <w:tcW w:type="dxa" w:w="30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63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Value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Document Version</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v1.0 — Draft</w:t>
            </w:r>
          </w:p>
        </w:tc>
      </w:tr>
      <w:tr>
        <w:tc>
          <w:tcPr>
            <w:tcW w:type="dxa" w:w="3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Document Owner</w:t>
            </w:r>
          </w:p>
        </w:tc>
        <w:tc>
          <w:tcPr>
            <w:tcW w:type="dxa" w:w="6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Payments Lead (Internal) — external banking/risk advisor TBD, pending Legal engagement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Review Cycle</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Quarterly, and upon onboarding any new banking partner</w:t>
            </w:r>
          </w:p>
        </w:tc>
      </w:tr>
      <w:tr>
        <w:tc>
          <w:tcPr>
            <w:tcW w:type="dxa" w:w="3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Classification</w:t>
            </w:r>
          </w:p>
        </w:tc>
        <w:tc>
          <w:tcPr>
            <w:tcW w:type="dxa" w:w="6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Confidential — Banking Partner Distribution Copy</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Status</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Draft — Pre-Development Blueprint</w:t>
            </w:r>
          </w:p>
        </w:tc>
      </w:tr>
      <w:tr>
        <w:tc>
          <w:tcPr>
            <w:tcW w:type="dxa" w:w="3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Date</w:t>
            </w:r>
          </w:p>
        </w:tc>
        <w:tc>
          <w:tcPr>
            <w:tcW w:type="dxa" w:w="6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August 2026</w:t>
            </w:r>
          </w:p>
        </w:tc>
      </w:tr>
    </w:tbl>
    <w:p>
      <w:r>
        <w:br w:type="page"/>
      </w:r>
    </w:p>
    <w:p>
      <w:pPr>
        <w:pStyle w:val="Heading1"/>
        <w:spacing w:after="240" w:before="480"/>
      </w:pPr>
      <w:r>
        <w:rPr>
          <w:color w:val="001B68"/>
        </w:rPr>
        <w:t xml:space="preserve">Version History</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1400"/>
        <w:gridCol w:w="1600"/>
        <w:gridCol w:w="2400"/>
        <w:gridCol w:w="3950"/>
      </w:tblGrid>
      <w:tr>
        <w:tc>
          <w:tcPr>
            <w:tcW w:type="dxa" w:w="14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Version</w:t>
            </w:r>
          </w:p>
        </w:tc>
        <w:tc>
          <w:tcPr>
            <w:tcW w:type="dxa" w:w="16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Date</w:t>
            </w:r>
          </w:p>
        </w:tc>
        <w:tc>
          <w:tcPr>
            <w:tcW w:type="dxa" w:w="24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Author</w:t>
            </w:r>
          </w:p>
        </w:tc>
        <w:tc>
          <w:tcPr>
            <w:tcW w:type="dxa" w:w="39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Summary of Changes</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v0.1</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2026-07</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Payments Lead</w:t>
            </w:r>
          </w:p>
        </w:tc>
        <w:tc>
          <w:tcPr>
            <w:tcW w:type="dxa" w:w="39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Initial draft aligned to ARCHITECTURE.md and SECURITY.md webhook-verification posture</w:t>
            </w:r>
          </w:p>
        </w:tc>
      </w:tr>
      <w:tr>
        <w:tc>
          <w:tcPr>
            <w:tcW w:type="dxa" w:w="14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v1.0</w:t>
            </w:r>
          </w:p>
        </w:tc>
        <w:tc>
          <w:tcPr>
            <w:tcW w:type="dxa" w:w="16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2026-08</w:t>
            </w:r>
          </w:p>
        </w:tc>
        <w:tc>
          <w:tcPr>
            <w:tcW w:type="dxa" w:w="24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Payments Lead</w:t>
            </w:r>
          </w:p>
        </w:tc>
        <w:tc>
          <w:tcPr>
            <w:tcW w:type="dxa" w:w="39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 settlement lifecycle, webhook spec, reconciliation, and failure-scenario playbook</w:t>
            </w:r>
          </w:p>
        </w:tc>
      </w:tr>
    </w:tbl>
    <w:p>
      <w:r>
        <w:br w:type="page"/>
      </w:r>
    </w:p>
    <w:p>
      <w:pPr>
        <w:pStyle w:val="Heading1"/>
        <w:spacing w:after="240" w:before="480"/>
      </w:pPr>
      <w:r>
        <w:rPr>
          <w:color w:val="001B6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color w:val="001B68"/>
        </w:rPr>
        <w:t xml:space="preserve">Executive Summary</w:t>
      </w:r>
    </w:p>
    <w:p>
      <w:pPr>
        <w:spacing w:after="160"/>
      </w:pPr>
      <w:r>
        <w:rPr>
          <w:rFonts w:ascii="Calibri" w:cs="Calibri" w:eastAsia="Calibri" w:hAnsi="Calibri"/>
          <w:sz w:val="22"/>
          <w:szCs w:val="22"/>
        </w:rPr>
        <w:t>This specification defines how Xspeeria integrates with banking and payment-rail partners to settle matched FX transactions, beginning with the NGN⇄GBP pilot corridor and extending to NGN⇄USD as the Year 2 corridor per the 5-Year Business Plan. It is deliberately provider-agnostic: it defines an internal Banking Abstraction Layer (BAL) and a contract that any compliant banking partner must satisfy, rather than naming or assuming behavior from a specific institution. This document names no banking licence, regulatory approval, or specific partner relationship as held or pending — those are business/legal facts outside this document’s authority and must be confirmed separately by Compliance and Legal.</w:t>
      </w:r>
    </w:p>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No source document specifies an actual banking partner, licence, or settlement rail. Every mechanism below (webhook contract, reconciliation cadence, SLA figures) is a reference architecture consistent with ARCHITECTURE.md’s module list (Settlement) and SECURITY.md’s webhook-verification requirement, intended to be the specification a real banking partner integration is built against once one is contracted.</w:t>
      </w:r>
    </w:p>
    <w:p>
      <w:pPr>
        <w:pStyle w:val="Heading1"/>
        <w:spacing w:after="240" w:before="480"/>
      </w:pPr>
      <w:r>
        <w:rPr>
          <w:color w:val="001B68"/>
        </w:rPr>
        <w:t xml:space="preserve">1. Settlement Philosophy</w:t>
      </w:r>
    </w:p>
    <w:p>
      <w:pPr>
        <w:spacing w:after="160"/>
      </w:pPr>
      <w:r>
        <w:rPr>
          <w:rFonts w:ascii="Calibri" w:cs="Calibri" w:eastAsia="Calibri" w:hAnsi="Calibri"/>
          <w:sz w:val="22"/>
          <w:szCs w:val="22"/>
        </w:rPr>
        <w:t xml:space="preserve">Xspeeria is wallet-less: the platform never custodies user funds between the two legs of an exchange. Settlement is domestic-only on both legs: coordinated and verified by Xspeeria, but each leg is executed by a licensed local partner within its own country, never as a single cross-border transfer between the two matched parties' accounts. Each corridor uses two independently held, country-local escrow accounts — one per currency, held by the licensed partner in that jurisdiction. Both parties fund their own local escrow account via a domestic transfer; once both escrows independently confirm funded status, each partner releases funds domestically to the beneficiary designated by the other party. No currency crosses either border at any point. This has two direct architectural consequences:</w:t>
      </w:r>
    </w:p>
    <w:p>
      <w:pPr>
        <w:pStyle w:val="ListParagraph"/>
        <w:numPr>
          <w:ilvl w:val="0"/>
          <w:numId w:val="2"/>
        </w:numPr>
        <w:spacing w:after="80"/>
      </w:pPr>
      <w:r>
        <w:rPr>
          <w:rFonts w:ascii="Calibri" w:cs="Calibri" w:eastAsia="Calibri" w:hAnsi="Calibri"/>
          <w:sz w:val="22"/>
          <w:szCs w:val="22"/>
        </w:rPr>
        <w:t xml:space="preserve">Xspeeria's Settlement service is a state machine and verification layer, not a ledger of custodied balances — the escrow accounts themselves are held and controlled by the licensed partner in each jurisdiction, not by Xspeeria.</w:t>
      </w:r>
    </w:p>
    <w:p>
      <w:pPr>
        <w:pStyle w:val="ListParagraph"/>
        <w:numPr>
          <w:ilvl w:val="0"/>
          <w:numId w:val="2"/>
        </w:numPr>
        <w:spacing w:after="80"/>
      </w:pPr>
      <w:r>
        <w:rPr>
          <w:rFonts w:ascii="Calibri" w:cs="Calibri" w:eastAsia="Calibri" w:hAnsi="Calibri"/>
          <w:sz w:val="22"/>
          <w:szCs w:val="22"/>
        </w:rPr>
        <w:t xml:space="preserve">Every settlement requires two independent legs (NGN leg and USD leg) to be verified before the Transaction is marked completed, since no single custodial account nets them internally, and each leg's escrow account only ever holds funds sourced from and released to parties within its own country.</w:t>
      </w:r>
    </w:p>
    <w:p>
      <w:pPr>
        <w:pStyle w:val="Heading1"/>
        <w:spacing w:after="240" w:before="480"/>
      </w:pPr>
      <w:r>
        <w:rPr>
          <w:color w:val="001B68"/>
        </w:rPr>
        <w:t xml:space="preserve">2. Banking Abstraction Layer</w:t>
      </w:r>
    </w:p>
    <w:p>
      <w:pPr>
        <w:spacing w:after="160"/>
      </w:pPr>
      <w:r>
        <w:rPr>
          <w:rFonts w:ascii="Calibri" w:cs="Calibri" w:eastAsia="Calibri" w:hAnsi="Calibri"/>
          <w:sz w:val="22"/>
          <w:szCs w:val="22"/>
        </w:rPr>
        <w:t xml:space="preserve">The Banking Abstraction Layer (BAL) is an internal service boundary that isolates the Settlement service (Document 05) from any single partner’s API shape. Adding a new banking partner means implementing the BAL interface, not modifying Settlement business logic.</w:t>
      </w:r>
    </w:p>
    <w:p>
      <w:pPr>
        <w:spacing w:after="80" w:before="160"/>
      </w:pPr>
      <w:r>
        <w:rPr>
          <w:rFonts w:ascii="Calibri" w:cs="Calibri" w:eastAsia="Calibri" w:hAnsi="Calibri"/>
          <w:b/>
          <w:bCs/>
          <w:i/>
          <w:iCs/>
          <w:color w:val="6B7280"/>
          <w:sz w:val="20"/>
          <w:szCs w:val="20"/>
        </w:rPr>
        <w:t xml:space="preserve">Figure: Banking Abstraction Layer architecture</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c>
          <w:tcPr>
            <w:shd w:fill="F8FAFC" w:val="clear"/>
            <w:tcMar>
              <w:top w:type="dxa" w:w="160"/>
              <w:left w:type="dxa" w:w="200"/>
              <w:bottom w:type="dxa" w:w="160"/>
              <w:right w:type="dxa" w:w="200"/>
            </w:tcMar>
          </w:tcPr>
          <w:p>
            <w:r>
              <w:rPr>
                <w:rFonts w:ascii="Consolas" w:cs="Consolas" w:eastAsia="Consolas" w:hAnsi="Consolas"/>
                <w:color w:val="6B7280"/>
                <w:sz w:val="16"/>
                <w:szCs w:val="16"/>
              </w:rPr>
              <w:t xml:space="preserve">```mermaid</w:t>
            </w:r>
          </w:p>
          <w:p>
            <w:r>
              <w:rPr>
                <w:rFonts w:ascii="Consolas" w:cs="Consolas" w:eastAsia="Consolas" w:hAnsi="Consolas"/>
                <w:color w:val="111827"/>
                <w:sz w:val="16"/>
                <w:szCs w:val="16"/>
              </w:rPr>
              <w:t xml:space="preserve">graph TB</w:t>
            </w:r>
          </w:p>
          <w:p>
            <w:r>
              <w:rPr>
                <w:rFonts w:ascii="Consolas" w:cs="Consolas" w:eastAsia="Consolas" w:hAnsi="Consolas"/>
                <w:color w:val="111827"/>
                <w:sz w:val="16"/>
                <w:szCs w:val="16"/>
              </w:rPr>
              <w:t xml:space="preserve">  SETTLE[Settlement Service]</w:t>
            </w:r>
          </w:p>
          <w:p>
            <w:r>
              <w:rPr>
                <w:rFonts w:ascii="Consolas" w:cs="Consolas" w:eastAsia="Consolas" w:hAnsi="Consolas"/>
                <w:color w:val="111827"/>
                <w:sz w:val="16"/>
                <w:szCs w:val="16"/>
              </w:rPr>
              <w:t xml:space="preserve">  BAL[Banking Abstraction Layer]</w:t>
            </w:r>
          </w:p>
          <w:p>
            <w:r>
              <w:rPr>
                <w:rFonts w:ascii="Consolas" w:cs="Consolas" w:eastAsia="Consolas" w:hAnsi="Consolas"/>
                <w:color w:val="111827"/>
                <w:sz w:val="16"/>
                <w:szCs w:val="16"/>
              </w:rPr>
              <w:t xml:space="preserve">  ADAPTER1[Partner Adapter A]</w:t>
            </w:r>
          </w:p>
          <w:p>
            <w:r>
              <w:rPr>
                <w:rFonts w:ascii="Consolas" w:cs="Consolas" w:eastAsia="Consolas" w:hAnsi="Consolas"/>
                <w:color w:val="111827"/>
                <w:sz w:val="16"/>
                <w:szCs w:val="16"/>
              </w:rPr>
              <w:t xml:space="preserve">  ADAPTER2[Partner Adapter B]</w:t>
            </w:r>
          </w:p>
          <w:p>
            <w:r>
              <w:rPr>
                <w:rFonts w:ascii="Consolas" w:cs="Consolas" w:eastAsia="Consolas" w:hAnsi="Consolas"/>
                <w:color w:val="111827"/>
                <w:sz w:val="16"/>
                <w:szCs w:val="16"/>
              </w:rPr>
              <w:t xml:space="preserve">  WEBHOOK[Webhook Ingress Handler]</w:t>
            </w:r>
          </w:p>
          <w:p>
            <w:r>
              <w:rPr>
                <w:rFonts w:ascii="Consolas" w:cs="Consolas" w:eastAsia="Consolas" w:hAnsi="Consolas"/>
                <w:color w:val="111827"/>
                <w:sz w:val="16"/>
                <w:szCs w:val="16"/>
              </w:rPr>
              <w:t xml:space="preserve">  QUEUE[(Celery / Redis)]</w:t>
            </w:r>
          </w:p>
          <w:p>
            <w:r>
              <w:rPr>
                <w:rFonts w:ascii="Consolas" w:cs="Consolas" w:eastAsia="Consolas" w:hAnsi="Consolas"/>
                <w:color w:val="111827"/>
                <w:sz w:val="16"/>
                <w:szCs w:val="16"/>
              </w:rPr>
              <w:t xml:space="preserve">  SETTLE --&gt; BAL</w:t>
            </w:r>
          </w:p>
          <w:p>
            <w:r>
              <w:rPr>
                <w:rFonts w:ascii="Consolas" w:cs="Consolas" w:eastAsia="Consolas" w:hAnsi="Consolas"/>
                <w:color w:val="111827"/>
                <w:sz w:val="16"/>
                <w:szCs w:val="16"/>
              </w:rPr>
              <w:t xml:space="preserve">  BAL --&gt; ADAPTER1</w:t>
            </w:r>
          </w:p>
          <w:p>
            <w:r>
              <w:rPr>
                <w:rFonts w:ascii="Consolas" w:cs="Consolas" w:eastAsia="Consolas" w:hAnsi="Consolas"/>
                <w:color w:val="111827"/>
                <w:sz w:val="16"/>
                <w:szCs w:val="16"/>
              </w:rPr>
              <w:t xml:space="preserve">  BAL --&gt; ADAPTER2</w:t>
            </w:r>
          </w:p>
          <w:p>
            <w:r>
              <w:rPr>
                <w:rFonts w:ascii="Consolas" w:cs="Consolas" w:eastAsia="Consolas" w:hAnsi="Consolas"/>
                <w:color w:val="111827"/>
                <w:sz w:val="16"/>
                <w:szCs w:val="16"/>
              </w:rPr>
              <w:t xml:space="preserve">  ADAPTER1 -.webhook.-&gt; WEBHOOK</w:t>
            </w:r>
          </w:p>
          <w:p>
            <w:r>
              <w:rPr>
                <w:rFonts w:ascii="Consolas" w:cs="Consolas" w:eastAsia="Consolas" w:hAnsi="Consolas"/>
                <w:color w:val="111827"/>
                <w:sz w:val="16"/>
                <w:szCs w:val="16"/>
              </w:rPr>
              <w:t xml:space="preserve">  ADAPTER2 -.webhook.-&gt; WEBHOOK</w:t>
            </w:r>
          </w:p>
          <w:p>
            <w:r>
              <w:rPr>
                <w:rFonts w:ascii="Consolas" w:cs="Consolas" w:eastAsia="Consolas" w:hAnsi="Consolas"/>
                <w:color w:val="111827"/>
                <w:sz w:val="16"/>
                <w:szCs w:val="16"/>
              </w:rPr>
              <w:t xml:space="preserve">  WEBHOOK --&gt; QUEUE</w:t>
            </w:r>
          </w:p>
          <w:p>
            <w:r>
              <w:rPr>
                <w:rFonts w:ascii="Consolas" w:cs="Consolas" w:eastAsia="Consolas" w:hAnsi="Consolas"/>
                <w:color w:val="111827"/>
                <w:sz w:val="16"/>
                <w:szCs w:val="16"/>
              </w:rPr>
              <w:t xml:space="preserve">  QUEUE --&gt; SETTLE</w:t>
            </w:r>
          </w:p>
          <w:p>
            <w:r>
              <w:rPr>
                <w:rFonts w:ascii="Consolas" w:cs="Consolas" w:eastAsia="Consolas" w:hAnsi="Consolas"/>
                <w:color w:val="6B7280"/>
                <w:sz w:val="16"/>
                <w:szCs w:val="16"/>
              </w:rPr>
              <w:t xml:space="preserve">```</w:t>
            </w:r>
          </w:p>
        </w:tc>
      </w:tr>
    </w:tbl>
    <w:p>
      <w:pPr>
        <w:spacing w:after="200"/>
      </w:pPr>
    </w:p>
    <w:p>
      <w:pPr>
        <w:spacing w:after="160"/>
      </w:pPr>
      <w:r>
        <w:rPr>
          <w:rFonts w:ascii="Calibri" w:cs="Calibri" w:eastAsia="Calibri" w:hAnsi="Calibri"/>
          <w:sz w:val="22"/>
          <w:szCs w:val="22"/>
        </w:rPr>
        <w:t xml:space="preserve">The BAL exposes four provider-agnostic operations that every adapter must implement: initiateTransfer, verifyAccount, checkTransferStatus, and validateWebhookSignature. No calling code above the BAL is aware of provider-specific request/response shapes.</w:t>
      </w:r>
    </w:p>
    <w:p>
      <w:pPr>
        <w:pStyle w:val="Heading1"/>
        <w:spacing w:after="240" w:before="480"/>
      </w:pPr>
      <w:r>
        <w:rPr>
          <w:color w:val="001B68"/>
        </w:rPr>
        <w:t xml:space="preserve">3. Partner Interface Contracts</w:t>
      </w:r>
    </w:p>
    <w:p>
      <w:pPr>
        <w:pStyle w:val="Heading2"/>
        <w:spacing w:after="200" w:before="360"/>
      </w:pPr>
      <w:r>
        <w:rPr>
          <w:color w:val="001B68"/>
        </w:rPr>
        <w:t xml:space="preserve">3.1 Bank Transfer (Outbound Initiation)</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337"/>
        <w:gridCol w:w="2337"/>
        <w:gridCol w:w="2337"/>
        <w:gridCol w:w="2337"/>
      </w:tblGrid>
      <w:tr>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Field</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Type</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Required</w:t>
            </w:r>
          </w:p>
        </w:tc>
        <w:tc>
          <w:tcPr>
            <w:tcW w:type="dxa" w:w="2337"/>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Description</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source_account_ref</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string</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Yes</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Tokenized reference to the sending party’s validated bank account, never a raw account number</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destination_account_ref</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string</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Yes</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Tokenized reference to the receiving party’s validated bank account</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amount</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string (Decimal)</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Yes</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Transfer amount, serialized as a string per Document 05 monetary conventions</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currency</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string (ISO 4217)</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Yes</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NGN or USD at launch</w:t>
            </w:r>
          </w:p>
        </w:tc>
      </w:tr>
      <w:tr>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settlement_id</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UUID</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Yes</w:t>
            </w:r>
          </w:p>
        </w:tc>
        <w:tc>
          <w:tcPr>
            <w:tcW w:type="dxa" w:w="2337"/>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Xspeeria-internal correlation identifier, echoed back on every webhook</w:t>
            </w:r>
          </w:p>
        </w:tc>
      </w:tr>
      <w:tr>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narration</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string</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w:t>
            </w:r>
          </w:p>
        </w:tc>
        <w:tc>
          <w:tcPr>
            <w:tcW w:type="dxa" w:w="2337"/>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Human-readable transfer memo, capped to partner’s field-length limit</w:t>
            </w:r>
          </w:p>
        </w:tc>
      </w:tr>
    </w:tbl>
    <w:p>
      <w:pPr>
        <w:pStyle w:val="Heading2"/>
        <w:spacing w:after="200" w:before="360"/>
      </w:pPr>
      <w:r>
        <w:rPr>
          <w:color w:val="001B68"/>
        </w:rPr>
        <w:t xml:space="preserve">3.2 Payment Verification</w:t>
      </w:r>
    </w:p>
    <w:p>
      <w:pPr>
        <w:spacing w:after="160"/>
      </w:pPr>
      <w:r>
        <w:rPr>
          <w:rFonts w:ascii="Calibri" w:cs="Calibri" w:eastAsia="Calibri" w:hAnsi="Calibri"/>
          <w:sz w:val="22"/>
          <w:szCs w:val="22"/>
        </w:rPr>
        <w:t xml:space="preserve">After a transfer is initiated, the BAL polls checkTransferStatus as a fallback and primarily relies on the partner’s webhook (Section 5) as the source of truth, since polling alone is insufficient for timely settlement-state updates at the volumes this platform targets.</w:t>
      </w:r>
    </w:p>
    <w:p>
      <w:pPr>
        <w:pStyle w:val="Heading2"/>
        <w:spacing w:after="200" w:before="360"/>
      </w:pPr>
      <w:r>
        <w:rPr>
          <w:color w:val="001B68"/>
        </w:rPr>
        <w:t xml:space="preserve">3.3 Account Validation</w:t>
      </w:r>
    </w:p>
    <w:p>
      <w:pPr>
        <w:spacing w:after="160"/>
      </w:pPr>
      <w:r>
        <w:rPr>
          <w:rFonts w:ascii="Calibri" w:cs="Calibri" w:eastAsia="Calibri" w:hAnsi="Calibri"/>
          <w:sz w:val="22"/>
          <w:szCs w:val="22"/>
        </w:rPr>
        <w:t xml:space="preserve">Before a user’s bank account can be used as a settlement destination, it is validated via the partner’s account-name-inquiry capability: Xspeeria submits an account number and bank code, and the partner returns the account holder’s registered name for the user to confirm matches their KYC-verified legal name (Document 05, KYCCases.legal_name) before the account is saved.</w:t>
      </w:r>
    </w:p>
    <w:p>
      <w:pPr>
        <w:pStyle w:val="Heading2"/>
        <w:spacing w:after="200" w:before="360"/>
      </w:pPr>
      <w:r>
        <w:rPr>
          <w:color w:val="001B68"/>
        </w:rPr>
        <w:t xml:space="preserve">3.4 Webhook Interface</w:t>
      </w:r>
    </w:p>
    <w:p>
      <w:pPr>
        <w:spacing w:after="160"/>
      </w:pPr>
      <w:r>
        <w:rPr>
          <w:rFonts w:ascii="Calibri" w:cs="Calibri" w:eastAsia="Calibri" w:hAnsi="Calibri"/>
          <w:sz w:val="22"/>
          <w:szCs w:val="22"/>
        </w:rPr>
        <w:t xml:space="preserve">See Section 5 for the full webhook contract. At the interface-contract level, every partner adapter must be capable of receiving and acknowledging webhook callbacks for at minimum: transfer.completed, transfer.failed, and transfer.reversed events.</w:t>
      </w:r>
    </w:p>
    <w:p>
      <w:pPr>
        <w:pStyle w:val="Heading1"/>
        <w:spacing w:after="240" w:before="480"/>
      </w:pPr>
      <w:r>
        <w:rPr>
          <w:color w:val="001B68"/>
        </w:rPr>
        <w:t xml:space="preserve">4. Settlement Lifecycle</w:t>
      </w:r>
    </w:p>
    <w:p>
      <w:pPr>
        <w:pStyle w:val="Heading2"/>
        <w:spacing w:after="200" w:before="360"/>
      </w:pPr>
      <w:r>
        <w:rPr>
          <w:color w:val="001B68"/>
        </w:rPr>
        <w:t xml:space="preserve">4.1 NGN → USD Corridor</w:t>
      </w:r>
    </w:p>
    <w:p>
      <w:pPr>
        <w:spacing w:after="80" w:before="160"/>
      </w:pPr>
      <w:r>
        <w:rPr>
          <w:rFonts w:ascii="Calibri" w:cs="Calibri" w:eastAsia="Calibri" w:hAnsi="Calibri"/>
          <w:b/>
          <w:bCs/>
          <w:i/>
          <w:iCs/>
          <w:color w:val="6B7280"/>
          <w:sz w:val="20"/>
          <w:szCs w:val="20"/>
        </w:rPr>
        <w:t xml:space="preserve">Figure: NGN to USD settlement sequence</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c>
          <w:tcPr>
            <w:shd w:fill="F8FAFC" w:val="clear"/>
            <w:tcMar>
              <w:top w:type="dxa" w:w="160"/>
              <w:left w:type="dxa" w:w="200"/>
              <w:bottom w:type="dxa" w:w="160"/>
              <w:right w:type="dxa" w:w="200"/>
            </w:tcMar>
          </w:tcPr>
          <w:p>
            <w:r>
              <w:rPr>
                <w:rFonts w:ascii="Consolas" w:cs="Consolas" w:eastAsia="Consolas" w:hAnsi="Consolas"/>
                <w:color w:val="6B7280"/>
                <w:sz w:val="16"/>
                <w:szCs w:val="16"/>
              </w:rPr>
              <w:t xml:space="preserve">```mermaid</w:t>
            </w:r>
          </w:p>
          <w:p>
            <w:r>
              <w:rPr>
                <w:rFonts w:ascii="Consolas" w:cs="Consolas" w:eastAsia="Consolas" w:hAnsi="Consolas"/>
                <w:color w:val="111827"/>
                <w:sz w:val="16"/>
                <w:szCs w:val="16"/>
              </w:rPr>
              <w:t xml:space="preserve">sequenceDiagram</w:t>
            </w:r>
          </w:p>
          <w:p>
            <w:r>
              <w:rPr>
                <w:rFonts w:ascii="Consolas" w:cs="Consolas" w:eastAsia="Consolas" w:hAnsi="Consolas"/>
                <w:color w:val="111827"/>
                <w:sz w:val="16"/>
                <w:szCs w:val="16"/>
              </w:rPr>
              <w:t xml:space="preserve">  participant NGNParty as NGN-paying Party</w:t>
            </w:r>
          </w:p>
          <w:p>
            <w:r>
              <w:rPr>
                <w:rFonts w:ascii="Consolas" w:cs="Consolas" w:eastAsia="Consolas" w:hAnsi="Consolas"/>
                <w:color w:val="111827"/>
                <w:sz w:val="16"/>
                <w:szCs w:val="16"/>
              </w:rPr>
              <w:t xml:space="preserve">  participant App as Xspeeria App</w:t>
            </w:r>
          </w:p>
          <w:p>
            <w:r>
              <w:rPr>
                <w:rFonts w:ascii="Consolas" w:cs="Consolas" w:eastAsia="Consolas" w:hAnsi="Consolas"/>
                <w:color w:val="111827"/>
                <w:sz w:val="16"/>
                <w:szCs w:val="16"/>
              </w:rPr>
              <w:t xml:space="preserve">  participant Settle as Settlement Service</w:t>
            </w:r>
          </w:p>
          <w:p>
            <w:r>
              <w:rPr>
                <w:rFonts w:ascii="Consolas" w:cs="Consolas" w:eastAsia="Consolas" w:hAnsi="Consolas"/>
                <w:color w:val="111827"/>
                <w:sz w:val="16"/>
                <w:szCs w:val="16"/>
              </w:rPr>
              <w:t xml:space="preserve">  participant BAL as Banking Abstraction Layer</w:t>
            </w:r>
          </w:p>
          <w:p>
            <w:r>
              <w:rPr>
                <w:rFonts w:ascii="Consolas" w:cs="Consolas" w:eastAsia="Consolas" w:hAnsi="Consolas"/>
                <w:color w:val="111827"/>
                <w:sz w:val="16"/>
                <w:szCs w:val="16"/>
              </w:rPr>
              <w:t xml:space="preserve">  participant Bank as Banking Partner</w:t>
            </w:r>
          </w:p>
          <w:p>
            <w:r>
              <w:rPr>
                <w:rFonts w:ascii="Consolas" w:cs="Consolas" w:eastAsia="Consolas" w:hAnsi="Consolas"/>
                <w:color w:val="111827"/>
                <w:sz w:val="16"/>
                <w:szCs w:val="16"/>
              </w:rPr>
              <w:t xml:space="preserve">  participant USDParty as USD-paying Party</w:t>
            </w:r>
          </w:p>
          <w:p>
            <w:r>
              <w:rPr>
                <w:rFonts w:ascii="Consolas" w:cs="Consolas" w:eastAsia="Consolas" w:hAnsi="Consolas"/>
                <w:color w:val="111827"/>
                <w:sz w:val="16"/>
                <w:szCs w:val="16"/>
              </w:rPr>
              <w:t xml:space="preserve">  App-&gt;&gt;Settle: Match confirmed (Document 05)</w:t>
            </w:r>
          </w:p>
          <w:p>
            <w:r>
              <w:rPr>
                <w:rFonts w:ascii="Consolas" w:cs="Consolas" w:eastAsia="Consolas" w:hAnsi="Consolas"/>
                <w:color w:val="111827"/>
                <w:sz w:val="16"/>
                <w:szCs w:val="16"/>
              </w:rPr>
              <w:t xml:space="preserve">  Settle-&gt;&gt;Settle: status = initiated</w:t>
            </w:r>
          </w:p>
          <w:p>
            <w:r>
              <w:rPr>
                <w:rFonts w:ascii="Consolas" w:cs="Consolas" w:eastAsia="Consolas" w:hAnsi="Consolas"/>
                <w:color w:val="111827"/>
                <w:sz w:val="16"/>
                <w:szCs w:val="16"/>
              </w:rPr>
              <w:t xml:space="preserve">  Settle--&gt;&gt;NGNParty: Instructions: pay NGN leg</w:t>
            </w:r>
          </w:p>
          <w:p>
            <w:r>
              <w:rPr>
                <w:rFonts w:ascii="Consolas" w:cs="Consolas" w:eastAsia="Consolas" w:hAnsi="Consolas"/>
                <w:color w:val="111827"/>
                <w:sz w:val="16"/>
                <w:szCs w:val="16"/>
              </w:rPr>
              <w:t xml:space="preserve">  Settle--&gt;&gt;USDParty: Instructions: pay USD leg</w:t>
            </w:r>
          </w:p>
          <w:p>
            <w:r>
              <w:rPr>
                <w:rFonts w:ascii="Consolas" w:cs="Consolas" w:eastAsia="Consolas" w:hAnsi="Consolas"/>
                <w:color w:val="111827"/>
                <w:sz w:val="16"/>
                <w:szCs w:val="16"/>
              </w:rPr>
              <w:t xml:space="preserve">  NGNParty-&gt;&gt;App: confirm-funds (NGN leg)</w:t>
            </w:r>
          </w:p>
          <w:p>
            <w:r>
              <w:rPr>
                <w:rFonts w:ascii="Consolas" w:cs="Consolas" w:eastAsia="Consolas" w:hAnsi="Consolas"/>
                <w:color w:val="111827"/>
                <w:sz w:val="16"/>
                <w:szCs w:val="16"/>
              </w:rPr>
              <w:t xml:space="preserve">  USDParty-&gt;&gt;App: confirm-funds (USD leg)</w:t>
            </w:r>
          </w:p>
          <w:p>
            <w:r>
              <w:rPr>
                <w:rFonts w:ascii="Consolas" w:cs="Consolas" w:eastAsia="Consolas" w:hAnsi="Consolas"/>
                <w:color w:val="111827"/>
                <w:sz w:val="16"/>
                <w:szCs w:val="16"/>
              </w:rPr>
              <w:t xml:space="preserve">  App-&gt;&gt;Settle: both legs marked funds_pending_verification</w:t>
            </w:r>
          </w:p>
          <w:p>
            <w:r>
              <w:rPr>
                <w:rFonts w:ascii="Consolas" w:cs="Consolas" w:eastAsia="Consolas" w:hAnsi="Consolas"/>
                <w:color w:val="111827"/>
                <w:sz w:val="16"/>
                <w:szCs w:val="16"/>
              </w:rPr>
              <w:t xml:space="preserve">  Bank-&gt;&gt;BAL: webhook transfer.completed (NGN leg)</w:t>
            </w:r>
          </w:p>
          <w:p>
            <w:r>
              <w:rPr>
                <w:rFonts w:ascii="Consolas" w:cs="Consolas" w:eastAsia="Consolas" w:hAnsi="Consolas"/>
                <w:color w:val="111827"/>
                <w:sz w:val="16"/>
                <w:szCs w:val="16"/>
              </w:rPr>
              <w:t xml:space="preserve">  Bank-&gt;&gt;BAL: webhook transfer.completed (USD leg)</w:t>
            </w:r>
          </w:p>
          <w:p>
            <w:r>
              <w:rPr>
                <w:rFonts w:ascii="Consolas" w:cs="Consolas" w:eastAsia="Consolas" w:hAnsi="Consolas"/>
                <w:color w:val="111827"/>
                <w:sz w:val="16"/>
                <w:szCs w:val="16"/>
              </w:rPr>
              <w:t xml:space="preserve">  BAL-&gt;&gt;Settle: both legs verified</w:t>
            </w:r>
          </w:p>
          <w:p>
            <w:r>
              <w:rPr>
                <w:rFonts w:ascii="Consolas" w:cs="Consolas" w:eastAsia="Consolas" w:hAnsi="Consolas"/>
                <w:color w:val="111827"/>
                <w:sz w:val="16"/>
                <w:szCs w:val="16"/>
              </w:rPr>
              <w:t xml:space="preserve">  Settle-&gt;&gt;Settle: status = completed</w:t>
            </w:r>
          </w:p>
          <w:p>
            <w:r>
              <w:rPr>
                <w:rFonts w:ascii="Consolas" w:cs="Consolas" w:eastAsia="Consolas" w:hAnsi="Consolas"/>
                <w:color w:val="111827"/>
                <w:sz w:val="16"/>
                <w:szCs w:val="16"/>
              </w:rPr>
              <w:t xml:space="preserve">  Settle--&gt;&gt;NGNParty: Settlement complete notification</w:t>
            </w:r>
          </w:p>
          <w:p>
            <w:r>
              <w:rPr>
                <w:rFonts w:ascii="Consolas" w:cs="Consolas" w:eastAsia="Consolas" w:hAnsi="Consolas"/>
                <w:color w:val="111827"/>
                <w:sz w:val="16"/>
                <w:szCs w:val="16"/>
              </w:rPr>
              <w:t xml:space="preserve">  Settle--&gt;&gt;USDParty: Settlement complete notification</w:t>
            </w:r>
          </w:p>
          <w:p>
            <w:r>
              <w:rPr>
                <w:rFonts w:ascii="Consolas" w:cs="Consolas" w:eastAsia="Consolas" w:hAnsi="Consolas"/>
                <w:color w:val="6B7280"/>
                <w:sz w:val="16"/>
                <w:szCs w:val="16"/>
              </w:rPr>
              <w:t xml:space="preserve">```</w:t>
            </w:r>
          </w:p>
        </w:tc>
      </w:tr>
    </w:tbl>
    <w:p>
      <w:pPr>
        <w:spacing w:after="200"/>
      </w:pPr>
    </w:p>
    <w:p>
      <w:pPr>
        <w:pStyle w:val="Heading2"/>
        <w:spacing w:after="200" w:before="360"/>
      </w:pPr>
      <w:r>
        <w:rPr>
          <w:color w:val="001B68"/>
        </w:rPr>
        <w:t>4.2 GBP → NGN Corridor (Pilot; NGN⇄USD follows the identical pattern from Year 2)</w:t>
      </w:r>
    </w:p>
    <w:p>
      <w:pPr>
        <w:spacing w:after="160"/>
      </w:pPr>
      <w:r>
        <w:rPr>
          <w:rFonts w:ascii="Calibri" w:cs="Calibri" w:eastAsia="Calibri" w:hAnsi="Calibri"/>
          <w:sz w:val="22"/>
          <w:szCs w:val="22"/>
        </w:rPr>
        <w:t>The GBP→NGN direction follows the identical sequence with the two legs' currencies, escrow accounts, and domestic release destinations inverted; the state machine itself is currency-direction-agnostic by design, which is what allows NGN⇄USD to be added in Year 2 without redesign. In both directions, release from either escrow account is gated on both escrow accounts reporting funded status — a single-sided funding event never triggers a release.</w:t>
      </w:r>
    </w:p>
    <w:p>
      <w:pPr>
        <w:pStyle w:val="Heading2"/>
        <w:spacing w:after="200" w:before="360"/>
      </w:pPr>
      <w:r>
        <w:rPr>
          <w:color w:val="001B68"/>
        </w:rPr>
        <w:t xml:space="preserve">4.3 Settlement State Machine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Status</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Meaning</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Valid Next States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initiated</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Both parties notified of settlement instructions</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funds_pending_verification, failed</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funds_pending_verification</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At least one party has confirmed sending funds; awaiting banking-partner verification</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verified, failed</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verified</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Banking partner has confirmed receipt of both legs</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processing</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processing</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Final reconciliation/clearing in progress</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completed, failed</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completed</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Terminal success state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failed</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Terminal failure state; see Section 7 for scenario-specific handling</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 (may re-enter initiated via manual dispute resolution, Document 05 Section 3.8)</w:t>
            </w:r>
          </w:p>
        </w:tc>
      </w:tr>
    </w:tbl>
    <w:p>
      <w:pPr>
        <w:pStyle w:val="Heading1"/>
        <w:spacing w:after="240" w:before="480"/>
      </w:pPr>
      <w:r>
        <w:rPr>
          <w:color w:val="001B68"/>
        </w:rPr>
        <w:t xml:space="preserve">5. Webhook Specification</w:t>
      </w:r>
    </w:p>
    <w:p>
      <w:pPr>
        <w:pStyle w:val="Heading2"/>
        <w:spacing w:after="200" w:before="360"/>
      </w:pPr>
      <w:r>
        <w:rPr>
          <w:color w:val="001B68"/>
        </w:rPr>
        <w:t xml:space="preserve">5.1 Required Headers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Header</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Description</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X-Xspeeria-Signature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HMAC-SHA256 signature of the raw request body, hex-encoded</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X-Xspeeria-Timestamp</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Unix timestamp (seconds) at which the partner sent the webhook</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X-Xspeeria-Event-Id</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Partner-generated unique event identifier, used for replay-protection dedup</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Content-Type</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application/json</w:t>
            </w:r>
          </w:p>
        </w:tc>
      </w:tr>
    </w:tbl>
    <w:p>
      <w:pPr>
        <w:pStyle w:val="Heading2"/>
        <w:spacing w:after="200" w:before="360"/>
      </w:pPr>
      <w:r>
        <w:rPr>
          <w:color w:val="001B68"/>
        </w:rPr>
        <w:t xml:space="preserve">5.2 HMAC Signature Verification</w:t>
      </w:r>
    </w:p>
    <w:p>
      <w:pPr>
        <w:spacing w:after="160"/>
      </w:pPr>
      <w:r>
        <w:rPr>
          <w:rFonts w:ascii="Calibri" w:cs="Calibri" w:eastAsia="Calibri" w:hAnsi="Calibri"/>
          <w:sz w:val="22"/>
          <w:szCs w:val="22"/>
        </w:rPr>
        <w:t xml:space="preserve">The BAL computes HMAC-SHA256 over the exact raw request body bytes using a per-partner shared secret (stored in AWS Secrets Manager per Document 06, Section 5.3) and performs a constant-time comparison against X-Xspeeria-Signature. Any mismatch results in an immediate 401 response and the payload is discarded without processing, consistent with SECURITY.md’s webhook-verification requirement.</w:t>
      </w:r>
    </w:p>
    <w:p>
      <w:pPr>
        <w:pStyle w:val="Heading2"/>
        <w:spacing w:after="200" w:before="360"/>
      </w:pPr>
      <w:r>
        <w:rPr>
          <w:color w:val="001B68"/>
        </w:rPr>
        <w:t xml:space="preserve">5.3 Replay Protection</w:t>
      </w:r>
    </w:p>
    <w:p>
      <w:pPr>
        <w:spacing w:after="160"/>
      </w:pPr>
      <w:r>
        <w:rPr>
          <w:rFonts w:ascii="Calibri" w:cs="Calibri" w:eastAsia="Calibri" w:hAnsi="Calibri"/>
          <w:sz w:val="22"/>
          <w:szCs w:val="22"/>
        </w:rPr>
        <w:t xml:space="preserve">Two independent controls: (1) X-Xspeeria-Timestamp must be within 5 minutes of server-received time, rejecting stale replays; (2) X-Xspeeria-Event-Id is checked against a 30-day Redis set of previously-processed event IDs — a duplicate ID is acknowledged with 200 but not reprocessed, protecting against both malicious replay and benign partner-side redelivery.</w:t>
      </w:r>
    </w:p>
    <w:p>
      <w:pPr>
        <w:pStyle w:val="Heading2"/>
        <w:spacing w:after="200" w:before="360"/>
      </w:pPr>
      <w:r>
        <w:rPr>
          <w:color w:val="001B68"/>
        </w:rPr>
        <w:t xml:space="preserve">5.4 Retry Policy</w:t>
      </w:r>
    </w:p>
    <w:p>
      <w:pPr>
        <w:spacing w:after="160"/>
      </w:pPr>
      <w:r>
        <w:rPr>
          <w:rFonts w:ascii="Calibri" w:cs="Calibri" w:eastAsia="Calibri" w:hAnsi="Calibri"/>
          <w:sz w:val="22"/>
          <w:szCs w:val="22"/>
        </w:rPr>
        <w:t xml:space="preserve">Xspeeria’s webhook endpoint always returns within 2 seconds by immediately enqueueing the verified payload to Celery (Document 05, Section 6) and returning 200 — processing happens asynchronously so a slow downstream step never causes the partner to time out and retry unnecessarily. If Xspeeria’s endpoint is unreachable, the partner’s own retry policy governs; the BAL is designed to be idempotent against any redelivery schedule a partner may use.</w:t>
      </w:r>
    </w:p>
    <w:p>
      <w:pPr>
        <w:pStyle w:val="Heading2"/>
        <w:spacing w:after="200" w:before="360"/>
      </w:pPr>
      <w:r>
        <w:rPr>
          <w:color w:val="001B68"/>
        </w:rPr>
        <w:t xml:space="preserve">5.5 Idempotency</w:t>
      </w:r>
    </w:p>
    <w:p>
      <w:pPr>
        <w:spacing w:after="160"/>
      </w:pPr>
      <w:r>
        <w:rPr>
          <w:rFonts w:ascii="Calibri" w:cs="Calibri" w:eastAsia="Calibri" w:hAnsi="Calibri"/>
          <w:sz w:val="22"/>
          <w:szCs w:val="22"/>
        </w:rPr>
        <w:t xml:space="preserve">Every webhook-triggered state transition is keyed on (settlement_id, event_type) and is a no-op if that transition has already been applied, making the entire ingestion path safe under at-least-once delivery semantics.</w:t>
      </w:r>
    </w:p>
    <w:p>
      <w:pPr>
        <w:pStyle w:val="Heading1"/>
        <w:spacing w:after="240" w:before="480"/>
      </w:pPr>
      <w:r>
        <w:rPr>
          <w:color w:val="001B68"/>
        </w:rPr>
        <w:t xml:space="preserve">6. Reconciliation</w:t>
      </w:r>
    </w:p>
    <w:p>
      <w:pPr>
        <w:pStyle w:val="Heading2"/>
        <w:spacing w:after="200" w:before="360"/>
      </w:pPr>
      <w:r>
        <w:rPr>
          <w:color w:val="001B68"/>
        </w:rPr>
        <w:t xml:space="preserve">6.1 Daily Reconciliation</w:t>
      </w:r>
    </w:p>
    <w:p>
      <w:pPr>
        <w:spacing w:after="160"/>
      </w:pPr>
      <w:r>
        <w:rPr>
          <w:rFonts w:ascii="Calibri" w:cs="Calibri" w:eastAsia="Calibri" w:hAnsi="Calibri"/>
          <w:sz w:val="22"/>
          <w:szCs w:val="22"/>
        </w:rPr>
        <w:t xml:space="preserve">A scheduled Celery Beat job (Document 06, Section 6) runs nightly, comparing Xspeeria’s internal Settlement records against the banking partner’s transaction report for the same 24-hour window. Any settlement present in one system and not the other is flagged into an exceptions queue for manual review before the books are considered closed for that day.</w:t>
      </w:r>
    </w:p>
    <w:p>
      <w:pPr>
        <w:pStyle w:val="Heading2"/>
        <w:spacing w:after="200" w:before="360"/>
      </w:pPr>
      <w:r>
        <w:rPr>
          <w:color w:val="001B68"/>
        </w:rPr>
        <w:t xml:space="preserve">6.2 Weekly Reconciliation</w:t>
      </w:r>
    </w:p>
    <w:p>
      <w:pPr>
        <w:spacing w:after="160"/>
      </w:pPr>
      <w:r>
        <w:rPr>
          <w:rFonts w:ascii="Calibri" w:cs="Calibri" w:eastAsia="Calibri" w:hAnsi="Calibri"/>
          <w:sz w:val="22"/>
          <w:szCs w:val="22"/>
        </w:rPr>
        <w:t xml:space="preserve">A rollup reconciliation aggregates the seven daily reconciliations into a weekly settlement report, cross-checked against aggregate volume figures for the Business Dashboard (Document 04, Section 5.4) and used as the basis for any partner-facing settlement report (Section 6.4).</w:t>
      </w:r>
    </w:p>
    <w:p>
      <w:pPr>
        <w:pStyle w:val="Heading2"/>
        <w:spacing w:after="200" w:before="360"/>
      </w:pPr>
      <w:r>
        <w:rPr>
          <w:color w:val="001B68"/>
        </w:rPr>
        <w:t xml:space="preserve">6.3 Exception Handling</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Exception Type</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Handling</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Settlement in Xspeeria, absent from partner report</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Escalate to partner support channel same-day; hold settlement in verified-pending state, do not mark completed on Xspeeria’s side alone</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Settlement in partner report, absent from Xspeeria</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Investigate for a missed/failed webhook; manually trigger BAL status re-check before any manual ledger correction</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Amount mismatch between systems</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Immediate freeze of the affected settlement, routed to the Dispute flow (Document 05, Section 3.8) pending manual investigation</w:t>
            </w:r>
          </w:p>
        </w:tc>
      </w:tr>
    </w:tbl>
    <w:p>
      <w:pPr>
        <w:pStyle w:val="Heading2"/>
        <w:spacing w:after="200" w:before="360"/>
      </w:pPr>
      <w:r>
        <w:rPr>
          <w:color w:val="001B68"/>
        </w:rPr>
        <w:t xml:space="preserve">6.4 Settlement Reports</w:t>
      </w:r>
    </w:p>
    <w:p>
      <w:pPr>
        <w:spacing w:after="160"/>
      </w:pPr>
      <w:r>
        <w:rPr>
          <w:rFonts w:ascii="Calibri" w:cs="Calibri" w:eastAsia="Calibri" w:hAnsi="Calibri"/>
          <w:sz w:val="22"/>
          <w:szCs w:val="22"/>
        </w:rPr>
        <w:t xml:space="preserve">A partner-facing settlement report is produced weekly (and available on-demand) summarizing total volume, transaction count, and exception count per currency leg — the artifact both parties reconcile against for any billing or dispute conversation.</w:t>
      </w:r>
    </w:p>
    <w:p>
      <w:pPr>
        <w:pStyle w:val="Heading1"/>
        <w:spacing w:after="240" w:before="480"/>
      </w:pPr>
      <w:r>
        <w:rPr>
          <w:color w:val="001B68"/>
        </w:rPr>
        <w:t xml:space="preserve">7. Failure Scenarios</w:t>
      </w:r>
    </w:p>
    <w:p>
      <w:pPr>
        <w:pStyle w:val="Heading3"/>
        <w:spacing w:after="160" w:before="280"/>
      </w:pPr>
      <w:r>
        <w:rPr>
          <w:color w:val="111827"/>
        </w:rPr>
        <w:t xml:space="preserve">Timeout</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7350"/>
      </w:tblGrid>
      <w:tr>
        <w:tc>
          <w:tcPr>
            <w:tcW w:type="dxa" w:w="20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3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Detection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checkTransferStatus poll or expected webhook does not arrive within the partner’s stated SLA window (Section 8)</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Recovery</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Escalate to partner support; settlement remains in funds_pending_verification rather than being falsely advanced or falsely failed</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User Communication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Settlement Tracking screen (Document 04) shows an extended-processing state with an explicit "this is taking longer than usual" message, never silence</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Audit Logging</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 timeline entry logged to AuditLog (Document 05) with the exact SLA breach duration</w:t>
            </w:r>
          </w:p>
        </w:tc>
      </w:tr>
    </w:tbl>
    <w:p>
      <w:pPr>
        <w:pStyle w:val="Heading3"/>
        <w:spacing w:after="160" w:before="280"/>
      </w:pPr>
      <w:r>
        <w:rPr>
          <w:color w:val="111827"/>
        </w:rPr>
        <w:t xml:space="preserve">Duplicate Webhook</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7350"/>
      </w:tblGrid>
      <w:tr>
        <w:tc>
          <w:tcPr>
            <w:tcW w:type="dxa" w:w="20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3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Detection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Same X-Xspeeria-Event-Id received more than once</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Recovery</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Deduplicated automatically per Section 5.3; second and subsequent deliveries are acknowledged but not reprocessed</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User Communication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 user-visible effect — this is fully absorbed by the idempotency layer</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Audit Logging</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Duplicate delivery logged at debug level for observability, not treated as an incident</w:t>
            </w:r>
          </w:p>
        </w:tc>
      </w:tr>
    </w:tbl>
    <w:p>
      <w:pPr>
        <w:pStyle w:val="Heading3"/>
        <w:spacing w:after="160" w:before="280"/>
      </w:pPr>
      <w:r>
        <w:rPr>
          <w:color w:val="111827"/>
        </w:rPr>
        <w:t xml:space="preserve">Partial Settlement</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7350"/>
      </w:tblGrid>
      <w:tr>
        <w:tc>
          <w:tcPr>
            <w:tcW w:type="dxa" w:w="20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3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Detection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One leg (e.g., NGN) verifies successfully while the other (USD) fails or times out</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Recovery</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Transaction remains non-terminal; the successfully-verified leg is not released/considered final until both legs verify, preventing a scenario where one party has paid and the other has not</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User Communication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Both parties notified of the specific leg still pending, with a clear "we are holding your confirmed leg safely" message consistent with the wallet-less, no-custody design principle</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Audit Logging</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Both leg statuses individually logged with timestamps for full auditability</w:t>
            </w:r>
          </w:p>
        </w:tc>
      </w:tr>
    </w:tbl>
    <w:p>
      <w:pPr>
        <w:pStyle w:val="Heading3"/>
        <w:spacing w:after="160" w:before="280"/>
      </w:pPr>
      <w:r>
        <w:rPr>
          <w:color w:val="111827"/>
        </w:rPr>
        <w:t xml:space="preserve">Failed Payout</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7350"/>
      </w:tblGrid>
      <w:tr>
        <w:tc>
          <w:tcPr>
            <w:tcW w:type="dxa" w:w="20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3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Detection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Banking partner reports a definitive transfer.failed for a leg (e.g., invalid destination account)</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Recovery</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Settlement transitions to failed; the paying party is prompted to re-verify their destination account details (Section 3.3) and re-attempt</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User Communication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Immediate, specific notification naming the failure reason in plain language, plus a clear retry action</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Audit Logging</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Failure reason and partner’s raw error code logged verbatim to AuditLog for support/partner escalation</w:t>
            </w:r>
          </w:p>
        </w:tc>
      </w:tr>
    </w:tbl>
    <w:p>
      <w:pPr>
        <w:pStyle w:val="Heading3"/>
        <w:spacing w:after="160" w:before="280"/>
      </w:pPr>
      <w:r>
        <w:rPr>
          <w:color w:val="111827"/>
        </w:rPr>
        <w:t xml:space="preserve">Bank Downtime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7350"/>
      </w:tblGrid>
      <w:tr>
        <w:tc>
          <w:tcPr>
            <w:tcW w:type="dxa" w:w="20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Aspect</w:t>
            </w:r>
          </w:p>
        </w:tc>
        <w:tc>
          <w:tcPr>
            <w:tcW w:type="dxa" w:w="73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Specification</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Detection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Partner reports a maintenance window or Xspeeria detects elevated timeout/error rates from a partner adapter</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Recovery</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BAL circuit-breaker marks the affected adapter unhealthy; new settlements requiring that partner are queued rather than attempted against a known-down dependency</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User Communication</w:t>
            </w:r>
          </w:p>
        </w:tc>
        <w:tc>
          <w:tcPr>
            <w:tcW w:type="dxa" w:w="7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Marketplace/Settlement screens display a scoped service-status banner if a specific corridor leg is affected, rather than a generic app-wide error</w:t>
            </w:r>
          </w:p>
        </w:tc>
      </w:tr>
      <w:tr>
        <w:tc>
          <w:tcPr>
            <w:tcW w:type="dxa" w:w="2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Audit Logging</w:t>
            </w:r>
          </w:p>
        </w:tc>
        <w:tc>
          <w:tcPr>
            <w:tcW w:type="dxa" w:w="7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Circuit-breaker state transitions logged; feeds the P2/P1 alerting policy in Document 06, Section 6.3</w:t>
            </w:r>
          </w:p>
        </w:tc>
      </w:tr>
    </w:tbl>
    <w:p>
      <w:pPr>
        <w:pStyle w:val="Heading1"/>
        <w:spacing w:after="240" w:before="480"/>
      </w:pPr>
      <w:r>
        <w:rPr>
          <w:color w:val="001B68"/>
        </w:rPr>
        <w:t xml:space="preserve">8. Banking SLA</w:t>
      </w:r>
    </w:p>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The following SLA figures are illustrative reference targets for evaluating and contracting a real banking partner — they are not commitments made by, or confirmed with, any actual partner, and must be replaced with the executed partner agreement’s real terms once one exists.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Metric</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Target</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Measurement Window</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Webhook delivery latency (partner-side)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Under 60 seconds from transfer completion</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Rolling 30-day</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Account name-inquiry response time</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Under 5 seconds</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Per-request</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Transfer completion time (NGN domestic leg)</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Under 15 minutes for 95% of transfers</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Rolling 30-day</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Transfer completion time (USD domestic leg)</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Under 4 hours for 95% of transfers</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Rolling 30-day</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Partner API availability</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99.9% monthly uptime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Monthly</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Partner support response (P1 incident)</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Under 30 minutes</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Per-incident</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Reconciliation report availability</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By 06:00 UTC daily for prior-day activity</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Daily</w:t>
            </w:r>
          </w:p>
        </w:tc>
      </w:tr>
    </w:tbl>
    <w:p>
      <w:pPr>
        <w:pStyle w:val="Heading1"/>
        <w:spacing w:after="240" w:before="480"/>
      </w:pPr>
      <w:r>
        <w:rPr>
          <w:color w:val="001B68"/>
        </w:rPr>
        <w:t xml:space="preserve">Appendix A: Regulatory Posture Disclaimer</w:t>
      </w:r>
    </w:p>
    <w:p>
      <w:pPr>
        <w:spacing w:after="160"/>
      </w:pPr>
      <w:r>
        <w:rPr>
          <w:rFonts w:ascii="Calibri" w:cs="Calibri" w:eastAsia="Calibri" w:hAnsi="Calibri"/>
          <w:sz w:val="22"/>
          <w:szCs w:val="22"/>
        </w:rPr>
        <w:t>This document intentionally does not name, describe, or imply possession of any money-transmission licence, forex-trading authorization, or banking-partner agreement. Although no leg of a settlement physically crosses the border under this specification's escrow-and-release model (applicable to the NGN⇄GBP pilot corridor and, from Year 2, NGN⇄USD), the coordinated two-leg outcome produces the same economic effect as a cross-border transfer, and is expected to be treated as such by regulators in both Nigeria and the United States — this specification's domestic-only fund flow reduces where custody sits (with the local licensed partner in each jurisdiction, not with Xspeeria) but does not, by itself, remove Xspeeria's own likely need for money-transmission-equivalent registration as the orchestrating party. The licensing, partner-selection, and compliance-approval work required to legally operate this corridor — for both Xspeeria and its escrow-holding partners — is outside this document's scope and must be completed by Legal and Compliance functions independently, with this specification serving only as the technical integration blueprint once licensed partners and a legal structure are in place.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 Xspeeria Pre-Development Blueprint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026"/>
      </w:tabs>
    </w:pPr>
    <w:r>
      <w:rPr>
        <w:rFonts w:ascii="Calibri" w:cs="Calibri" w:eastAsia="Calibri" w:hAnsi="Calibri"/>
        <w:color w:val="6B7280"/>
        <w:sz w:val="16"/>
        <w:szCs w:val="16"/>
      </w:rPr>
      <w:t xml:space="preserve">XSPEERIA</w:t>
    </w:r>
    <w:r>
      <w:rPr>
        <w:rFonts w:ascii="Calibri" w:cs="Calibri" w:eastAsia="Calibri" w:hAnsi="Calibri"/>
        <w:color w:val="6B7280"/>
        <w:sz w:val="16"/>
        <w:szCs w:val="16"/>
      </w:rPr>
      <w:t xml:space="preserve">	Document 07 — Banking Integration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01B68"/>
      <w:sz w:val="32"/>
      <w:szCs w:val="32"/>
    </w:rPr>
  </w:style>
  <w:style w:type="paragraph" w:styleId="Heading2">
    <w:name w:val="Heading 2"/>
    <w:basedOn w:val="Normal"/>
    <w:next w:val="Normal"/>
    <w:qFormat/>
    <w:pPr>
      <w:spacing w:after="200" w:before="360"/>
      <w:outlineLvl w:val="1"/>
    </w:pPr>
    <w:rPr>
      <w:rFonts w:ascii="Calibri" w:cs="Calibri" w:eastAsia="Calibri" w:hAnsi="Calibri"/>
      <w:b/>
      <w:bCs/>
      <w:color w:val="001B68"/>
      <w:sz w:val="26"/>
      <w:szCs w:val="26"/>
    </w:rPr>
  </w:style>
  <w:style w:type="paragraph" w:styleId="Heading3">
    <w:name w:val="Heading 3"/>
    <w:basedOn w:val="Normal"/>
    <w:next w:val="Normal"/>
    <w:qFormat/>
    <w:pPr>
      <w:spacing w:after="160" w:before="280"/>
      <w:outlineLvl w:val="2"/>
    </w:pPr>
    <w:rPr>
      <w:rFonts w:ascii="Calibri" w:cs="Calibri" w:eastAsia="Calibri" w:hAnsi="Calibri"/>
      <w:b/>
      <w:bCs/>
      <w:color w:val="111827"/>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2026-08-15T13:01:12.241Z</dcterms:created>
  <dcterms:modified xsi:type="dcterms:W3CDTF">2026-08-15T13:01:12.241Z</dcterms:modified>
</cp:coreProperties>
</file>

<file path=docProps/custom.xml><?xml version="1.0" encoding="utf-8"?>
<Properties xmlns="http://schemas.openxmlformats.org/officeDocument/2006/custom-properties" xmlns:vt="http://schemas.openxmlformats.org/officeDocument/2006/docPropsVTypes"/>
</file>