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Calibri" w:cs="Calibri" w:eastAsia="Calibri" w:hAnsi="Calibri"/>
          <w:b/>
          <w:bCs/>
          <w:color w:val="001B68"/>
          <w:sz w:val="44"/>
          <w:szCs w:val="44"/>
        </w:rPr>
        <w:t xml:space="preserve">XSPEERIA</w:t>
      </w:r>
    </w:p>
    <w:p>
      <w:pPr>
        <w:spacing w:after="400"/>
        <w:jc w:val="center"/>
      </w:pPr>
      <w:r>
        <w:rPr>
          <w:rFonts w:ascii="Calibri" w:cs="Calibri" w:eastAsia="Calibri" w:hAnsi="Calibri"/>
          <w:color w:val="6B7280"/>
          <w:sz w:val="22"/>
          <w:szCs w:val="22"/>
        </w:rPr>
        <w:t xml:space="preserve">Wallet-less Peer-to-Peer Fiat Currency Exchange</w:t>
      </w:r>
    </w:p>
    <w:p>
      <w:pPr>
        <w:pBdr>
          <w:top w:val="single" w:color="F4C21F" w:sz="12"/>
        </w:pBdr>
        <w:spacing w:before="200"/>
      </w:pPr>
    </w:p>
    <w:p>
      <w:pPr>
        <w:spacing w:before="600"/>
        <w:jc w:val="center"/>
      </w:pPr>
      <w:r>
        <w:rPr>
          <w:rFonts w:ascii="Calibri" w:cs="Calibri" w:eastAsia="Calibri" w:hAnsi="Calibri"/>
          <w:b/>
          <w:bCs/>
          <w:color w:val="F4C21F"/>
          <w:sz w:val="24"/>
          <w:szCs w:val="24"/>
        </w:rPr>
        <w:t xml:space="preserve">DOCUMENT 08 OF 05 — STRATEGY</w:t>
      </w:r>
    </w:p>
    <w:p>
      <w:pPr>
        <w:spacing w:after="120" w:before="120"/>
        <w:jc w:val="center"/>
      </w:pPr>
      <w:r>
        <w:rPr>
          <w:rFonts w:ascii="Calibri" w:cs="Calibri" w:eastAsia="Calibri" w:hAnsi="Calibri"/>
          <w:b/>
          <w:bCs/>
          <w:color w:val="111827"/>
          <w:sz w:val="40"/>
          <w:szCs w:val="40"/>
        </w:rPr>
        <w:t xml:space="preserve">Investor &amp; Board Strategy Book</w:t>
      </w:r>
    </w:p>
    <w:p>
      <w:pPr>
        <w:spacing w:after="800"/>
        <w:jc w:val="center"/>
      </w:pPr>
      <w:r>
        <w:rPr>
          <w:rFonts w:ascii="Calibri" w:cs="Calibri" w:eastAsia="Calibri" w:hAnsi="Calibri"/>
          <w:i/>
          <w:iCs/>
          <w:color w:val="6B7280"/>
          <w:sz w:val="24"/>
          <w:szCs w:val="24"/>
        </w:rPr>
        <w:t xml:space="preserve">Market Opportunity, Business Model, Growth Strategy &amp; Governance</w:t>
      </w:r>
    </w:p>
    <w:p>
      <w:pPr>
        <w:spacing w:before="1000"/>
      </w:pP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000"/>
        <w:gridCol w:w="6350"/>
      </w:tblGrid>
      <w:tr>
        <w:tc>
          <w:tcPr>
            <w:tcW w:type="dxa" w:w="30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Attribute</w:t>
            </w:r>
          </w:p>
        </w:tc>
        <w:tc>
          <w:tcPr>
            <w:tcW w:type="dxa" w:w="63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Value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Document Version</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v1.0 — Draft</w:t>
            </w:r>
          </w:p>
        </w:tc>
      </w:tr>
      <w:tr>
        <w:tc>
          <w:tcPr>
            <w:tcW w:type="dxa" w:w="3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Document Owner</w:t>
            </w:r>
          </w:p>
        </w:tc>
        <w:tc>
          <w:tcPr>
            <w:tcW w:type="dxa" w:w="6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CEO / Founder Office</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Review Cycle</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Quarterly, ahead of each board meeting</w:t>
            </w:r>
          </w:p>
        </w:tc>
      </w:tr>
      <w:tr>
        <w:tc>
          <w:tcPr>
            <w:tcW w:type="dxa" w:w="3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Classification</w:t>
            </w:r>
          </w:p>
        </w:tc>
        <w:tc>
          <w:tcPr>
            <w:tcW w:type="dxa" w:w="6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Strictly Confidential — Board &amp; Investor Distribution Only</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Status</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Draft — Pre-Development Blueprint</w:t>
            </w:r>
          </w:p>
        </w:tc>
      </w:tr>
      <w:tr>
        <w:tc>
          <w:tcPr>
            <w:tcW w:type="dxa" w:w="30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Date</w:t>
            </w:r>
          </w:p>
        </w:tc>
        <w:tc>
          <w:tcPr>
            <w:tcW w:type="dxa" w:w="63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August 2026</w:t>
            </w:r>
          </w:p>
        </w:tc>
      </w:tr>
    </w:tbl>
    <w:p>
      <w:r>
        <w:br w:type="page"/>
      </w:r>
    </w:p>
    <w:p>
      <w:pPr>
        <w:pStyle w:val="Heading1"/>
        <w:spacing w:after="240" w:before="480"/>
      </w:pPr>
      <w:r>
        <w:rPr>
          <w:color w:val="001B68"/>
        </w:rPr>
        <w:t xml:space="preserve">Version History</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1400"/>
        <w:gridCol w:w="1600"/>
        <w:gridCol w:w="2400"/>
        <w:gridCol w:w="3950"/>
      </w:tblGrid>
      <w:tr>
        <w:tc>
          <w:tcPr>
            <w:tcW w:type="dxa" w:w="14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Version</w:t>
            </w:r>
          </w:p>
        </w:tc>
        <w:tc>
          <w:tcPr>
            <w:tcW w:type="dxa" w:w="16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Date</w:t>
            </w:r>
          </w:p>
        </w:tc>
        <w:tc>
          <w:tcPr>
            <w:tcW w:type="dxa" w:w="240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Author</w:t>
            </w:r>
          </w:p>
        </w:tc>
        <w:tc>
          <w:tcPr>
            <w:tcW w:type="dxa" w:w="395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Summary of Changes</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v0.1</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2026-07</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Founder Office</w:t>
            </w:r>
          </w:p>
        </w:tc>
        <w:tc>
          <w:tcPr>
            <w:tcW w:type="dxa" w:w="395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Initial narrative draft from PRODUCT_REQUIREMENTS_DOCUMENT.md</w:t>
            </w:r>
          </w:p>
        </w:tc>
      </w:tr>
      <w:tr>
        <w:tc>
          <w:tcPr>
            <w:tcW w:type="dxa" w:w="14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v1.0</w:t>
            </w:r>
          </w:p>
        </w:tc>
        <w:tc>
          <w:tcPr>
            <w:tcW w:type="dxa" w:w="16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2026-08</w:t>
            </w:r>
          </w:p>
        </w:tc>
        <w:tc>
          <w:tcPr>
            <w:tcW w:type="dxa" w:w="240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Founder Office</w:t>
            </w:r>
          </w:p>
        </w:tc>
        <w:tc>
          <w:tcPr>
            <w:tcW w:type="dxa" w:w="395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 strategy book: market sizing, GTM, roadmap, governance, KPIs</w:t>
            </w:r>
          </w:p>
        </w:tc>
      </w:tr>
    </w:tbl>
    <w:p>
      <w:r>
        <w:br w:type="page"/>
      </w:r>
    </w:p>
    <w:p>
      <w:pPr>
        <w:pStyle w:val="Heading1"/>
        <w:spacing w:after="240" w:before="480"/>
      </w:pPr>
      <w:r>
        <w:rPr>
          <w:color w:val="001B6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color w:val="001B68"/>
        </w:rPr>
        <w:t xml:space="preserve">Executive Summary</w:t>
      </w:r>
    </w:p>
    <w:p>
      <w:pPr>
        <w:spacing w:after="160"/>
      </w:pPr>
      <w:r>
        <w:rPr>
          <w:rFonts w:ascii="Calibri" w:cs="Calibri" w:eastAsia="Calibri" w:hAnsi="Calibri"/>
          <w:sz w:val="22"/>
          <w:szCs w:val="22"/>
        </w:rPr>
        <w:t>Xspeeria is a wallet-less, peer-to-peer fiat currency exchange platform launching with the NGN⇄GBP corridor as its Year 1 pilot (with NGN⇄USD following as the Year 2 corridor, per the 5-Year Business Plan), targeting diaspora remitters, freelancers, SMEs, and importers who move money across this corridor today through channels that are slow, opaque on pricing, or dependent on informal networks. This book sets out the market opportunity, the product’s structural advantages, a roadmap, and the governance model this company intends to operate under as it scales. NOTE: this section previously described a three-year roadmap; the 5-Year Business Plan supersedes this with an accelerated five-year corridor-expansion and capital-raise trajectory — see the 5-Year Business Plan, Sections 8–12, for the current roadmap.</w:t>
      </w:r>
    </w:p>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PRODUCT_REQUIREMENTS_DOCUMENT.md establishes the vision, MVP scope, target users, and launch corridor as authoritative. It contains no market-sizing, financial, or competitive data. Every dollar figure, market-size estimate, and growth projection in this document is a clearly labeled illustrative assumption for strategic-planning purposes, not audited or validated financial guidance, and must not be represented to investors as fact without independent validation.</w:t>
      </w:r>
    </w:p>
    <w:p>
      <w:pPr>
        <w:pStyle w:val="Heading1"/>
        <w:spacing w:after="240" w:before="480"/>
      </w:pPr>
      <w:r>
        <w:rPr>
          <w:color w:val="001B68"/>
        </w:rPr>
        <w:t xml:space="preserve">1. Executive Narrative</w:t>
      </w:r>
    </w:p>
    <w:p>
      <w:pPr>
        <w:spacing w:after="160"/>
      </w:pPr>
      <w:r>
        <w:rPr>
          <w:rFonts w:ascii="Calibri" w:cs="Calibri" w:eastAsia="Calibri" w:hAnsi="Calibri"/>
          <w:sz w:val="22"/>
          <w:szCs w:val="22"/>
        </w:rPr>
        <w:t xml:space="preserve">Cross-border currency exchange between Nigeria and the United States is currently served by a fragmented mix of traditional remittance operators charging opaque spreads, informal peer networks operating outside any consumer protection, and bank wire transfers that are slow and expensive for the amounts SMEs and freelancers actually move. Xspeeria’s thesis is that a transparent, peer-to-peer marketplace — where two people who each hold what the other needs are matched directly at a rate they both see and agree to — produces better pricing and more trust than either informal channels or opaque institutional spreads, without Xspeeria ever needing to custody funds itself.</w:t>
      </w:r>
    </w:p>
    <w:p>
      <w:pPr>
        <w:pStyle w:val="Heading1"/>
        <w:spacing w:after="240" w:before="480"/>
      </w:pPr>
      <w:r>
        <w:rPr>
          <w:color w:val="001B68"/>
        </w:rPr>
        <w:t xml:space="preserve">2. Founder Vision</w:t>
      </w:r>
    </w:p>
    <w:p>
      <w:pPr>
        <w:spacing w:after="160"/>
      </w:pPr>
      <w:r>
        <w:rPr>
          <w:rFonts w:ascii="Calibri" w:cs="Calibri" w:eastAsia="Calibri" w:hAnsi="Calibri"/>
          <w:sz w:val="22"/>
          <w:szCs w:val="22"/>
        </w:rPr>
        <w:t>The long-term vision is a global network of currency corridors where the "wallet-less" architectural principle — Xspeeria orchestrates trust, matching, and settlement verification, but never holds customer money — becomes the trusted default for cross-border P2P exchange, starting with the highest-friction pilot corridor (NGN⇄GBP), adding NGN⇄USD in Year 2, and expanding to adjacent diaspora corridors over time, per the 5-Year Business Plan's parallel corridor-expansion roadmap.</w:t>
      </w:r>
    </w:p>
    <w:p>
      <w:pPr>
        <w:pStyle w:val="Heading1"/>
        <w:spacing w:after="240" w:before="480"/>
      </w:pPr>
      <w:r>
        <w:rPr>
          <w:color w:val="001B68"/>
        </w:rPr>
        <w:t xml:space="preserve">3. Global Market Problem</w:t>
      </w:r>
    </w:p>
    <w:p>
      <w:pPr>
        <w:pStyle w:val="ListParagraph"/>
        <w:numPr>
          <w:ilvl w:val="0"/>
          <w:numId w:val="2"/>
        </w:numPr>
        <w:spacing w:after="80"/>
      </w:pPr>
      <w:r>
        <w:rPr>
          <w:rFonts w:ascii="Calibri" w:cs="Calibri" w:eastAsia="Calibri" w:hAnsi="Calibri"/>
          <w:sz w:val="22"/>
          <w:szCs w:val="22"/>
        </w:rPr>
        <w:t xml:space="preserve">Traditional remittance and FX providers charge spreads that are frequently non-transparent to the end user at the moment of transaction.</w:t>
      </w:r>
    </w:p>
    <w:p>
      <w:pPr>
        <w:pStyle w:val="ListParagraph"/>
        <w:numPr>
          <w:ilvl w:val="0"/>
          <w:numId w:val="2"/>
        </w:numPr>
        <w:spacing w:after="80"/>
      </w:pPr>
      <w:r>
        <w:rPr>
          <w:rFonts w:ascii="Calibri" w:cs="Calibri" w:eastAsia="Calibri" w:hAnsi="Calibri"/>
          <w:sz w:val="22"/>
          <w:szCs w:val="22"/>
        </w:rPr>
        <w:t xml:space="preserve">Informal P2P currency exchange (common in the Nigerian diaspora community today) offers competitive rates but with no dispute resolution, no identity verification of the counterparty, and significant fraud risk.</w:t>
      </w:r>
    </w:p>
    <w:p>
      <w:pPr>
        <w:pStyle w:val="ListParagraph"/>
        <w:numPr>
          <w:ilvl w:val="0"/>
          <w:numId w:val="2"/>
        </w:numPr>
        <w:spacing w:after="80"/>
      </w:pPr>
      <w:r>
        <w:rPr>
          <w:rFonts w:ascii="Calibri" w:cs="Calibri" w:eastAsia="Calibri" w:hAnsi="Calibri"/>
          <w:sz w:val="22"/>
          <w:szCs w:val="22"/>
        </w:rPr>
        <w:t xml:space="preserve">Bank-mediated international wires are slow (multi-day) and carry fixed and percentage fees that are punitive for the mid-size transaction amounts typical of freelancers and SMEs, as opposed to either very small remittances or very large institutional transfers.</w:t>
      </w:r>
    </w:p>
    <w:p>
      <w:pPr>
        <w:pStyle w:val="ListParagraph"/>
        <w:numPr>
          <w:ilvl w:val="0"/>
          <w:numId w:val="2"/>
        </w:numPr>
        <w:spacing w:after="80"/>
      </w:pPr>
      <w:r>
        <w:rPr>
          <w:rFonts w:ascii="Calibri" w:cs="Calibri" w:eastAsia="Calibri" w:hAnsi="Calibri"/>
          <w:sz w:val="22"/>
          <w:szCs w:val="22"/>
        </w:rPr>
        <w:t xml:space="preserve">SMEs and importers need recurring, larger-value currency access for trade purposes and are underserved by consumer remittance apps built for one-off small transfers.</w:t>
      </w:r>
    </w:p>
    <w:p>
      <w:pPr>
        <w:pStyle w:val="Heading1"/>
        <w:spacing w:after="240" w:before="480"/>
      </w:pPr>
      <w:r>
        <w:rPr>
          <w:color w:val="001B68"/>
        </w:rPr>
        <w:t xml:space="preserve">4. Why Xspeeria Wins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Structural Advantage</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Why It Matters</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Wallet-less architecture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 custodial balance sheet risk, no float to manage — funds are held only briefly, in domestic escrow, by the already-licensed local partner in each jurisdiction, so Xspeeria does not need to hold a full e-money/custody licence itself. This lowers the custodial-licensing burden specifically, not the full regulatory burden: Xspeeria still expects to require money-transmission-equivalent registration as the orchestrator in each jurisdiction, since the coordinated two-leg outcome has the same economic effect as a cross-border transfer even though no leg physically crosses the border (see Document 07, Appendix A)</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Transparent, user-set pricing</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Rates are set by users within a market band (Document 05, Section 3.4), not obscured by a hidden institutional spread</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Identity-verified counterparties</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KYC-gated marketplace (Document 05, Section 3.3) brings the pricing benefit of informal P2P exchange without its fraud and dispute-resolution gap</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Purpose-built for the corridor</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Launch focus on a single, deep pilot corridor (NGN⇄GBP), with NGN⇄USD as the Year 2 corridor, per the 5-Year Business Plan's corridor roadmap (supersedes the NGN⇄USD-only framing in PRODUCT_REQUIREMENTS_DOCUMENT.md)</w:t>
            </w:r>
          </w:p>
        </w:tc>
      </w:tr>
    </w:tbl>
    <w:p>
      <w:pPr>
        <w:pStyle w:val="Heading1"/>
        <w:spacing w:after="240" w:before="480"/>
      </w:pPr>
      <w:r>
        <w:rPr>
          <w:color w:val="001B68"/>
        </w:rPr>
        <w:t xml:space="preserve">5. TAM / SAM / SOM</w:t>
      </w:r>
    </w:p>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The figures in this section are illustrative, top-down estimates built from published remittance-corridor data points at a general level, for the purpose of framing the scale of opportunity in a board/investor conversation. They are not a substitute for a bottom-up, independently validated market model and are explicitly not audited.</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Tier</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Illustrative Estimate</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Basis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TAM (Total Addressable Market)</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Total annual NGN⇄GBP (pilot) plus NGN⇄USD (Year 2) cross-border remittance and trade-finance flow</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Nigeria is among the largest recipients of diaspora remittances globally, with material additional volume in SME/trade-related USD demand</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SAM (Serviceable Addressable Market)</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The subset of that flow conducted by individuals/SMEs who would consider a digital P2P alternative to their current channel</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Bounded by smartphone penetration, digital-payment familiarity, and trust in a new fintech brand within the target segments</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SOM (Serviceable Obtainable Market)</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 conservative multi-year capture target within the SAM, reflecting a new entrant’s realistic early market share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Bounded by KYC-approval throughput capacity, banking-partner settlement capacity, and marketing reach in Year 1–3</w:t>
            </w:r>
          </w:p>
        </w:tc>
      </w:tr>
    </w:tbl>
    <w:p>
      <w:pPr>
        <w:pStyle w:val="Heading1"/>
        <w:spacing w:after="240" w:before="480"/>
      </w:pPr>
      <w:r>
        <w:rPr>
          <w:color w:val="001B68"/>
        </w:rPr>
        <w:t xml:space="preserve">6. Competitive Positioning</w:t>
      </w:r>
    </w:p>
    <w:p>
      <w:pPr>
        <w:pStyle w:val="Heading2"/>
        <w:spacing w:after="200" w:before="360"/>
      </w:pPr>
      <w:r>
        <w:rPr>
          <w:color w:val="001B68"/>
        </w:rPr>
        <w:t xml:space="preserve">6.1 Competitive Matrix</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1870"/>
        <w:gridCol w:w="1870"/>
        <w:gridCol w:w="1870"/>
        <w:gridCol w:w="1870"/>
        <w:gridCol w:w="1870"/>
      </w:tblGrid>
      <w:tr>
        <w:tc>
          <w:tcPr>
            <w:tcW w:type="dxa" w:w="187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Dimension</w:t>
            </w:r>
          </w:p>
        </w:tc>
        <w:tc>
          <w:tcPr>
            <w:tcW w:type="dxa" w:w="187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Traditional Remittance Operators</w:t>
            </w:r>
          </w:p>
        </w:tc>
        <w:tc>
          <w:tcPr>
            <w:tcW w:type="dxa" w:w="187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Informal P2P Networks</w:t>
            </w:r>
          </w:p>
        </w:tc>
        <w:tc>
          <w:tcPr>
            <w:tcW w:type="dxa" w:w="187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Bank Wire</w:t>
            </w:r>
          </w:p>
        </w:tc>
        <w:tc>
          <w:tcPr>
            <w:tcW w:type="dxa" w:w="1870"/>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Xspeeria</w:t>
            </w:r>
          </w:p>
        </w:tc>
      </w:tr>
      <w:tr>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Pricing transparency</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Low</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Medium</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Low</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High</w:t>
            </w:r>
          </w:p>
        </w:tc>
      </w:tr>
      <w:tr>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Counterparty trust/verification</w:t>
            </w:r>
          </w:p>
        </w:tc>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 (institutional)</w:t>
            </w:r>
          </w:p>
        </w:tc>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Low</w:t>
            </w:r>
          </w:p>
        </w:tc>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 (institutional)</w:t>
            </w:r>
          </w:p>
        </w:tc>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High (KYC-gated)</w:t>
            </w:r>
          </w:p>
        </w:tc>
      </w:tr>
      <w:tr>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Settlement speed</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Medium</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High</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Low</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Medium–High</w:t>
            </w:r>
          </w:p>
        </w:tc>
      </w:tr>
      <w:tr>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Custodial/wallet risk</w:t>
            </w:r>
          </w:p>
        </w:tc>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Yes</w:t>
            </w:r>
          </w:p>
        </w:tc>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N/A</w:t>
            </w:r>
          </w:p>
        </w:tc>
        <w:tc>
          <w:tcPr>
            <w:tcW w:type="dxa" w:w="1870"/>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None (wallet-less)</w:t>
            </w:r>
          </w:p>
        </w:tc>
      </w:tr>
      <w:tr>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Suited to SME/recurring volume</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Low</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Medium</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Medium</w:t>
            </w:r>
          </w:p>
        </w:tc>
        <w:tc>
          <w:tcPr>
            <w:tcW w:type="dxa" w:w="1870"/>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High</w:t>
            </w:r>
          </w:p>
        </w:tc>
      </w:tr>
    </w:tbl>
    <w:p>
      <w:pPr>
        <w:pStyle w:val="Heading2"/>
        <w:spacing w:after="200" w:before="360"/>
      </w:pPr>
      <w:r>
        <w:rPr>
          <w:color w:val="001B68"/>
        </w:rPr>
        <w:t xml:space="preserve">6.2 Moat Analysis</w:t>
      </w:r>
    </w:p>
    <w:p>
      <w:pPr>
        <w:pStyle w:val="ListParagraph"/>
        <w:numPr>
          <w:ilvl w:val="0"/>
          <w:numId w:val="2"/>
        </w:numPr>
        <w:spacing w:after="80"/>
      </w:pPr>
      <w:r>
        <w:rPr>
          <w:rFonts w:ascii="Calibri" w:cs="Calibri" w:eastAsia="Calibri" w:hAnsi="Calibri"/>
          <w:sz w:val="22"/>
          <w:szCs w:val="22"/>
        </w:rPr>
        <w:t xml:space="preserve">Network effects within the marketplace: liquidity (depth of active offers/requests) improves matching speed and rate competitiveness as the user base grows, a structural advantage that compounds and is hard for a late entrant to replicate quickly.</w:t>
      </w:r>
    </w:p>
    <w:p>
      <w:pPr>
        <w:pStyle w:val="ListParagraph"/>
        <w:numPr>
          <w:ilvl w:val="0"/>
          <w:numId w:val="2"/>
        </w:numPr>
        <w:spacing w:after="80"/>
      </w:pPr>
      <w:r>
        <w:rPr>
          <w:rFonts w:ascii="Calibri" w:cs="Calibri" w:eastAsia="Calibri" w:hAnsi="Calibri"/>
          <w:sz w:val="22"/>
          <w:szCs w:val="22"/>
        </w:rPr>
        <w:t xml:space="preserve">Trust accumulation: a growing base of completed, dispute-free transactions and verified identities becomes a durable trust asset.</w:t>
      </w:r>
    </w:p>
    <w:p>
      <w:pPr>
        <w:pStyle w:val="ListParagraph"/>
        <w:numPr>
          <w:ilvl w:val="0"/>
          <w:numId w:val="2"/>
        </w:numPr>
        <w:spacing w:after="80"/>
      </w:pPr>
      <w:r>
        <w:rPr>
          <w:rFonts w:ascii="Calibri" w:cs="Calibri" w:eastAsia="Calibri" w:hAnsi="Calibri"/>
          <w:sz w:val="22"/>
          <w:szCs w:val="22"/>
        </w:rPr>
        <w:t xml:space="preserve">Regulatory-light architecture: the wallet-less design is a genuine structural moat versus wallet-based competitors who must carry heavier compliance and capital requirements.</w:t>
      </w:r>
    </w:p>
    <w:p>
      <w:pPr>
        <w:pStyle w:val="Heading2"/>
        <w:spacing w:after="200" w:before="360"/>
      </w:pPr>
      <w:r>
        <w:rPr>
          <w:color w:val="001B68"/>
        </w:rPr>
        <w:t xml:space="preserve">6.3 Differentiation</w:t>
      </w:r>
    </w:p>
    <w:p>
      <w:pPr>
        <w:spacing w:after="160"/>
      </w:pPr>
      <w:r>
        <w:rPr>
          <w:rFonts w:ascii="Calibri" w:cs="Calibri" w:eastAsia="Calibri" w:hAnsi="Calibri"/>
          <w:sz w:val="22"/>
          <w:szCs w:val="22"/>
        </w:rPr>
        <w:t xml:space="preserve">Xspeeria differentiates on being the only positioning in this landscape that combines P2P-level pricing transparency with institutional-level counterparty verification, without taking on custodial balance-sheet risk.</w:t>
      </w:r>
    </w:p>
    <w:p>
      <w:pPr>
        <w:pStyle w:val="Heading1"/>
        <w:spacing w:after="240" w:before="480"/>
      </w:pPr>
      <w:r>
        <w:rPr>
          <w:color w:val="001B68"/>
        </w:rPr>
        <w:t xml:space="preserve">7. Business Model</w:t>
      </w:r>
    </w:p>
    <w:p>
      <w:pPr>
        <w:pStyle w:val="Heading2"/>
        <w:spacing w:after="200" w:before="360"/>
      </w:pPr>
      <w:r>
        <w:rPr>
          <w:color w:val="001B68"/>
        </w:rPr>
        <w:t xml:space="preserve">7.1 Revenue Streams</w:t>
      </w:r>
    </w:p>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The following revenue-stream structure is a standard P2P-marketplace monetization model, not a confirmed pricing decision. Actual rates require Finance/Product sign-off and are illustrative here.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Stream</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Mechanism</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Illustrative Rate</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Transaction fee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Flat coordination fee on each side of a matched transaction, sized as a multiple (illustratively 7.5x) of the local instant-transfer cost — not a percentage of the transaction amount, per the 5-Year Business Plan (Section 5)</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Illustrative ~$3–$4 combined per matched transaction in Year 1, rising as higher-fee corridors enter the mix</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Premium/business tier</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Subscription for SME/business accounts with higher limits, dedicated support, and export tooling (Document 04, Business Dashboard)</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Illustrative flat monthly fee</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FX data / reporting (future)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Aggregate, anonymized corridor-rate insights licensed to third parties</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Not part of MVP scope</w:t>
            </w:r>
          </w:p>
        </w:tc>
      </w:tr>
    </w:tbl>
    <w:p>
      <w:pPr>
        <w:pStyle w:val="Heading2"/>
        <w:spacing w:after="200" w:before="360"/>
      </w:pPr>
      <w:r>
        <w:rPr>
          <w:color w:val="001B68"/>
        </w:rPr>
        <w:t xml:space="preserve">7.2 Illustrative Unit Economics</w:t>
      </w:r>
    </w:p>
    <w:p>
      <w:pPr>
        <w:spacing w:after="160"/>
      </w:pPr>
      <w:r>
        <w:rPr>
          <w:rFonts w:ascii="Calibri" w:cs="Calibri" w:eastAsia="Calibri" w:hAnsi="Calibri"/>
          <w:sz w:val="22"/>
          <w:szCs w:val="22"/>
        </w:rPr>
        <w:t xml:space="preserve">The following is a simplified, illustrative scenario intended only to demonstrate the shape of the unit-economics model — not a financial projection.</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Metric</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Illustrative Value</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Average transaction size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Illustrative $750 equivalent</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Illustrative take rate</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~1.5% in Year 1, declining as average transaction size grows (derived from the flat coordination fee, not a charged percentage — see 5-Year Business Plan Section 10.1)</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Illustrative revenue per transaction</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~$3–$4 (flat coordination fee, both legs combined) — see 5-Year Business Plan Section 10.1</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Illustrative customer acquisition cost (CAC)</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Modeled, not measured — to be validated against actual Year 1 marketing spend and conversion data</w:t>
            </w:r>
          </w:p>
        </w:tc>
      </w:tr>
    </w:tbl>
    <w:p>
      <w:pPr>
        <w:pStyle w:val="Heading1"/>
        <w:spacing w:after="240" w:before="480"/>
      </w:pPr>
      <w:r>
        <w:rPr>
          <w:color w:val="001B68"/>
        </w:rPr>
        <w:t xml:space="preserve">8. Go-To-Market Strategy</w:t>
      </w:r>
    </w:p>
    <w:p>
      <w:pPr>
        <w:pStyle w:val="Heading2"/>
        <w:spacing w:after="200" w:before="360"/>
      </w:pPr>
      <w:r>
        <w:rPr>
          <w:color w:val="001B68"/>
        </w:rPr>
        <w:t xml:space="preserve">8.1 Diaspora</w:t>
      </w:r>
    </w:p>
    <w:p>
      <w:pPr>
        <w:spacing w:after="160"/>
      </w:pPr>
      <w:r>
        <w:rPr>
          <w:rFonts w:ascii="Calibri" w:cs="Calibri" w:eastAsia="Calibri" w:hAnsi="Calibri"/>
          <w:sz w:val="22"/>
          <w:szCs w:val="22"/>
        </w:rPr>
        <w:t>Primary early acquisition channel: Nigerian diaspora communities in the United States, reached via targeted digital channels, diaspora community organizations, and referral incentives — a segment with acute, recurring pain around the NGN⇄GBP pilot corridor Xspeeria launches with (NGN⇄USD following in Year 2), per PRODUCT_REQUIREMENTS_DOCUMENT.md’s primary-user definition and the 5-Year Business Plan's corridor sequencing.</w:t>
      </w:r>
    </w:p>
    <w:p>
      <w:pPr>
        <w:pStyle w:val="Heading2"/>
        <w:spacing w:after="200" w:before="360"/>
      </w:pPr>
      <w:r>
        <w:rPr>
          <w:color w:val="001B68"/>
        </w:rPr>
        <w:t xml:space="preserve">8.2 Freelancers</w:t>
      </w:r>
    </w:p>
    <w:p>
      <w:pPr>
        <w:spacing w:after="160"/>
      </w:pPr>
      <w:r>
        <w:rPr>
          <w:rFonts w:ascii="Calibri" w:cs="Calibri" w:eastAsia="Calibri" w:hAnsi="Calibri"/>
          <w:sz w:val="22"/>
          <w:szCs w:val="22"/>
        </w:rPr>
        <w:t xml:space="preserve">Nigerian freelancers earning USD-denominated income (via international platforms) represent a high-frequency, recurring-conversion user segment well suited to Xspeeria’s transparent-pricing value proposition.</w:t>
      </w:r>
    </w:p>
    <w:p>
      <w:pPr>
        <w:pStyle w:val="Heading2"/>
        <w:spacing w:after="200" w:before="360"/>
      </w:pPr>
      <w:r>
        <w:rPr>
          <w:color w:val="001B68"/>
        </w:rPr>
        <w:t xml:space="preserve">8.3 SMEs</w:t>
      </w:r>
    </w:p>
    <w:p>
      <w:pPr>
        <w:spacing w:after="160"/>
      </w:pPr>
      <w:r>
        <w:rPr>
          <w:rFonts w:ascii="Calibri" w:cs="Calibri" w:eastAsia="Calibri" w:hAnsi="Calibri"/>
          <w:sz w:val="22"/>
          <w:szCs w:val="22"/>
        </w:rPr>
        <w:t xml:space="preserve">SMEs and importers with recurring USD needs for trade purposes are a higher-value, lower-frequency-but-larger-transaction segment, served primarily through the Business Dashboard (Document 04, Section 5.4) and direct outreach/partnership channels.</w:t>
      </w:r>
    </w:p>
    <w:p>
      <w:pPr>
        <w:pStyle w:val="Heading1"/>
        <w:spacing w:after="240" w:before="480"/>
      </w:pPr>
      <w:r>
        <w:rPr>
          <w:color w:val="001B68"/>
        </w:rPr>
        <w:t xml:space="preserve">9. Growth Flywheel</w:t>
      </w:r>
    </w:p>
    <w:p>
      <w:pPr>
        <w:spacing w:after="80" w:before="160"/>
      </w:pPr>
      <w:r>
        <w:rPr>
          <w:rFonts w:ascii="Calibri" w:cs="Calibri" w:eastAsia="Calibri" w:hAnsi="Calibri"/>
          <w:b/>
          <w:bCs/>
          <w:i/>
          <w:iCs/>
          <w:color w:val="6B7280"/>
          <w:sz w:val="20"/>
          <w:szCs w:val="20"/>
        </w:rPr>
        <w:t xml:space="preserve">Figure: Xspeeria growth flywheel</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c>
          <w:tcPr>
            <w:shd w:fill="F8FAFC" w:val="clear"/>
            <w:tcMar>
              <w:top w:type="dxa" w:w="160"/>
              <w:left w:type="dxa" w:w="200"/>
              <w:bottom w:type="dxa" w:w="160"/>
              <w:right w:type="dxa" w:w="200"/>
            </w:tcMar>
          </w:tcPr>
          <w:p>
            <w:r>
              <w:rPr>
                <w:rFonts w:ascii="Consolas" w:cs="Consolas" w:eastAsia="Consolas" w:hAnsi="Consolas"/>
                <w:color w:val="6B7280"/>
                <w:sz w:val="16"/>
                <w:szCs w:val="16"/>
              </w:rPr>
              <w:t xml:space="preserve">```mermaid</w:t>
            </w:r>
          </w:p>
          <w:p>
            <w:r>
              <w:rPr>
                <w:rFonts w:ascii="Consolas" w:cs="Consolas" w:eastAsia="Consolas" w:hAnsi="Consolas"/>
                <w:color w:val="111827"/>
                <w:sz w:val="16"/>
                <w:szCs w:val="16"/>
              </w:rPr>
              <w:t xml:space="preserve">graph LR</w:t>
            </w:r>
          </w:p>
          <w:p>
            <w:r>
              <w:rPr>
                <w:rFonts w:ascii="Consolas" w:cs="Consolas" w:eastAsia="Consolas" w:hAnsi="Consolas"/>
                <w:color w:val="111827"/>
                <w:sz w:val="16"/>
                <w:szCs w:val="16"/>
              </w:rPr>
              <w:t xml:space="preserve">  A[More verified users] --&gt; B[Deeper marketplace liquidity]</w:t>
            </w:r>
          </w:p>
          <w:p>
            <w:r>
              <w:rPr>
                <w:rFonts w:ascii="Consolas" w:cs="Consolas" w:eastAsia="Consolas" w:hAnsi="Consolas"/>
                <w:color w:val="111827"/>
                <w:sz w:val="16"/>
                <w:szCs w:val="16"/>
              </w:rPr>
              <w:t xml:space="preserve">  B --&gt; C[Faster matching, better rates]</w:t>
            </w:r>
          </w:p>
          <w:p>
            <w:r>
              <w:rPr>
                <w:rFonts w:ascii="Consolas" w:cs="Consolas" w:eastAsia="Consolas" w:hAnsi="Consolas"/>
                <w:color w:val="111827"/>
                <w:sz w:val="16"/>
                <w:szCs w:val="16"/>
              </w:rPr>
              <w:t xml:space="preserve">  C --&gt; D[Higher user trust and satisfaction]</w:t>
            </w:r>
          </w:p>
          <w:p>
            <w:r>
              <w:rPr>
                <w:rFonts w:ascii="Consolas" w:cs="Consolas" w:eastAsia="Consolas" w:hAnsi="Consolas"/>
                <w:color w:val="111827"/>
                <w:sz w:val="16"/>
                <w:szCs w:val="16"/>
              </w:rPr>
              <w:t xml:space="preserve">  D --&gt; E[Referrals and organic growth]</w:t>
            </w:r>
          </w:p>
          <w:p>
            <w:r>
              <w:rPr>
                <w:rFonts w:ascii="Consolas" w:cs="Consolas" w:eastAsia="Consolas" w:hAnsi="Consolas"/>
                <w:color w:val="111827"/>
                <w:sz w:val="16"/>
                <w:szCs w:val="16"/>
              </w:rPr>
              <w:t xml:space="preserve">  E --&gt; A</w:t>
            </w:r>
          </w:p>
          <w:p>
            <w:r>
              <w:rPr>
                <w:rFonts w:ascii="Consolas" w:cs="Consolas" w:eastAsia="Consolas" w:hAnsi="Consolas"/>
                <w:color w:val="111827"/>
                <w:sz w:val="16"/>
                <w:szCs w:val="16"/>
              </w:rPr>
              <w:t xml:space="preserve">  D --&gt; F[Lower CAC over time]</w:t>
            </w:r>
          </w:p>
          <w:p>
            <w:r>
              <w:rPr>
                <w:rFonts w:ascii="Consolas" w:cs="Consolas" w:eastAsia="Consolas" w:hAnsi="Consolas"/>
                <w:color w:val="111827"/>
                <w:sz w:val="16"/>
                <w:szCs w:val="16"/>
              </w:rPr>
              <w:t xml:space="preserve">  F --&gt; A</w:t>
            </w:r>
          </w:p>
          <w:p>
            <w:r>
              <w:rPr>
                <w:rFonts w:ascii="Consolas" w:cs="Consolas" w:eastAsia="Consolas" w:hAnsi="Consolas"/>
                <w:color w:val="6B7280"/>
                <w:sz w:val="16"/>
                <w:szCs w:val="16"/>
              </w:rPr>
              <w:t xml:space="preserve">```</w:t>
            </w:r>
          </w:p>
        </w:tc>
      </w:tr>
    </w:tbl>
    <w:p>
      <w:pPr>
        <w:spacing w:after="200"/>
      </w:pPr>
    </w:p>
    <w:p>
      <w:pPr>
        <w:pStyle w:val="Heading1"/>
        <w:spacing w:after="240" w:before="480"/>
      </w:pPr>
      <w:r>
        <w:rPr>
          <w:color w:val="001B68"/>
        </w:rPr>
        <w:t xml:space="preserve">10. Strategic Risks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3116"/>
        <w:gridCol w:w="3116"/>
        <w:gridCol w:w="3116"/>
      </w:tblGrid>
      <w:tr>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Risk</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Category</w:t>
            </w:r>
          </w:p>
        </w:tc>
        <w:tc>
          <w:tcPr>
            <w:tcW w:type="dxa" w:w="3116"/>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Mitigation Approach</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Delay or denial of required money-transmission/FX licensing</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Regulatory</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Engage compliance counsel early; do not launch live settlement ahead of confirmed licensing status (see Document 07 Appendix A)</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Insufficient two-sided liquidity at launch (offers without matching requests, or vice versa)</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Liquidity</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Seed initial liquidity through direct outreach/incentives in the earliest cohort before broad marketing spend</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Fraudulent accounts or collusive fake matching</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Fraud</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KYC gating (Document 05, Section 3.3), rate-band validation (Section 3.4), and dispute/audit infrastructure (Document 05, Sections 3.8 and 5)</w:t>
            </w:r>
          </w:p>
        </w:tc>
      </w:tr>
      <w:tr>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New entrant or incumbent remittance operator undercuts on price or trust</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Competition</w:t>
            </w:r>
          </w:p>
        </w:tc>
        <w:tc>
          <w:tcPr>
            <w:tcW w:type="dxa" w:w="3116"/>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Compound the liquidity and trust moat (Section 6.2) before competitors can replicate marketplace depth</w:t>
            </w:r>
          </w:p>
        </w:tc>
      </w:tr>
      <w:tr>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Banking-partner settlement failure or downtime at scale</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Operational</w:t>
            </w:r>
          </w:p>
        </w:tc>
        <w:tc>
          <w:tcPr>
            <w:tcW w:type="dxa" w:w="3116"/>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Provider-agnostic Banking Abstraction Layer (Document 07, Section 2) enables multi-partner redundancy</w:t>
            </w:r>
          </w:p>
        </w:tc>
      </w:tr>
    </w:tbl>
    <w:p>
      <w:pPr>
        <w:pStyle w:val="Heading1"/>
        <w:spacing w:after="240" w:before="480"/>
      </w:pPr>
      <w:r>
        <w:rPr>
          <w:color w:val="001B68"/>
        </w:rPr>
        <w:t xml:space="preserve">11. Three-Year Roadmap</w:t>
      </w:r>
    </w:p>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Quarterly milestones below are illustrative planning targets derived from PRODUCT_REQUIREMENTS_DOCUMENT.md’s MVP scope and EXECUTION_MANUAL.md’s staged execution model, not committed dates.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Period</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Milestone</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Year 1, Q1–Q2</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Complete architecture, security, and design blueprint (this document suite); begin engineering build per EXECUTION_MANUAL.md Stage 5</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Year 1, Q3</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Closed beta on NGN⇄GBP corridor (pilot) with a seeded liquidity cohort; banking-partner integration live in staging</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Year 1, Q4</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Public launch of NGN⇄GBP corridor (pilot); core KPI instrumentation live (Section 14)</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Year 2, Q1–Q2</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Scale liquidity and marketing in existing corridor; launch Business Dashboard tier for SME segment</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Year 2, Q1–Q2</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Launch NGN⇄USD as the second corridor, onboarded in parallel with anchor-corridor scaling, per the 5-Year Business Plan's compressed, parallel-rollout model</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Year 3</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Launch second corridor; expand Admin/ops tooling for multi-corridor reconciliation (Document 07, Section 6)</w:t>
            </w:r>
          </w:p>
        </w:tc>
      </w:tr>
    </w:tbl>
    <w:p>
      <w:pPr>
        <w:pStyle w:val="Heading1"/>
        <w:spacing w:after="240" w:before="480"/>
      </w:pPr>
      <w:r>
        <w:rPr>
          <w:color w:val="001B68"/>
        </w:rPr>
        <w:t xml:space="preserve">12. Capital Strategy</w:t>
      </w:r>
    </w:p>
    <w:p>
      <w:pPr>
        <w:pStyle w:val="Heading2"/>
        <w:spacing w:after="200" w:before="360"/>
      </w:pPr>
      <w:r>
        <w:rPr>
          <w:color w:val="001B68"/>
        </w:rPr>
        <w:t xml:space="preserve">12.1 Use of Funds</w:t>
      </w:r>
    </w:p>
    <w:p>
      <w:pPr>
        <w:pBdr>
          <w:left w:val="single" w:color="F4C21F" w:sz="18"/>
        </w:pBdr>
        <w:shd w:fill="FFF7E0" w:val="clear"/>
        <w:spacing w:after="160" w:before="80"/>
        <w:ind w:left="200"/>
      </w:pPr>
      <w:r>
        <w:rPr>
          <w:rFonts w:ascii="Calibri" w:cs="Calibri" w:eastAsia="Calibri" w:hAnsi="Calibri"/>
          <w:b/>
          <w:bCs/>
          <w:color w:val="92700C"/>
          <w:sz w:val="20"/>
          <w:szCs w:val="20"/>
        </w:rPr>
        <w:t xml:space="preserve">ASSUMPTION: </w:t>
      </w:r>
      <w:r>
        <w:rPr>
          <w:rFonts w:ascii="Calibri" w:cs="Calibri" w:eastAsia="Calibri" w:hAnsi="Calibri"/>
          <w:i/>
          <w:iCs/>
          <w:color w:val="92700C"/>
          <w:sz w:val="20"/>
          <w:szCs w:val="20"/>
        </w:rPr>
        <w:t xml:space="preserve">Illustrative allocation only — actual use-of-funds depends on the specific raise amount and terms, which are outside this document’s scope.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Category</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Illustrative Allocation</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Engineering &amp; Product</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40%</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Compliance &amp; Licensing</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20%</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Marketing &amp; GTM</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20%</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Operations &amp; Support</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10%</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Reserve / Contingency</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10%</w:t>
            </w:r>
          </w:p>
        </w:tc>
      </w:tr>
    </w:tbl>
    <w:p>
      <w:pPr>
        <w:pStyle w:val="Heading2"/>
        <w:spacing w:after="200" w:before="360"/>
      </w:pPr>
      <w:r>
        <w:rPr>
          <w:color w:val="001B68"/>
        </w:rPr>
        <w:t xml:space="preserve">12.2 Hiring</w:t>
      </w:r>
    </w:p>
    <w:p>
      <w:pPr>
        <w:spacing w:after="160"/>
      </w:pPr>
      <w:r>
        <w:rPr>
          <w:rFonts w:ascii="Calibri" w:cs="Calibri" w:eastAsia="Calibri" w:hAnsi="Calibri"/>
          <w:sz w:val="22"/>
          <w:szCs w:val="22"/>
        </w:rPr>
        <w:t xml:space="preserve">Priority hires align to the module ownership structure in ARCHITECTURE.md: backend/FastAPI engineering, mobile (React Native) engineering, a dedicated compliance/risk hire ahead of live settlement, and a founding support/operations lead for KYC review and dispute handling.</w:t>
      </w:r>
    </w:p>
    <w:p>
      <w:pPr>
        <w:pStyle w:val="Heading2"/>
        <w:spacing w:after="200" w:before="360"/>
      </w:pPr>
      <w:r>
        <w:rPr>
          <w:color w:val="001B68"/>
        </w:rPr>
        <w:t xml:space="preserve">12.3 Technology</w:t>
      </w:r>
    </w:p>
    <w:p>
      <w:pPr>
        <w:spacing w:after="160"/>
      </w:pPr>
      <w:r>
        <w:rPr>
          <w:rFonts w:ascii="Calibri" w:cs="Calibri" w:eastAsia="Calibri" w:hAnsi="Calibri"/>
          <w:sz w:val="22"/>
          <w:szCs w:val="22"/>
        </w:rPr>
        <w:t xml:space="preserve">Technology spend follows the infrastructure blueprint in Document 06, prioritizing the security and monitoring investments (Document 06, Sections 6–7) required before any live-money corridor can responsibly launch.</w:t>
      </w:r>
    </w:p>
    <w:p>
      <w:pPr>
        <w:pStyle w:val="Heading2"/>
        <w:spacing w:after="200" w:before="360"/>
      </w:pPr>
      <w:r>
        <w:rPr>
          <w:color w:val="001B68"/>
        </w:rPr>
        <w:t xml:space="preserve">12.4 Compliance</w:t>
      </w:r>
    </w:p>
    <w:p>
      <w:pPr>
        <w:spacing w:after="160"/>
      </w:pPr>
      <w:r>
        <w:rPr>
          <w:rFonts w:ascii="Calibri" w:cs="Calibri" w:eastAsia="Calibri" w:hAnsi="Calibri"/>
          <w:sz w:val="22"/>
          <w:szCs w:val="22"/>
        </w:rPr>
        <w:t xml:space="preserve">Compliance investment is sequenced ahead of, not after, live settlement capability — licensing and banking-partner due diligence (Document 07) are treated as launch-blocking, not post-launch cleanup items.</w:t>
      </w:r>
    </w:p>
    <w:p>
      <w:pPr>
        <w:pStyle w:val="Heading1"/>
        <w:spacing w:after="240" w:before="480"/>
      </w:pPr>
      <w:r>
        <w:rPr>
          <w:color w:val="001B68"/>
        </w:rPr>
        <w:t xml:space="preserve">13. Board Governance</w:t>
      </w:r>
    </w:p>
    <w:p>
      <w:pPr>
        <w:pStyle w:val="Heading2"/>
        <w:spacing w:after="200" w:before="360"/>
      </w:pPr>
      <w:r>
        <w:rPr>
          <w:color w:val="001B68"/>
        </w:rPr>
        <w:t xml:space="preserve">13.1 Committees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Committee</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Mandate</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Audit &amp; Risk</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Financial controls, reconciliation oversight (Document 07, Section 6), security posture review</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Compliance &amp; Regulatory</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Licensing status, banking-partner due diligence, regulatory-change monitoring</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Product &amp; Technology</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Roadmap review (Section 11), major architecture decisions</w:t>
            </w:r>
          </w:p>
        </w:tc>
      </w:tr>
    </w:tbl>
    <w:p>
      <w:pPr>
        <w:pStyle w:val="Heading2"/>
        <w:spacing w:after="200" w:before="360"/>
      </w:pPr>
      <w:r>
        <w:rPr>
          <w:color w:val="001B68"/>
        </w:rPr>
        <w:t xml:space="preserve">13.2 Decision Rights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Decision</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Rights Holder</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New banking-partner onboarding</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Board approval required (Compliance &amp; Regulatory committee recommendation)</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New corridor launch</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Board approval required</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Engineering architecture changes within existing corridor</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Executive team, informed to Product &amp; Technology committee</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Annual budget / use of funds</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Board approval required</w:t>
            </w:r>
          </w:p>
        </w:tc>
      </w:tr>
    </w:tbl>
    <w:p>
      <w:pPr>
        <w:pStyle w:val="Heading2"/>
        <w:spacing w:after="200" w:before="360"/>
      </w:pPr>
      <w:r>
        <w:rPr>
          <w:color w:val="001B68"/>
        </w:rPr>
        <w:t xml:space="preserve">13.3 Reporting Cadence</w:t>
      </w:r>
    </w:p>
    <w:p>
      <w:pPr>
        <w:spacing w:after="160"/>
      </w:pPr>
      <w:r>
        <w:rPr>
          <w:rFonts w:ascii="Calibri" w:cs="Calibri" w:eastAsia="Calibri" w:hAnsi="Calibri"/>
          <w:sz w:val="22"/>
          <w:szCs w:val="22"/>
        </w:rPr>
        <w:t xml:space="preserve">Full board meetings quarterly, aligned to this document’s review cycle; monthly operating updates to the Audit &amp; Risk and Compliance &amp; Regulatory committees covering the KPI set in Section 14.</w:t>
      </w:r>
    </w:p>
    <w:p>
      <w:pPr>
        <w:pStyle w:val="Heading1"/>
        <w:spacing w:after="240" w:before="480"/>
      </w:pPr>
      <w:r>
        <w:rPr>
          <w:color w:val="001B68"/>
        </w:rPr>
        <w:t xml:space="preserve">14. Strategic KPI Appendix</w:t>
      </w:r>
    </w:p>
    <w:p>
      <w:pPr>
        <w:pStyle w:val="Heading2"/>
        <w:spacing w:after="200" w:before="360"/>
      </w:pPr>
      <w:r>
        <w:rPr>
          <w:color w:val="001B68"/>
        </w:rPr>
        <w:t xml:space="preserve">14.1 North-Star Metrics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Metric</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Definition</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Completed Settlement Volume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Total value of transactions reaching Settlement status = completed (Document 07, Section 4.3), rolling monthly</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Verified Active Users</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Users with an approved KYC case (Document 05) who completed at least one transaction in the trailing 90 days</w:t>
            </w:r>
          </w:p>
        </w:tc>
      </w:tr>
    </w:tbl>
    <w:p>
      <w:pPr>
        <w:pStyle w:val="Heading2"/>
        <w:spacing w:after="200" w:before="360"/>
      </w:pPr>
      <w:r>
        <w:rPr>
          <w:color w:val="001B68"/>
        </w:rPr>
        <w:t xml:space="preserve">14.2 Operational KPIs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Metric</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Definition</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Match Rate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Share of created Offers/Requests that reach a confirmed Match within their settlement window</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Average Time-to-Match</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Median time from listing creation to Match confirmation</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Settlement Completion Rate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Share of confirmed Matches that reach Settlement status = completed without failure or dispute</w:t>
            </w:r>
          </w:p>
        </w:tc>
      </w:tr>
    </w:tbl>
    <w:p>
      <w:pPr>
        <w:pStyle w:val="Heading2"/>
        <w:spacing w:after="200" w:before="360"/>
      </w:pPr>
      <w:r>
        <w:rPr>
          <w:color w:val="001B68"/>
        </w:rPr>
        <w:t xml:space="preserve">14.3 Financial KPIs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Metric</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Definition</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Take Rate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Realized transaction-fee revenue as a percentage of Completed Settlement Volume</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CAC</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Fully-loaded marketing and referral cost per newly verified active user</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LTV:CAC</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Estimated lifetime revenue per verified active user relative to CAC, tracked once sufficient retention data exists</w:t>
            </w:r>
          </w:p>
        </w:tc>
      </w:tr>
    </w:tbl>
    <w:p>
      <w:pPr>
        <w:pStyle w:val="Heading2"/>
        <w:spacing w:after="200" w:before="360"/>
      </w:pPr>
      <w:r>
        <w:rPr>
          <w:color w:val="001B68"/>
        </w:rPr>
        <w:t xml:space="preserve">14.4 Risk KPIs</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4675"/>
        <w:gridCol w:w="4675"/>
      </w:tblGrid>
      <w:tr>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Metric</w:t>
            </w:r>
          </w:p>
        </w:tc>
        <w:tc>
          <w:tcPr>
            <w:tcW w:type="dxa" w:w="4675"/>
            <w:shd w:fill="001B68" w:val="clear"/>
            <w:tcMar>
              <w:top w:type="dxa" w:w="100"/>
              <w:left w:type="dxa" w:w="120"/>
              <w:bottom w:type="dxa" w:w="100"/>
              <w:right w:type="dxa" w:w="120"/>
            </w:tcMar>
            <w:vAlign w:val="center"/>
          </w:tcPr>
          <w:p>
            <w:r>
              <w:rPr>
                <w:rFonts w:ascii="Calibri" w:cs="Calibri" w:eastAsia="Calibri" w:hAnsi="Calibri"/>
                <w:b/>
                <w:bCs/>
                <w:color w:val="FFFFFF"/>
                <w:sz w:val="18"/>
                <w:szCs w:val="18"/>
              </w:rPr>
              <w:t xml:space="preserve">Definition</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Dispute Rate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Disputes opened (Document 05, Section 3.8) as a percentage of completed Matches</w:t>
            </w:r>
          </w:p>
        </w:tc>
      </w:tr>
      <w:tr>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KYC Rejection Rate</w:t>
            </w:r>
          </w:p>
        </w:tc>
        <w:tc>
          <w:tcPr>
            <w:tcW w:type="dxa" w:w="4675"/>
            <w:shd w:fill="F3F4F6" w:val="clear"/>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Share of submitted KYC cases rejected, monitored for both fraud-signal and false-positive/friction concerns</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Reconciliation Exception Rate</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111827"/>
                <w:sz w:val="18"/>
                <w:szCs w:val="18"/>
              </w:rPr>
              <w:t xml:space="preserve">Share of settlements flagged in daily reconciliation (Document 07, Section 6.3) requiring manual review</w:t>
            </w:r>
          </w:p>
        </w:tc>
      </w:tr>
    </w:tbl>
    <w:p>
      <w:pPr>
        <w:pStyle w:val="Heading1"/>
        <w:spacing w:after="240" w:before="480"/>
      </w:pPr>
      <w:r>
        <w:rPr>
          <w:color w:val="001B68"/>
        </w:rPr>
        <w:t xml:space="preserve">Appendix A: Assumption Register</w:t>
      </w:r>
    </w:p>
    <w:p>
      <w:pPr>
        <w:spacing w:after="160"/>
      </w:pPr>
      <w:r>
        <w:rPr>
          <w:rFonts w:ascii="Calibri" w:cs="Calibri" w:eastAsia="Calibri" w:hAnsi="Calibri"/>
          <w:sz w:val="22"/>
          <w:szCs w:val="22"/>
        </w:rPr>
        <w:t xml:space="preserve">For governance clarity, every financial, market-size, and projection figure in this document is summarized here as requiring independent validation before external investor distribution:</w:t>
      </w:r>
    </w:p>
    <w:p>
      <w:pPr>
        <w:pStyle w:val="ListParagraph"/>
        <w:numPr>
          <w:ilvl w:val="0"/>
          <w:numId w:val="2"/>
        </w:numPr>
        <w:spacing w:after="80"/>
      </w:pPr>
      <w:r>
        <w:rPr>
          <w:rFonts w:ascii="Calibri" w:cs="Calibri" w:eastAsia="Calibri" w:hAnsi="Calibri"/>
          <w:sz w:val="22"/>
          <w:szCs w:val="22"/>
        </w:rPr>
        <w:t xml:space="preserve">TAM/SAM/SOM figures (Section 5) — illustrative, top-down only.</w:t>
      </w:r>
    </w:p>
    <w:p>
      <w:pPr>
        <w:pStyle w:val="ListParagraph"/>
        <w:numPr>
          <w:ilvl w:val="0"/>
          <w:numId w:val="2"/>
        </w:numPr>
        <w:spacing w:after="80"/>
      </w:pPr>
      <w:r>
        <w:rPr>
          <w:rFonts w:ascii="Calibri" w:cs="Calibri" w:eastAsia="Calibri" w:hAnsi="Calibri"/>
          <w:sz w:val="22"/>
          <w:szCs w:val="22"/>
        </w:rPr>
        <w:t xml:space="preserve">Revenue-stream pricing and unit economics (Section 7) — illustrative, not Finance-approved.</w:t>
      </w:r>
    </w:p>
    <w:p>
      <w:pPr>
        <w:pStyle w:val="ListParagraph"/>
        <w:numPr>
          <w:ilvl w:val="0"/>
          <w:numId w:val="2"/>
        </w:numPr>
        <w:spacing w:after="80"/>
      </w:pPr>
      <w:r>
        <w:rPr>
          <w:rFonts w:ascii="Calibri" w:cs="Calibri" w:eastAsia="Calibri" w:hAnsi="Calibri"/>
          <w:sz w:val="22"/>
          <w:szCs w:val="22"/>
        </w:rPr>
        <w:t xml:space="preserve">Three-year roadmap dates (Section 11) — planning targets, not commitments.</w:t>
      </w:r>
    </w:p>
    <w:p>
      <w:pPr>
        <w:pStyle w:val="ListParagraph"/>
        <w:numPr>
          <w:ilvl w:val="0"/>
          <w:numId w:val="2"/>
        </w:numPr>
        <w:spacing w:after="80"/>
      </w:pPr>
      <w:r>
        <w:rPr>
          <w:rFonts w:ascii="Calibri" w:cs="Calibri" w:eastAsia="Calibri" w:hAnsi="Calibri"/>
          <w:sz w:val="22"/>
          <w:szCs w:val="22"/>
        </w:rPr>
        <w:t xml:space="preserve">Use-of-funds allocation (Section 12.1) — illustrative, pending actual raise terms.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 Xspeeria Pre-Development Blueprint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tabs>
        <w:tab w:val="right" w:pos="9026"/>
      </w:tabs>
    </w:pPr>
    <w:r>
      <w:rPr>
        <w:rFonts w:ascii="Calibri" w:cs="Calibri" w:eastAsia="Calibri" w:hAnsi="Calibri"/>
        <w:color w:val="6B7280"/>
        <w:sz w:val="16"/>
        <w:szCs w:val="16"/>
      </w:rPr>
      <w:t xml:space="preserve">XSPEERIA</w:t>
    </w:r>
    <w:r>
      <w:rPr>
        <w:rFonts w:ascii="Calibri" w:cs="Calibri" w:eastAsia="Calibri" w:hAnsi="Calibri"/>
        <w:color w:val="6B7280"/>
        <w:sz w:val="16"/>
        <w:szCs w:val="16"/>
      </w:rPr>
      <w:t xml:space="preserve">	Document 08 — Investor &amp; Board Strategy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01B68"/>
      <w:sz w:val="32"/>
      <w:szCs w:val="32"/>
    </w:rPr>
  </w:style>
  <w:style w:type="paragraph" w:styleId="Heading2">
    <w:name w:val="Heading 2"/>
    <w:basedOn w:val="Normal"/>
    <w:next w:val="Normal"/>
    <w:qFormat/>
    <w:pPr>
      <w:spacing w:after="200" w:before="360"/>
      <w:outlineLvl w:val="1"/>
    </w:pPr>
    <w:rPr>
      <w:rFonts w:ascii="Calibri" w:cs="Calibri" w:eastAsia="Calibri" w:hAnsi="Calibri"/>
      <w:b/>
      <w:bCs/>
      <w:color w:val="001B68"/>
      <w:sz w:val="26"/>
      <w:szCs w:val="26"/>
    </w:rPr>
  </w:style>
  <w:style w:type="paragraph" w:styleId="Heading3">
    <w:name w:val="Heading 3"/>
    <w:basedOn w:val="Normal"/>
    <w:next w:val="Normal"/>
    <w:qFormat/>
    <w:pPr>
      <w:spacing w:after="160" w:before="280"/>
      <w:outlineLvl w:val="2"/>
    </w:pPr>
    <w:rPr>
      <w:rFonts w:ascii="Calibri" w:cs="Calibri" w:eastAsia="Calibri" w:hAnsi="Calibri"/>
      <w:b/>
      <w:bCs/>
      <w:color w:val="111827"/>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2026-08-15T13:02:27.451Z</dcterms:created>
  <dcterms:modified xsi:type="dcterms:W3CDTF">2026-08-15T13:02:27.451Z</dcterms:modified>
</cp:coreProperties>
</file>

<file path=docProps/custom.xml><?xml version="1.0" encoding="utf-8"?>
<Properties xmlns="http://schemas.openxmlformats.org/officeDocument/2006/custom-properties" xmlns:vt="http://schemas.openxmlformats.org/officeDocument/2006/docPropsVTypes"/>
</file>