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APPENDIX D</w:t>
      </w:r>
    </w:p>
    <w:p>
      <w:pPr>
        <w:pStyle w:val="Heading1"/>
        <w:jc w:val="center"/>
      </w:pPr>
      <w:r>
        <w:t>Financial Correctness &amp; Settlement Specification</w:t>
      </w:r>
    </w:p>
    <w:p>
      <w:r>
        <w:rPr>
          <w:b/>
        </w:rPr>
        <w:t xml:space="preserve">Document ID: </w:t>
      </w:r>
      <w:r>
        <w:t>XSP-APP-D-001</w:t>
        <w:br/>
      </w:r>
      <w:r>
        <w:rPr>
          <w:b/>
        </w:rPr>
        <w:t xml:space="preserve">Product: </w:t>
      </w:r>
      <w:r>
        <w:t>Xspeeria</w:t>
        <w:br/>
      </w:r>
      <w:r>
        <w:rPr>
          <w:b/>
        </w:rPr>
        <w:t xml:space="preserve">Version: </w:t>
      </w:r>
      <w:r>
        <w:t>1.1</w:t>
        <w:br/>
      </w:r>
      <w:r>
        <w:rPr>
          <w:b/>
        </w:rPr>
        <w:t xml:space="preserve">Classification: </w:t>
      </w:r>
      <w:r>
        <w:t>Confidential – Engineering &amp; Compliance</w:t>
        <w:br/>
      </w:r>
      <w:r>
        <w:rPr>
          <w:b/>
        </w:rPr>
        <w:t xml:space="preserve">Status: </w:t>
      </w:r>
      <w:r>
        <w:t>Approved for MVP Development</w:t>
      </w:r>
    </w:p>
    <w:p>
      <w:pPr>
        <w:pStyle w:val="Heading1"/>
      </w:pPr>
      <w:r>
        <w:t>1. Purpose of This Document</w:t>
      </w:r>
    </w:p>
    <w:p>
      <w:r>
        <w:t>This appendix defines the financial correctness rules governing every transaction on Xspeeria. It is the single source of truth for engineers, auditors, compliance officers, banking partners, and AI development tools.</w:t>
      </w:r>
    </w:p>
    <w:p>
      <w:r>
        <w:t>Core principle: Xspeeria itself is a non-custodial marketplace and never receives, stores, lends, or owns customer funds. Every settlement is executed through two independently held, country-local escrow accounts — one per currency, each held by the licensed banking partner in that jurisdiction — never through a single cross-border transfer and never through an Xspeeria-controlled account.</w:t>
      </w:r>
    </w:p>
    <w:p>
      <w:pPr>
        <w:pStyle w:val="Heading1"/>
      </w:pPr>
      <w:r>
        <w:t>2. Non-Custodial Financial Architecture</w:t>
      </w:r>
    </w:p>
    <w:p>
      <w:r>
        <w:t>Xspeeria provides identity verification, marketplace matching, rate discovery, transaction orchestration, audit logging, and compliance monitoring. Partner banks are responsible for customer accounts, escrow custody, transfer execution, and settlement confirmation, each within their own jurisdiction only — no partner ever moves funds across the border on Xspeeria's behalf.</w:t>
      </w:r>
    </w:p>
    <w:p>
      <w:pPr>
        <w:pStyle w:val="Heading1"/>
      </w:pPr>
      <w:r>
        <w:t>3. Financial Lifecycle</w:t>
      </w:r>
    </w:p>
    <w:p>
      <w:r>
        <w:t>Transaction lifecycle: Order Created → Order Validated → Match Created → Settlement Instruction Sent → Local Escrow Funding (Both Legs) → Bank Processing → Bank Verified → Completed. Settlement legs are domestic-only: each party funds a local escrow account held by the licensed partner in their own country, and funds are released to both beneficiaries only once both escrow accounts confirm funded status — no currency crosses either border. If either party fails to fund within the settlement window, the transaction returns to the matching pool per Section 5. Disputes are handled through an exception workflow without Xspeeria itself taking custody of funds at any point.</w:t>
      </w:r>
    </w:p>
    <w:p>
      <w:pPr>
        <w:pStyle w:val="Heading1"/>
      </w:pPr>
      <w:r>
        <w:t>4. Matching Engine Specification</w:t>
      </w:r>
    </w:p>
    <w:p>
      <w:r>
        <w:t>Algorithm: Price-Time Priority.</w:t>
      </w:r>
    </w:p>
    <w:p>
      <w:r>
        <w:t>Rules:</w:t>
        <w:br/>
        <w:t>• Best exchange rate executes first.</w:t>
        <w:br/>
        <w:t>• If rates are equal, the earliest order has priority.</w:t>
        <w:br/>
        <w:t>• Market orders execute immediately.</w:t>
        <w:br/>
        <w:t>• Limit orders wait until the requested rate becomes available.</w:t>
        <w:br/>
        <w:t>• Large orders may be partially filled by multiple counterparties while remaining a single customer transaction group.</w:t>
      </w:r>
    </w:p>
    <w:p>
      <w:pPr>
        <w:pStyle w:val="Heading1"/>
      </w:pPr>
      <w:r>
        <w:t>5. Settlement Orchestration</w:t>
      </w:r>
    </w:p>
    <w:p>
      <w:r>
        <w:t>Xspeeria generates settlement instructions only. Each corridor uses two local escrow accounts, one per currency, held by the partner bank in that jurisdiction. Release to both beneficiaries is atomic and conditional on both escrow accounts independently confirming funded status; a single-sided funding event holds the transaction open and never triggers release. If the counterparty fails to fund within the settlement window (plus any granted extension), the funded party's escrow is returned and the transaction is re-opened for matching with a new counterparty; repeated non-funding affects the non-funding party's risk score. Partner banks validate beneficiaries, execute the domestic payout, and return signed webhook confirmations.</w:t>
      </w:r>
    </w:p>
    <w:p>
      <w:r>
        <w:t>Settlement states: OPEN, MATCHED, INSTRUCTION_SENT, AWAITING_ESCROW_FUNDING, ESCROW_A_FUNDED, ESCROW_B_FUNDED, BOTH_ESCROWS_FUNDED, PROCESSING, VERIFIED, COMPLETED, CANCELLED, DISPUTED, REMATCH_REQUIRED.</w:t>
      </w:r>
    </w:p>
    <w:p>
      <w:r>
        <w:t>Completed transactions are immutable and may never be edited.</w:t>
      </w:r>
    </w:p>
    <w:p>
      <w:pPr>
        <w:pStyle w:val="Heading1"/>
      </w:pPr>
      <w:r>
        <w:t>6. Bank Integration Standard</w:t>
      </w:r>
    </w:p>
    <w:p>
      <w:r>
        <w:t>All financial institutions connect through a standardized Bank Adapter Layer. Required APIs include Account Verification, Escrow Account Provisioning, Escrow Funding Confirmation, Create Settlement, Status Lookup, Webhook Confirmation, and Reverse Transfer. Every adapter operates strictly within its own jurisdiction — no adapter is permitted to initiate or receive a cross-border transfer. Business logic must never depend directly on a specific bank.</w:t>
      </w:r>
    </w:p>
    <w:p>
      <w:pPr>
        <w:pStyle w:val="Heading1"/>
      </w:pPr>
      <w:r>
        <w:t>7. Event-Sourced Financial Ledger</w:t>
      </w:r>
    </w:p>
    <w:p>
      <w:r>
        <w:t>Xspeeria stores immutable financial events instead of customer balances.</w:t>
      </w:r>
    </w:p>
    <w:p>
      <w:r>
        <w:t>Required events include OrderCreated, MatchCreated, SettlementInstructionSent, EscrowAFunded, EscrowBFunded, BothEscrowsFunded, BankProcessing, BankVerified, TransactionCompleted, CounterpartyFundingTimedOut, RematchInitiated, DisputeOpened, and DisputeResolved.</w:t>
      </w:r>
    </w:p>
    <w:p>
      <w:r>
        <w:t>Prohibited: wallet balance tables and internal customer cash ledgers.</w:t>
      </w:r>
    </w:p>
    <w:p>
      <w:pPr>
        <w:pStyle w:val="Heading1"/>
      </w:pPr>
      <w:r>
        <w:t>8. Idempotency &amp; Transaction Integrity</w:t>
      </w:r>
    </w:p>
    <w:p>
      <w:r>
        <w:t>Every settlement request requires a globally unique Settlement ID, Match ID, Idempotency Key (UUID), and Bank Reference. Duplicate requests must return the previous result instead of creating another settlement.</w:t>
      </w:r>
    </w:p>
    <w:p>
      <w:pPr>
        <w:pStyle w:val="Heading1"/>
      </w:pPr>
      <w:r>
        <w:t>9. Dispute Resolution Framework</w:t>
      </w:r>
    </w:p>
    <w:p>
      <w:r>
        <w:t>Disputes concern evidence rather than custody. Evidence automatically includes Settlement ID, Match ID, Bank Reference, KYC snapshot, device fingerprint, IP address, timestamp, exchange rate, and audit history.</w:t>
      </w:r>
    </w:p>
    <w:p>
      <w:r>
        <w:t>SLA: Critical 4 hours, High 24 hours, Medium 72 hours, Low 5 business days.</w:t>
      </w:r>
    </w:p>
    <w:p>
      <w:pPr>
        <w:pStyle w:val="Heading1"/>
      </w:pPr>
      <w:r>
        <w:t>10. Fraud &amp; Risk Engine</w:t>
      </w:r>
    </w:p>
    <w:p>
      <w:r>
        <w:t>Every user receives a dynamic 0–100 risk score. Signals include new device, VPN detection, failed KYC attempts, identity mismatch, rapid transaction spikes, sanctions screening, and blacklisted bank accounts. Configurable velocity controls automatically prevent abuse.</w:t>
      </w:r>
    </w:p>
    <w:p>
      <w:pPr>
        <w:pStyle w:val="Heading1"/>
      </w:pPr>
      <w:r>
        <w:t>11. Daily Reconciliation Engine</w:t>
      </w:r>
    </w:p>
    <w:p>
      <w:r>
        <w:t>Xspeeria reconciles Settlement ID, Amount, Currency, Beneficiary, Status, and Timestamp against partner bank records daily. Any mismatch places the transaction into RECONCILIATION_REQUIRED until resolved.</w:t>
      </w:r>
    </w:p>
    <w:p>
      <w:pPr>
        <w:pStyle w:val="Heading1"/>
      </w:pPr>
      <w:r>
        <w:t>12. AML &amp; Compliance Controls</w:t>
      </w:r>
    </w:p>
    <w:p>
      <w:r>
        <w:t>Automated monitoring detects structuring, unusual transaction frequency, high-risk corridors, sanctions exposure, multiple identities, and suspicious device activity. Compliance officers may pause matching, request enhanced KYC, escalate to banks, and suspend accounts.</w:t>
      </w:r>
    </w:p>
    <w:p>
      <w:pPr>
        <w:pStyle w:val="Heading1"/>
      </w:pPr>
      <w:r>
        <w:t>13. Audit Trail Specification</w:t>
      </w:r>
    </w:p>
    <w:p>
      <w:r>
        <w:t>Every sensitive action records Audit ID, User ID, Actor, Action, Previous Value, New Value, Device ID, IP Address, and Timestamp. Minimum retention period: 7 years, configurable by jurisdiction.</w:t>
      </w:r>
    </w:p>
    <w:p>
      <w:pPr>
        <w:pStyle w:val="Heading1"/>
      </w:pPr>
      <w:r>
        <w:t>14. Database Constraints</w:t>
      </w:r>
    </w:p>
    <w:p>
      <w:r>
        <w:t>Mandatory unique identifiers: User ID, Match ID, Settlement ID, Bank Reference, and Dispute ID. Customer balance tables are strictly prohibited in the Xspeeria database.</w:t>
      </w:r>
    </w:p>
    <w:p>
      <w:pPr>
        <w:pStyle w:val="Heading1"/>
      </w:pPr>
      <w:r>
        <w:t>15. Claude Code Mandatory Engineering Rules</w:t>
      </w:r>
    </w:p>
    <w:p>
      <w:r>
        <w:t>Never store customer balances, never allow frontend completion of transactions, never bypass bank webhooks, never release either leg of a settlement until both local escrow accounts are independently confirmed funded by their respective partner's webhook, never route any leg of a settlement across a border, and never edit completed records. Always use immutable event sourcing, idempotency validation, unique settlement identifiers, and complete audit logging.</w:t>
      </w:r>
    </w:p>
    <w:p>
      <w:pPr>
        <w:pStyle w:val="Heading1"/>
      </w:pPr>
      <w:r>
        <w:t>16. Success Criteria</w:t>
      </w:r>
    </w:p>
    <w:p>
      <w:r>
        <w:t>A transaction is financially correct only when both users are KYC verified, fraud checks pass, matching follows Price-Time Priority, settlement IDs are generated, partner bank execution is confirmed via verified webhook, immutable audit records exist, and reconciliation succeeds.</w:t>
      </w:r>
    </w:p>
    <w:p>
      <w:r>
        <w:br w:type="page"/>
      </w:r>
    </w:p>
    <w:p>
      <w:pPr>
        <w:pStyle w:val="Heading1"/>
      </w:pPr>
      <w:r>
        <w:t>Appendix D Approval Statement</w:t>
      </w:r>
    </w:p>
    <w:p>
      <w:r>
        <w:t>This specification is the authoritative engineering standard for all monetary workflows within Xspeeria. Any implementation that contradicts this document shall be considered non-compliant and must not be deployed to production.</w:t>
      </w:r>
    </w:p>
    <w:sectPr w:rsidR="00FC693F" w:rsidRPr="0006063C" w:rsidSect="00034616">
      <w:pgSz w:w="11900"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