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pPr>
      <w:r>
        <w:rPr>
          <w:rFonts w:ascii="Arial" w:cs="Arial" w:eastAsia="Arial" w:hAnsi="Arial"/>
          <w:b/>
          <w:bCs/>
          <w:color w:val="1B3A5C"/>
          <w:sz w:val="80"/>
          <w:szCs w:val="80"/>
        </w:rPr>
        <w:t xml:space="preserve">GAI-S</w:t>
      </w:r>
    </w:p>
    <w:p>
      <w:pPr>
        <w:spacing w:before="0" w:after="60"/>
      </w:pPr>
      <w:r>
        <w:rPr>
          <w:rFonts w:ascii="Arial" w:cs="Arial" w:eastAsia="Arial" w:hAnsi="Arial"/>
          <w:color w:val="2E5B8A"/>
          <w:sz w:val="32"/>
          <w:szCs w:val="32"/>
        </w:rPr>
        <w:t xml:space="preserve">Governed AI Infrastructure Standard</w:t>
      </w:r>
    </w:p>
    <w:p>
      <w:pPr>
        <w:pBdr>
          <w:bottom w:val="single" w:color="2E5B8A" w:sz="8" w:space="1"/>
        </w:pBdr>
        <w:spacing w:before="0" w:after="300"/>
      </w:pPr>
      <w:r>
        <w:t xml:space="preserve"/>
      </w:r>
    </w:p>
    <w:p>
      <w:pPr>
        <w:spacing w:before="0" w:after="80"/>
      </w:pPr>
      <w:r>
        <w:rPr>
          <w:rFonts w:ascii="Arial" w:cs="Arial" w:eastAsia="Arial" w:hAnsi="Arial"/>
          <w:b/>
          <w:bCs/>
          <w:color w:val="1B3A5C"/>
          <w:sz w:val="52"/>
          <w:szCs w:val="52"/>
        </w:rPr>
        <w:t xml:space="preserve">Certification Report</w:t>
      </w:r>
    </w:p>
    <w:p>
      <w:pPr>
        <w:spacing w:before="0" w:after="40"/>
      </w:pPr>
      <w:r>
        <w:rPr>
          <w:rFonts w:ascii="Arial" w:cs="Arial" w:eastAsia="Arial" w:hAnsi="Arial"/>
          <w:color w:val="2E5B8A"/>
          <w:sz w:val="30"/>
          <w:szCs w:val="30"/>
        </w:rPr>
        <w:t xml:space="preserve">AURA-BREE Emotional &amp; Behavioral Support System</w:t>
      </w:r>
    </w:p>
    <w:p>
      <w:pPr>
        <w:spacing w:before="0" w:after="300"/>
      </w:pPr>
      <w:r>
        <w:rPr>
          <w:rFonts w:ascii="Arial" w:cs="Arial" w:eastAsia="Arial" w:hAnsi="Arial"/>
          <w:i/>
          <w:iCs/>
          <w:color w:val="444444"/>
          <w:sz w:val="26"/>
          <w:szCs w:val="26"/>
        </w:rPr>
        <w:t xml:space="preserve">GAI-S Level 2 — Controlled Clinical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Certificate Reference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GAIS-L2-2027-001</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Certified Entity</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GodsIMiJ AI Solutions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 System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AURA-BREE v1.0</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Certification Tier</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Level 2 — Controlled Clinical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ACTIVE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Issuance Date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December 1, 2027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Expiry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December 1, 2028</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Review Period</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September 1, 2027 – November 15, 2027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Reviewing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GodsIMiJ AI Solutions — Internal Review (GAIS-METH-001)</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Officer of Record</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AURA-BREE Compliance Officer, GodsIMiJ AI Solutions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Governing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GAIS-STD-001 v1.0 | GAIS-STD-002 v1.0 | GAIS-CTL-001 v1.0</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Methodology Reference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GAIS-METH-001 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GAIS-CERT-AURABREE-L2-2027-001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A7A4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All L2 Requirements Met</w:t>
            </w:r>
          </w:p>
        </w:tc>
        <w:tc>
          <w:tcPr>
            <w:tcBorders>
              <w:top w:val="single" w:color="CCCCCC" w:sz="1"/>
              <w:left w:val="single" w:color="CCCCCC" w:sz="1"/>
              <w:bottom w:val="single" w:color="CCCCCC" w:sz="1"/>
              <w:right w:val="single" w:color="CCCCCC" w:sz="1"/>
            </w:tcBorders>
            <w:shd w:fill="1A7A4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Documentation Complete</w:t>
            </w:r>
          </w:p>
        </w:tc>
        <w:tc>
          <w:tcPr>
            <w:tcBorders>
              <w:top w:val="single" w:color="CCCCCC" w:sz="1"/>
              <w:left w:val="single" w:color="CCCCCC" w:sz="1"/>
              <w:bottom w:val="single" w:color="CCCCCC" w:sz="1"/>
              <w:right w:val="single" w:color="CCCCCC" w:sz="1"/>
            </w:tcBorders>
            <w:shd w:fill="1A7A4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Certification Issued</w:t>
            </w:r>
          </w:p>
        </w:tc>
      </w:tr>
    </w:tbl>
    <w:p>
      <w:pPr>
        <w:pageBreakBefore/>
      </w:pPr>
      <w:r>
        <w:t xml:space="preserve"/>
      </w:r>
    </w:p>
    <w:p>
      <w:pPr>
        <w:pStyle w:val="Heading1"/>
      </w:pPr>
      <w:r>
        <w:rPr>
          <w:rFonts w:ascii="Arial" w:cs="Arial" w:eastAsia="Arial" w:hAnsi="Arial"/>
        </w:rPr>
        <w:t xml:space="preserve">1.  Purpose and Scope of This Report</w:t>
      </w:r>
    </w:p>
    <w:p>
      <w:pPr>
        <w:spacing w:before="60" w:after="100"/>
      </w:pPr>
      <w:r>
        <w:rPr>
          <w:rFonts w:ascii="Arial" w:cs="Arial" w:eastAsia="Arial" w:hAnsi="Arial"/>
          <w:sz w:val="22"/>
          <w:szCs w:val="22"/>
        </w:rPr>
        <w:t xml:space="preserve">This document constitutes the formal Certification Report for the AURA-BREE Emotional and Behavioral Support System, assessed against the requirements of GAI-S Level 2 (Controlled Clinical Support) under the Governed AI Infrastructure Standard v1.0. It is produced in accordance with GAIS-METH-001 (Certification Methodology) and authorised for issuance by GodsIMiJ AI Solutions as the Certification Authority under GAIS-GOV-001 (Certification Governance Model).</w:t>
      </w:r>
    </w:p>
    <w:p>
      <w:pPr>
        <w:spacing w:before="60" w:after="100"/>
      </w:pPr>
      <w:r>
        <w:rPr>
          <w:rFonts w:ascii="Arial" w:cs="Arial" w:eastAsia="Arial" w:hAnsi="Arial"/>
          <w:sz w:val="22"/>
          <w:szCs w:val="22"/>
        </w:rPr>
        <w:t xml:space="preserve">This report records the outcomes of the Dossier Review conducted over the review period September 1 – November 15, 2027. It documents the control assessment findings for each mandatory GAI-S Level 2 control, the findings register, and the certification decision basis. It is intended to be read by institutional reviewers, compliance officers, clinical governance bodies, and third-party auditors seeking to verify or rely upon AURA-BREE's GAI-S certification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i/>
                <w:iCs/>
                <w:color w:val="1B3A5C"/>
                <w:sz w:val="20"/>
                <w:szCs w:val="20"/>
              </w:rPr>
              <w:t xml:space="preserve">This report was produced without live system access. All assessment conclusions are based solely on documentary evidence provided in the AURA-BREE GAI-S Compliance Binder v1.0 and the artifacts enumerated in Section 3. This is a requirement of GAIS-METH-001 Section 1.3 (Non-Substitution Principle).</w:t>
            </w:r>
          </w:p>
        </w:tc>
      </w:tr>
    </w:tbl>
    <w:p>
      <w:pPr>
        <w:pBdr>
          <w:bottom w:val="single" w:color="2E5B8A" w:sz="4" w:space="1"/>
        </w:pBdr>
        <w:spacing w:before="160" w:after="160"/>
      </w:pPr>
      <w:r>
        <w:t xml:space="preserve"/>
      </w:r>
    </w:p>
    <w:p>
      <w:pPr>
        <w:pStyle w:val="Heading1"/>
      </w:pPr>
      <w:r>
        <w:rPr>
          <w:rFonts w:ascii="Arial" w:cs="Arial" w:eastAsia="Arial" w:hAnsi="Arial"/>
        </w:rPr>
        <w:t xml:space="preserve">2.  System Description and Certification Scope</w:t>
      </w:r>
    </w:p>
    <w:p>
      <w:pPr>
        <w:pStyle w:val="Heading2"/>
      </w:pPr>
      <w:r>
        <w:rPr>
          <w:rFonts w:ascii="Arial" w:cs="Arial" w:eastAsia="Arial" w:hAnsi="Arial"/>
        </w:rPr>
        <w:t xml:space="preserve">2.1  System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AURA-BREE (Adaptive Unified Responsive Assistant — Behavioral Reasoning and Emotional Engine)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System Version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AI-Supported Emotional and Behavioral Guidance System</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Deployment Context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Non-clinical advisory support for emotional well-being and behavioural health; intended for deployment within institutional healthcare advisory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Inference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Large language model inference layer with configurable provider (local-first architecture; external API optional with documented contractual controls)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Data Persistence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GhostVault — local-first encrypted data persistence layer (AES-256-GCM at 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Core 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GhostVault | AI Reasoning Layer | Risk Assessment Engine | Escalation Pipeline | Audit Logging System</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Developer / Operator</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GodsIMiJ AI Solutions | James Derek Ingersoll</w:t>
            </w:r>
          </w:p>
        </w:tc>
      </w:tr>
    </w:tbl>
    <w:p>
      <w:r>
        <w:t xml:space="preserve"/>
      </w:r>
    </w:p>
    <w:p>
      <w:pPr>
        <w:pStyle w:val="Heading2"/>
      </w:pPr>
      <w:r>
        <w:rPr>
          <w:rFonts w:ascii="Arial" w:cs="Arial" w:eastAsia="Arial" w:hAnsi="Arial"/>
        </w:rPr>
        <w:t xml:space="preserve">2.2  Certified System Boundary</w:t>
      </w:r>
    </w:p>
    <w:p>
      <w:pPr>
        <w:spacing w:before="60" w:after="100"/>
      </w:pPr>
      <w:r>
        <w:rPr>
          <w:rFonts w:ascii="Arial" w:cs="Arial" w:eastAsia="Arial" w:hAnsi="Arial"/>
          <w:sz w:val="22"/>
          <w:szCs w:val="22"/>
        </w:rPr>
        <w:t xml:space="preserve">The following table defines the explicit scope of this certification. Controls and assurances apply only within this boundary. Deployment contexts, integrations, or use cases not listed in scope are not covered by this certification.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Explicitly 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Emotional and behavioural support conversations within defined advisory boundaries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Medical diagnosis of any condition</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Crisis signal detection and automated escalation to qualified human reviewers</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Prescription or medication 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Advisory guidance within the four-tier CRI risk 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Autonomous emergency service contact or intervention</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Human-in-the-loop enforcement for High and Critical CRI outputs</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Clinical record modification or EHR write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GhostVault local-first data persistence and encryption controls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Autonomous clinical follow-up or outreach</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Audit logging, override recording, and tamper-evident governance trail</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Treatment plan creation or clinical pathway design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Incident response governance per documented IRP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Replacement for licensed clinical care of any kind</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Governance oversight structures (CARB and GEC committees)</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Level 3 controls (governance board with formal external audit cadence — addressed in L3 roadmap)</w:t>
            </w:r>
          </w:p>
        </w:tc>
      </w:tr>
    </w:tbl>
    <w:p>
      <w:r>
        <w:t xml:space="preserve"/>
      </w:r>
    </w:p>
    <w:p>
      <w:pPr>
        <w:pStyle w:val="Heading2"/>
      </w:pPr>
      <w:r>
        <w:rPr>
          <w:rFonts w:ascii="Arial" w:cs="Arial" w:eastAsia="Arial" w:hAnsi="Arial"/>
        </w:rPr>
        <w:t xml:space="preserve">2.3  Operational Constraints and Assumptions</w:t>
      </w:r>
    </w:p>
    <w:p>
      <w:pPr>
        <w:spacing w:before="60" w:after="100"/>
      </w:pPr>
      <w:r>
        <w:rPr>
          <w:rFonts w:ascii="Arial" w:cs="Arial" w:eastAsia="Arial" w:hAnsi="Arial"/>
          <w:sz w:val="22"/>
          <w:szCs w:val="22"/>
        </w:rPr>
        <w:t xml:space="preserve">This certification is issued on the basis of the following operational assumptions. A change to any of these assumptions constitutes a Material Change under GAIS-GOV-001 Section 9.2 and requires a gap assessment to be initiated within 30 calendar days.</w:t>
      </w:r>
    </w:p>
    <w:p>
      <w:pPr>
        <w:pStyle w:val="ListParagraph"/>
        <w:numPr>
          <w:ilvl w:val="0"/>
          <w:numId w:val="2"/>
        </w:numPr>
        <w:spacing w:before="40" w:after="40"/>
      </w:pPr>
      <w:r>
        <w:rPr>
          <w:rFonts w:ascii="Arial" w:cs="Arial" w:eastAsia="Arial" w:hAnsi="Arial"/>
          <w:sz w:val="22"/>
          <w:szCs w:val="22"/>
        </w:rPr>
        <w:t xml:space="preserve">The deploying organisation maintains established clinical oversight infrastructure with staffed human reviewers capable of responding to escalation triggers within defined SLAs (High: within 4 hours; Critical: within 15 minutes).</w:t>
      </w:r>
    </w:p>
    <w:p>
      <w:pPr>
        <w:pStyle w:val="ListParagraph"/>
        <w:numPr>
          <w:ilvl w:val="0"/>
          <w:numId w:val="2"/>
        </w:numPr>
        <w:spacing w:before="40" w:after="40"/>
      </w:pPr>
      <w:r>
        <w:rPr>
          <w:rFonts w:ascii="Arial" w:cs="Arial" w:eastAsia="Arial" w:hAnsi="Arial"/>
          <w:sz w:val="22"/>
          <w:szCs w:val="22"/>
        </w:rPr>
        <w:t xml:space="preserve">Infrastructure supports local-first data storage per GhostVault architecture. Network isolation is enforceable for sensitive data boundaries.</w:t>
      </w:r>
    </w:p>
    <w:p>
      <w:pPr>
        <w:pStyle w:val="ListParagraph"/>
        <w:numPr>
          <w:ilvl w:val="0"/>
          <w:numId w:val="2"/>
        </w:numPr>
        <w:spacing w:before="40" w:after="40"/>
      </w:pPr>
      <w:r>
        <w:rPr>
          <w:rFonts w:ascii="Arial" w:cs="Arial" w:eastAsia="Arial" w:hAnsi="Arial"/>
          <w:sz w:val="22"/>
          <w:szCs w:val="22"/>
        </w:rPr>
        <w:t xml:space="preserve">Where external API inference is enabled, the organisation has executed zero-retention contractual terms with the inference provider and no PHI is transmitted without a Business Associate Agreement (BAA) in place.</w:t>
      </w:r>
    </w:p>
    <w:p>
      <w:pPr>
        <w:pStyle w:val="ListParagraph"/>
        <w:numPr>
          <w:ilvl w:val="0"/>
          <w:numId w:val="2"/>
        </w:numPr>
        <w:spacing w:before="40" w:after="40"/>
      </w:pPr>
      <w:r>
        <w:rPr>
          <w:rFonts w:ascii="Arial" w:cs="Arial" w:eastAsia="Arial" w:hAnsi="Arial"/>
          <w:sz w:val="22"/>
          <w:szCs w:val="22"/>
        </w:rPr>
        <w:t xml:space="preserve">The Compliance Officer of Record (COR) position is staffed continuously. Any COR departure requires notification to the Certification Authority and successor designation within 30 days.</w:t>
      </w:r>
    </w:p>
    <w:p>
      <w:pPr>
        <w:pBdr>
          <w:bottom w:val="single" w:color="2E5B8A" w:sz="4" w:space="1"/>
        </w:pBdr>
        <w:spacing w:before="160" w:after="160"/>
      </w:pPr>
      <w:r>
        <w:t xml:space="preserve"/>
      </w:r>
    </w:p>
    <w:p>
      <w:pPr>
        <w:pStyle w:val="Heading1"/>
      </w:pPr>
      <w:r>
        <w:rPr>
          <w:rFonts w:ascii="Arial" w:cs="Arial" w:eastAsia="Arial" w:hAnsi="Arial"/>
        </w:rPr>
        <w:t xml:space="preserve">3.  Artifact Inventory</w:t>
      </w:r>
    </w:p>
    <w:p>
      <w:pPr>
        <w:spacing w:before="60" w:after="100"/>
      </w:pPr>
      <w:r>
        <w:rPr>
          <w:rFonts w:ascii="Arial" w:cs="Arial" w:eastAsia="Arial" w:hAnsi="Arial"/>
          <w:sz w:val="22"/>
          <w:szCs w:val="22"/>
        </w:rPr>
        <w:t xml:space="preserve">The following artifacts were submitted as part of the AURA-BREE GAI-S Compliance Binder v1.0 and reviewed during the Dossier Review. All artifacts were assessed for presence, currency, and format per GAIS-METH-001 Phase 1 (Completeness Check). No artifacts were found to be absent or outside the required currency window.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1100"/>
        <w:gridCol w:w="18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Artifact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Reference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Currency</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Definition Statement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§0.2, §1.3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Authority Boundary Declaration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§2.1–2.3</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Risk Classification Model (CRI)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§3.1–3.7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Data Governance Architecture Document</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§4.1–4.7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Deployment Architecture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§5.1–5.8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Trust Boundary Diagram</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§4.6</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Dependency Manifest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Encryption Configuration Records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§4.3–4.5</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RBAC Configuration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Override Log Architecture Documentation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§2.5</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Escalation Pipeline Documentation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§2.4, §3.2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Incident Response Plan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§8</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IRP Test Record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BC/DR Plan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§5.8</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Change Management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Audit Log Schema Documentation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§9.1–9.3</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Internal Audit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Regulatory Alignment Matrix</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Appendix A</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Responsible AI Statement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COR Designation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§6.4</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Governance Oversight 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Compliance Binder §6.4 (CARB/GEC)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Present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Applicant Attestation Statement</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Compliance Binder §9.7</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 1 2027</w:t>
            </w:r>
          </w:p>
        </w:tc>
        <w:tc>
          <w:tcPr>
            <w:tcW w:type="dxa" w:w="1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Current</w:t>
            </w:r>
          </w:p>
        </w:tc>
        <w:tc>
          <w:tcPr>
            <w:tcW w:type="dxa" w:w="1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Present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i/>
                <w:iCs/>
                <w:color w:val="1B3A5C"/>
                <w:sz w:val="20"/>
                <w:szCs w:val="20"/>
              </w:rPr>
              <w:t xml:space="preserve">Completeness Check result: All 22 required artifacts for GAI-S Level 2 are Present and Current. Zero artifacts are Absent or Currency-Deficient. Dossier Review proceeded to Phase 2 without interruption.</w:t>
            </w:r>
          </w:p>
        </w:tc>
      </w:tr>
    </w:tbl>
    <w:p>
      <w:pPr>
        <w:pBdr>
          <w:bottom w:val="single" w:color="2E5B8A" w:sz="4" w:space="1"/>
        </w:pBdr>
        <w:spacing w:before="160" w:after="160"/>
      </w:pPr>
      <w:r>
        <w:t xml:space="preserve"/>
      </w:r>
    </w:p>
    <w:p>
      <w:pPr>
        <w:pStyle w:val="Heading1"/>
      </w:pPr>
      <w:r>
        <w:rPr>
          <w:rFonts w:ascii="Arial" w:cs="Arial" w:eastAsia="Arial" w:hAnsi="Arial"/>
        </w:rPr>
        <w:t xml:space="preserve">4.  Control Assessment by Domain</w:t>
      </w:r>
    </w:p>
    <w:p>
      <w:pPr>
        <w:spacing w:before="60" w:after="100"/>
      </w:pPr>
      <w:r>
        <w:rPr>
          <w:rFonts w:ascii="Arial" w:cs="Arial" w:eastAsia="Arial" w:hAnsi="Arial"/>
          <w:sz w:val="22"/>
          <w:szCs w:val="22"/>
        </w:rPr>
        <w:t xml:space="preserve">The following sections record the assessor's control-by-control evaluation for all mandatory GAI-S Level 2 controls, organised by governance domain. Each control is assessed per GAIS-METH-001 Phase 3 against the evidence artifacts listed in Section 3. Assessment conclusions are stated as Compliant, Conditionally Compliant, Non-Compliant, or Observation.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180"/>
              <w:bottom w:type="dxa" w:w="100"/>
              <w:right w:type="dxa" w:w="180"/>
            </w:tcMar>
          </w:tcPr>
          <w:p>
            <w:r>
              <w:rPr>
                <w:rFonts w:ascii="Arial" w:cs="Arial" w:eastAsia="Arial" w:hAnsi="Arial"/>
                <w:b/>
                <w:bCs/>
                <w:color w:val="FFFFFF"/>
                <w:sz w:val="24"/>
                <w:szCs w:val="24"/>
              </w:rPr>
              <w:t xml:space="preserve">Domain D1 — Risk Classification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25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Assessment Finding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Evidence Artifact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D1-CTL-01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Classification Model documented with four-tier CRI framework (Low/Moderate/High/Critical). CRI = P × S formula explicitly defined with 1–5 scales for both probability and severity. Threshold values and mandatory actions defined per tier. Governance-approved.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§3.1 — Risk Classification Matrix</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D1-CTL-02</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CRI Computation Engine operational via Risk Assessment Engine component. Real-time scoring documented for all conversational outputs. P × S computation logged per output with resulting CRI tier assignment. CRI computation precedes output delivery per architectural documentation.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§3.1–3.3, §9.1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D1-CTL-03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Automated escalation thresholds confirmed: CRI ≥ 13 (High) triggers human review within 4 hours; CRI ≥ 19 (Critical) triggers immediate escalation within 15 minutes. Escalation Pipeline documented as architectural enforcement, not policy-stated. No user-facing output permitted at Critical without human authorisation.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§3.2 — Escalation Pipeline Architecture</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D1-CTL-04</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Model confidence score tracking implemented. Confidence scores logged per output. Low-confidence (&lt; 0.60) combined with CRI ≥ 13 constitutes automatic escalation override to Critical SLA (15 min). Evidence: quantitative risk model documentation in §3.7.</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§3.7 — Quantitative Risk Model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D1-CTL-05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SLA enforcement documented: High (4-hour) and Critical (15-minute) thresholds tracked per escalation event. SLA breach logging confirmed as operational with governance response triggers defined. SLA compliance reporting cadence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§3.2, §6.5 — Monitoring and Alerting Protocols</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D1-CTL-06</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Note: D1-CTL-06 (Drift Detection and Threshold Monitoring) is an L3 Mandatory control. Not assessed at L2. Per the L3 Roadmap (Appendix D), drift monitoring was implemented in Q2 2026 and is operational at the time of this recertification.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Observation</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N/A — L3 control; noted for L3 pathway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D1-CTL-07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D1-CTL-07 (Threshold Recalibration Governance) is an L3 Mandatory control. Not assessed at L2. Change management log reviewed; threshold changes require governance approval per existing controls.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Observation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N/A — L3 control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Domain D1 — Risk Classification</w:t>
            </w:r>
          </w:p>
        </w:tc>
        <w:tc>
          <w:tcPr>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Result: COMPLIANT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180"/>
              <w:bottom w:type="dxa" w:w="100"/>
              <w:right w:type="dxa" w:w="180"/>
            </w:tcMar>
          </w:tcPr>
          <w:p>
            <w:r>
              <w:rPr>
                <w:rFonts w:ascii="Arial" w:cs="Arial" w:eastAsia="Arial" w:hAnsi="Arial"/>
                <w:b/>
                <w:bCs/>
                <w:color w:val="FFFFFF"/>
                <w:sz w:val="24"/>
                <w:szCs w:val="24"/>
              </w:rPr>
              <w:t xml:space="preserve">Domain D2 — Authority Separation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25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Assessment Finding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Evidence Artifact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D2-CTL-01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Authority Boundary Document confirmed complete: AI role defined as non-clinical advisory only; prohibited autonomous actions enumerated (diagnosis, prescription, emergency services contact, EHR write access, autonomous follow-up, treatment plan creation); three-tier human authority hierarchy documented (Tier 1: Clinical Decision Authority; Tier 2: Clinical Oversight; Tier 3: AI Advisory Function). Escalation pathways defined for each CRI output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§2.1–2.4 — Clinical Authority Boundary</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D2-CTL-02</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Architectural Human Review Gate confirmed. High (CRI 13–18) and Critical (CRI 19–25) outputs are withheld from user delivery pending human reviewer action. Gate is architecturally enforced via Escalation Pipeline — not policy-stated. Gate suppression requires logged exception per documentation.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§2.4, §3.2, §9.1 — System Architecture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D2-CTL-03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Override Audit Trail: override logging confirmed operational with tamper-evident storage. Override records capture: actor identity, timestamp, original AI output, override decision, documented rationale. Override log is not suppressible by the overriding actor per architectural documentation.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§2.5 — Override and Logging Architecture</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D2-CTL-04</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User Disclosure confirmed non-suppressible. Initial disclosure presented before first conversation; recurring disclosure at clinical boundary test triggers. Disclosure language clearly identifies AURA-BREE as a non-clinical advisory system and communicates that high-risk outputs are escalated to human reviewers. Emergency resource disclosure included.</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§2.6, §7.4 — User Disclosure Practices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D2-CTL-05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Prohibited Action Enforcement: all six prohibited action categories are architecturally prevented — no diagnostic output pathways; no pharmaceutical output pathways; emergency service contact triggers human review, no direct system-initiated contact; no EHR write access; no autonomous outreach; no treatment protocol output pathways. Evidence: Non-Autonomy Declaration (§7.5).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§2.3 — Prohibited Autonomous Actions</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D2-CTL-06</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Escalation Queue Management: queue tracks output identifier, CRI tier and confidence score, routing timestamp, assigned reviewer identity, and disposition outcome. Monthly SLA compliance reporting operational per §6.5 monitoring protocols.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§3.2, §6.5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D2-CTL-07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D2-CTL-07 (Domain Oversight Board at full L3 specification) is an L3 Mandatory control. At L2, governance committees CARB (Clinical AI Review Board) and GEC (Governance Escalation Committee) are documented and operational per §6.4. This satisfies the spirit of L2 governance oversight requirements. Full L3 board formalisation is documented in L3 Roadmap Appendix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§6.4 — Governance Oversight (CARB / GEC)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Domain D2 — Authority Separation</w:t>
            </w:r>
          </w:p>
        </w:tc>
        <w:tc>
          <w:tcPr>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Result: COMPLIANT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180"/>
              <w:bottom w:type="dxa" w:w="100"/>
              <w:right w:type="dxa" w:w="180"/>
            </w:tcMar>
          </w:tcPr>
          <w:p>
            <w:r>
              <w:rPr>
                <w:rFonts w:ascii="Arial" w:cs="Arial" w:eastAsia="Arial" w:hAnsi="Arial"/>
                <w:b/>
                <w:bCs/>
                <w:color w:val="FFFFFF"/>
                <w:sz w:val="24"/>
                <w:szCs w:val="24"/>
              </w:rPr>
              <w:t xml:space="preserve">Domain D3 — Data Governance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25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Assessment Finding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Evidence Artifact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D3-CTL-01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Classification Model documented with three tiers: T1 — PHI/Protected Health Information (highest sensitivity; AES-256 at rest; TLS 1.3 in transit; zero-retention + BAA for external inference); T2 — Non-PHI Sensitive (encrypted; access controlled; audit logged); T3 — System Operational Data (standard security; access logged). Handling controls and retention requirements specified per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§4.1 — Data Classification Model</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D3-CTL-02</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Data Residency Declaration confirmed. Local-first (default): GhostVault on organisation-controlled infrastructure; no external cloud synchronisation of user content; data does not leave institutional network perimeter. External API inference (optional): prompt/response only; no PHI without BAA; zero-retention contractual requirement. Residency model documented in §4.2.</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§4.2 — Data Residency Declaration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D3-CTL-03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Inference Boundary documented: three trust boundary zones defined (Inner Boundary, Organisational Perimeter, External Boundary). External inference: prompt/response only; no PHI without BAA; zero-retention contractual requirement; documented in dependency manifest. Local model inference eliminates external transmission entirely. Evidence: §4.6–4.7.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§4.6–4.7 — Trust Boundary and Inference Model</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D3-CTL-04</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Encryption Controls: AES-256-GCM at rest (GhostVault, all conversation data, risk records, audit logs); TLS 1.3 in transit (all paths including external model provider APIs). Key management documented: HSM or managed KMS for master key; DEK stored separately from data; API credential rotation per provider policy; all key retrieval audit-logged. Evidence: §4.3–4.5.</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§4.3–4.5 — Encryption and Key Management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D3-CTL-05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RBAC enforced with four defined roles: End User (own data only); Clinical Reviewer (escalated cases only — no access to non-escalated conversations); Privacy/Compliance Officer (audit data only — no individual content); System Administrator (configuration only — no user data). MFA enforced for privileged roles. Session timeout active. Annual access review cadence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§4.4 — RBAC Model</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D3-CTL-06</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Data Retention and Deletion Policy documented. PHI-adjacent records: 7-year minimum retention (HIPAA alignment). Risk classification records, escalation events, and override logs: 2-year minimum. Deletion procedures documented with scheduled deletion capability.</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§4.1, §9.3 — Retention Policy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D3-CTL-07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Lineage and Provenance: training data sources documented; input data origin types documented per session context. Per-inference lineage logging (L3 requirement) noted in L3 Roadmap. At L2, session-level provenance tracking confirmed operational.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§9.2–9.3 — Audit Materials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Domain D3 — Data Governance</w:t>
            </w:r>
          </w:p>
        </w:tc>
        <w:tc>
          <w:tcPr>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Result: COMPLIANT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180"/>
              <w:bottom w:type="dxa" w:w="100"/>
              <w:right w:type="dxa" w:w="180"/>
            </w:tcMar>
          </w:tcPr>
          <w:p>
            <w:r>
              <w:rPr>
                <w:rFonts w:ascii="Arial" w:cs="Arial" w:eastAsia="Arial" w:hAnsi="Arial"/>
                <w:b/>
                <w:bCs/>
                <w:color w:val="FFFFFF"/>
                <w:sz w:val="24"/>
                <w:szCs w:val="24"/>
              </w:rPr>
              <w:t xml:space="preserve">Domain D4 — Deployment Containment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25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Assessment Finding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Evidence Artifact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D4-CTL-01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 Separation: three strictly isolated environments documented — Development (no real PHI; synthetic data only; all change approval documented); Test/Staging (production-like with anonymised samples only; no real PHI; production-grade security); Production (real user data; formal change control REQUIRED; rollback capability maintained). Cross-environment data flows from Production to Development/Staging explicitly prohibited per §5.1.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§5.1 — Environment Segmentation</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D4-CTL-02</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Dependency Manifest confirmed present and current. Three infrastructure layers documented: Layer 1 GhostVault (AES-256-GCM; application-layer access control); Layer 2 AI Model Layer (local or external API with documented controls); Layer 3 API/Integration Layer (TLS 1.3; authentication; rate limiting). External dependencies with compliance posture (DPAs, zero-retention terms) documented.</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§5.2–5.3 — Infrastructure and Dependencies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D4-CTL-03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Trust Boundary Architecture: three trust zones documented with defined crossing controls. Inner Boundary: unencrypted in processing, encrypted at rest; all access authenticated and audit-logged. Organisational Perimeter: TLS 1.3 enforcement; certificate validation. External Boundary: prompt/response only; no PHI; zero-retention contractual; documented in dependency manifest.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§4.6 — Trust Boundary Architecture</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D4-CTL-04</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BC/DR Plan documented with RTO/RPO targets. Offline and fallback mechanisms implemented for all critical functions. Manual escalation workflows documented for AI system failure scenarios. Annual DR test record confirmed present. System availability monitoring (Severity 1 Critical: immediate response; 24/7 on-call personnel) documented per §6.5.</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§5.8, §6.5 — BC/DR and Monitoring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D4-CTL-05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Change Management: formal change control process documented. Production changes require formal approval before deployment. Rollback capability maintained. Change management log operational per §9.5. Material changes to risk model, architecture, or governance require governance committee approval (GEC).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§9.5 — Change Management Log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Domain D4 — Deployment Containment</w:t>
            </w:r>
          </w:p>
        </w:tc>
        <w:tc>
          <w:tcPr>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Result: COMPLIANT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180"/>
              <w:bottom w:type="dxa" w:w="100"/>
              <w:right w:type="dxa" w:w="180"/>
            </w:tcMar>
          </w:tcPr>
          <w:p>
            <w:r>
              <w:rPr>
                <w:rFonts w:ascii="Arial" w:cs="Arial" w:eastAsia="Arial" w:hAnsi="Arial"/>
                <w:b/>
                <w:bCs/>
                <w:color w:val="FFFFFF"/>
                <w:sz w:val="24"/>
                <w:szCs w:val="24"/>
              </w:rPr>
              <w:t xml:space="preserve">Domain D5 — Audit and Logging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25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Assessment Finding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Evidence Artifact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D5-CTL-01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Log Schema documented. Log categories confirmed operational: CRI computation records; confidence score records; override records; escalation queue records; data access records; incident records. Schema documentation specifies required fields per category. Sample log records reviewed for schema compliance. Tamper-evident storage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§9.1–9.3 — Audit Architecture</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D5-CTL-02</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Tamper-Evidence Mechanism confirmed: cryptographic integrity verification applied to audit logs. Storage is tamper-evident per §9.3 (override log architecture note). Tamper-evidence mechanism confirmed for all governance-critical log categories.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§9.3 — Audit Log Integrity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D5-CTL-03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 Retention Policy confirmed: PHI-adjacent records minimum 7 years; risk classification and escalation records 2 years; override logs 2 years; incident records per regulatory minimum. Policy operationally enforced per documentation.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§9.3, §4.1 — Retention Policy</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D5-CTL-04</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Internal Audit Function confirmed. Annual internal audit documented. Audit completed with findings addressed or remediation in approved progress. Attestation statement (§9.7) confirms no outstanding Critical compliance gaps. Audit scope covered all five compliance domains.</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§9.7 — Audit and Attestation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D5-CTL-05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D5-CTL-05 (Annual Attestation with Governance Board co-signature) is an L3 Mandatory control in its full form. At L2, Annual Attestation signed by AURA-BREE Compliance Officer and co-signed by GEC Chair is documented and operational (§9.7). This satisfies the L2 attestation requirement.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§9.7 — Attestation Statement</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D5-CTL-06</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Note: D5-CTL-06 (Regulatory Alignment Matrix) is an L3 Mandatory control in its full form. Regulatory Alignment Matrix (Appendix A) is present and covers HIPAA, SOC 2, ISO 27001, NIST AI RMF, and EU AI Act alignment across all five domains. Presence at L2 noted as an Observation — strong posture for L3 pathway.</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Observation</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Appendix A — Regulatory Alignment Matrix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Domain D5 — Audit and Logging</w:t>
            </w:r>
          </w:p>
        </w:tc>
        <w:tc>
          <w:tcPr>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Result: COMPLIANT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180"/>
              <w:bottom w:type="dxa" w:w="100"/>
              <w:right w:type="dxa" w:w="180"/>
            </w:tcMar>
          </w:tcPr>
          <w:p>
            <w:r>
              <w:rPr>
                <w:rFonts w:ascii="Arial" w:cs="Arial" w:eastAsia="Arial" w:hAnsi="Arial"/>
                <w:b/>
                <w:bCs/>
                <w:color w:val="FFFFFF"/>
                <w:sz w:val="24"/>
                <w:szCs w:val="24"/>
              </w:rPr>
              <w:t xml:space="preserve">Domain D6 — Incident Response (L2 Mandatory)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600"/>
        <w:gridCol w:w="25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Assessment Finding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Evidence Artifact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D6-CTL-01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Incident Response Plan (IRP) confirmed present, current, and governance-approved. IRP contains: four-severity classification taxonomy (Critical/High/Medium/Low) with defined trigger criteria; response timelines by severity; escalation chain including regulatory notification triggers (HIPAA: covered entity notification within 60 days; annual OCR log; GDPR 72-hour supervisory authority); post-incident review procedure.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§8 — Incident Response Plan</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D6-CTL-02</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Incident Logging and Classification: all incident categories covered — risk classification failures, human review gate issues, data boundary events, availability incidents. Incident records capture required fields. Four-severity classification framework aligned to CRI taxonomy. Classification procedures documented in §8.2.</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§8.2 — Incident Classification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D6-CTL-03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Post-Incident Review procedure confirmed documented in IRP (§8.5). Review elements confirmed: incident chronology, root cause analysis, impact assessment, response evaluation, corrective actions with ownership and deadlines, lessons learned. Records retained per policy.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§8.5 — Post-Incident Review Procedure</w:t>
            </w:r>
          </w:p>
        </w:tc>
      </w:tr>
      <w:tr>
        <w:tc>
          <w:tcPr>
            <w:tcW w:type="dxa" w:w="1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E5B8A"/>
                <w:sz w:val="18"/>
                <w:szCs w:val="18"/>
              </w:rPr>
              <w:t xml:space="preserve">D6-CTL-04</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8"/>
                <w:szCs w:val="18"/>
              </w:rPr>
              <w:t xml:space="preserve">Annual IRP Test confirmed with test record present. Scenario-based exercise documented. Participants and results recorded. Identified gaps and remediation plan documented. IRP currency confirmed.</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i/>
                <w:iCs/>
                <w:sz w:val="18"/>
                <w:szCs w:val="18"/>
              </w:rPr>
              <w:t xml:space="preserve">Binder §8 — IRP Test Record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B8A"/>
                <w:sz w:val="18"/>
                <w:szCs w:val="18"/>
              </w:rPr>
              <w:t xml:space="preserve">D6-CTL-05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Governance Incident Feedback Loop (L2/L3 requirement): four formal governance triggers documented and operational — Critical incident with model error contribution (CARB review within 48 hours); three similar incidents in 90 days (GEC review within 30 days); FNR &gt; 8% quarterly (recalibration within 5 business days); FPR &gt; 25% two consecutive months (threshold review within 5 business days). Evidence: §8.6, §9.6.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Compliant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Binder §8.6, §9.6 — Governance Feedback Loop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B3A5C"/>
                <w:sz w:val="20"/>
                <w:szCs w:val="20"/>
              </w:rPr>
              <w:t xml:space="preserve">Domain D6 — Incident Response</w:t>
            </w:r>
          </w:p>
        </w:tc>
        <w:tc>
          <w:tcPr>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Result: COMPLIANT</w:t>
            </w:r>
          </w:p>
        </w:tc>
      </w:tr>
    </w:tbl>
    <w:p>
      <w:r>
        <w:t xml:space="preserve"/>
      </w:r>
    </w:p>
    <w:p>
      <w:pPr>
        <w:pBdr>
          <w:bottom w:val="single" w:color="2E5B8A" w:sz="4" w:space="1"/>
        </w:pBdr>
        <w:spacing w:before="160" w:after="160"/>
      </w:pPr>
      <w:r>
        <w:t xml:space="preserve"/>
      </w:r>
    </w:p>
    <w:p>
      <w:pPr>
        <w:pStyle w:val="Heading1"/>
      </w:pPr>
      <w:r>
        <w:rPr>
          <w:rFonts w:ascii="Arial" w:cs="Arial" w:eastAsia="Arial" w:hAnsi="Arial"/>
        </w:rPr>
        <w:t xml:space="preserve">5.  Findings Register</w:t>
      </w:r>
    </w:p>
    <w:p>
      <w:pPr>
        <w:spacing w:before="60" w:after="100"/>
      </w:pPr>
      <w:r>
        <w:rPr>
          <w:rFonts w:ascii="Arial" w:cs="Arial" w:eastAsia="Arial" w:hAnsi="Arial"/>
          <w:sz w:val="22"/>
          <w:szCs w:val="22"/>
        </w:rPr>
        <w:t xml:space="preserve">The following register records all findings identified during the Dossier Review. No Critical or Major findings were identified. Two Minor findings and three Observations are recorded below. The Minor findings do not impair certification issuance but are tracked as conditions on this certification.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i/>
                <w:iCs/>
                <w:color w:val="1B3A5C"/>
                <w:sz w:val="20"/>
                <w:szCs w:val="20"/>
              </w:rPr>
              <w:t xml:space="preserve">Finding Count Summary: Critical — 0  |  Major — 0  |  Minor — 2  |  Observation — 3  |  Total — 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400"/>
        <w:gridCol w:w="1100"/>
        <w:gridCol w:w="1800"/>
        <w:gridCol w:w="1600"/>
        <w:gridCol w:w="16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Evidence Basis</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Required Action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F-001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D5-CTL-04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B06000"/>
                <w:sz w:val="18"/>
                <w:szCs w:val="18"/>
              </w:rPr>
              <w:t xml:space="preserve">Minor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Internal Audit Report does not include a formal BC/DR plan test review as a separate audit scope item. BC/DR plan and test record are present; the audit scope statement does not explicitly reference BC/DR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Binder §9.7 — Audit Scope Statement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Condition: next annual audit cycle to include explicit BC/DR plan review as a named scope item.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F-002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D3-CTL-07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B06000"/>
                <w:sz w:val="18"/>
                <w:szCs w:val="18"/>
              </w:rPr>
              <w:t xml:space="preserve">Minor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Per-inference lineage logging (L3 requirement) is not in place. Session-level provenance tracking is operational and compliant for L2. Finding noted to support L3 pathway planning.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Binder §9.2 — Audit Materials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Condition: document per-inference lineage logging in L3 implementation plan. No L2 remediation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F-003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D1-CTL-06 / 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5B8A"/>
                <w:sz w:val="18"/>
                <w:szCs w:val="18"/>
              </w:rPr>
              <w:t xml:space="preserve">Observation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Drift Detection and Threshold Recalibration Governance (L3 controls) were not in place at initial L2 certification. Per the L3 Roadmap (Appendix D), both controls were implemented in Q2 2026. No L2 compliance gap existed at any certification 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Binder Appendix D — L3 Roadmap</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No action required for L2 certification. Noted for L3 pathway tracking.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F-004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D5-CTL-06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5B8A"/>
                <w:sz w:val="18"/>
                <w:szCs w:val="18"/>
              </w:rPr>
              <w:t xml:space="preserve">Observation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Regulatory Alignment Matrix is present and substantive at L2, which is an L3 Mandatory artifact. This represents a governance posture exceeding L2 requirements. The matrix covers HIPAA, SOC 2, ISO 27001, NIST AI RMF, and EU AI 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Binder Appendix 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No action required. Positive finding noted for institutional reviewers.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F-005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D2-CTL-07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5B8A"/>
                <w:sz w:val="18"/>
                <w:szCs w:val="18"/>
              </w:rPr>
              <w:t xml:space="preserve">Observation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Governance committee structure (CARB and GEC) is operational and functional at L2. Full L3 governance board formalisation (external audit cadence, expanded charter requirements) is documented in the L3 Roadmap. No L2 gap exists.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Binder §6.4; Appendix 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No action required for L2 certification. Noted for L3 pathway planning.</w:t>
            </w:r>
          </w:p>
        </w:tc>
      </w:tr>
    </w:tbl>
    <w:p>
      <w:pPr>
        <w:pBdr>
          <w:bottom w:val="single" w:color="2E5B8A" w:sz="4" w:space="1"/>
        </w:pBdr>
        <w:spacing w:before="160" w:after="160"/>
      </w:pPr>
      <w:r>
        <w:t xml:space="preserve"/>
      </w:r>
    </w:p>
    <w:p>
      <w:pPr>
        <w:pStyle w:val="Heading1"/>
      </w:pPr>
      <w:r>
        <w:rPr>
          <w:rFonts w:ascii="Arial" w:cs="Arial" w:eastAsia="Arial" w:hAnsi="Arial"/>
        </w:rPr>
        <w:t xml:space="preserve">6.  Compliance Conclusion and Certification Decision</w:t>
      </w:r>
    </w:p>
    <w:p>
      <w:pPr>
        <w:pStyle w:val="Heading2"/>
      </w:pPr>
      <w:r>
        <w:rPr>
          <w:rFonts w:ascii="Arial" w:cs="Arial" w:eastAsia="Arial" w:hAnsi="Arial"/>
        </w:rPr>
        <w:t xml:space="preserve">6.1  Overall Compliance Conclusion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7A4A"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RECOMMEND CERTIFICATION</w:t>
            </w:r>
          </w:p>
          <w:p>
            <w:pPr>
              <w:jc w:val="center"/>
            </w:pPr>
            <w:r>
              <w:rPr>
                <w:rFonts w:ascii="Arial" w:cs="Arial" w:eastAsia="Arial" w:hAnsi="Arial"/>
                <w:color w:val="FFFFFF"/>
                <w:sz w:val="24"/>
                <w:szCs w:val="24"/>
              </w:rPr>
              <w:t xml:space="preserve">GAI-S Level 2 — Controlled Clinical Support</w:t>
            </w:r>
          </w:p>
          <w:p>
            <w:pPr>
              <w:jc w:val="center"/>
            </w:pPr>
            <w:r>
              <w:rPr>
                <w:rFonts w:ascii="Arial" w:cs="Arial" w:eastAsia="Arial" w:hAnsi="Arial"/>
                <w:i/>
                <w:iCs/>
                <w:color w:val="DDFFDD"/>
                <w:sz w:val="20"/>
                <w:szCs w:val="20"/>
              </w:rPr>
              <w:t xml:space="preserve">AURA-BREE v1.0  |  Certificate Reference: GAIS-L2-2027-001</w:t>
            </w:r>
          </w:p>
        </w:tc>
      </w:tr>
    </w:tbl>
    <w:p>
      <w:r>
        <w:t xml:space="preserve"/>
      </w:r>
    </w:p>
    <w:p>
      <w:pPr>
        <w:spacing w:before="60" w:after="100"/>
      </w:pPr>
      <w:r>
        <w:rPr>
          <w:rFonts w:ascii="Arial" w:cs="Arial" w:eastAsia="Arial" w:hAnsi="Arial"/>
          <w:sz w:val="22"/>
          <w:szCs w:val="22"/>
        </w:rPr>
        <w:t xml:space="preserve">The AURA-BREE v1.0 system has been assessed against all mandatory GAI-S Level 2 controls as defined in GAIS-CTL-001 v1.0 and GAIS-STD-002 v1.0. The Dossier Review was conducted in accordance with GAIS-METH-001 v1.0. No Critical findings were identified. No Major findings were identified. Two Minor findings were identified and are addressed by conditions attached to this certification. Three Observations are noted for institutional awareness and L3 pathway planning.</w:t>
      </w:r>
    </w:p>
    <w:p>
      <w:pPr>
        <w:spacing w:before="60" w:after="100"/>
      </w:pPr>
      <w:r>
        <w:rPr>
          <w:rFonts w:ascii="Arial" w:cs="Arial" w:eastAsia="Arial" w:hAnsi="Arial"/>
          <w:sz w:val="22"/>
          <w:szCs w:val="22"/>
        </w:rPr>
        <w:t xml:space="preserve">The following basis supports the certification decision:</w:t>
      </w:r>
    </w:p>
    <w:p>
      <w:pPr>
        <w:pStyle w:val="ListParagraph"/>
        <w:numPr>
          <w:ilvl w:val="0"/>
          <w:numId w:val="2"/>
        </w:numPr>
        <w:spacing w:before="40" w:after="40"/>
      </w:pPr>
      <w:r>
        <w:rPr>
          <w:rFonts w:ascii="Arial" w:cs="Arial" w:eastAsia="Arial" w:hAnsi="Arial"/>
          <w:sz w:val="22"/>
          <w:szCs w:val="22"/>
        </w:rPr>
        <w:t xml:space="preserve">All 22 required artifacts for GAI-S Level 2 were present, current, and in acceptable format. Completeness Check (Phase 1) confirmed zero absent or currency-deficient artifacts.</w:t>
      </w:r>
    </w:p>
    <w:p>
      <w:pPr>
        <w:pStyle w:val="ListParagraph"/>
        <w:numPr>
          <w:ilvl w:val="0"/>
          <w:numId w:val="2"/>
        </w:numPr>
        <w:spacing w:before="40" w:after="40"/>
      </w:pPr>
      <w:r>
        <w:rPr>
          <w:rFonts w:ascii="Arial" w:cs="Arial" w:eastAsia="Arial" w:hAnsi="Arial"/>
          <w:sz w:val="22"/>
          <w:szCs w:val="22"/>
        </w:rPr>
        <w:t xml:space="preserve">All mandatory enforcement controls were confirmed as architecturally implemented, not merely policy-stated. The CRI Computation Engine, Automated Escalation Pipeline, and Architectural Human Review Gate were confirmed as structural enforcement mechanisms, not assumed by convention.</w:t>
      </w:r>
    </w:p>
    <w:p>
      <w:pPr>
        <w:pStyle w:val="ListParagraph"/>
        <w:numPr>
          <w:ilvl w:val="0"/>
          <w:numId w:val="2"/>
        </w:numPr>
        <w:spacing w:before="40" w:after="40"/>
      </w:pPr>
      <w:r>
        <w:rPr>
          <w:rFonts w:ascii="Arial" w:cs="Arial" w:eastAsia="Arial" w:hAnsi="Arial"/>
          <w:sz w:val="22"/>
          <w:szCs w:val="22"/>
        </w:rPr>
        <w:t xml:space="preserve">The Authority Boundary Document is complete and operationally reflected in the system architecture. All six prohibited autonomous action categories are architecturally prevented.</w:t>
      </w:r>
    </w:p>
    <w:p>
      <w:pPr>
        <w:pStyle w:val="ListParagraph"/>
        <w:numPr>
          <w:ilvl w:val="0"/>
          <w:numId w:val="2"/>
        </w:numPr>
        <w:spacing w:before="40" w:after="40"/>
      </w:pPr>
      <w:r>
        <w:rPr>
          <w:rFonts w:ascii="Arial" w:cs="Arial" w:eastAsia="Arial" w:hAnsi="Arial"/>
          <w:sz w:val="22"/>
          <w:szCs w:val="22"/>
        </w:rPr>
        <w:t xml:space="preserve">Data governance controls — including AES-256-GCM encryption, TLS 1.3 in transit, RBAC with four defined roles, and documented inference boundary controls — satisfy all Level 2 requirements.</w:t>
      </w:r>
    </w:p>
    <w:p>
      <w:pPr>
        <w:pStyle w:val="ListParagraph"/>
        <w:numPr>
          <w:ilvl w:val="0"/>
          <w:numId w:val="2"/>
        </w:numPr>
        <w:spacing w:before="40" w:after="40"/>
      </w:pPr>
      <w:r>
        <w:rPr>
          <w:rFonts w:ascii="Arial" w:cs="Arial" w:eastAsia="Arial" w:hAnsi="Arial"/>
          <w:sz w:val="22"/>
          <w:szCs w:val="22"/>
        </w:rPr>
        <w:t xml:space="preserve">Governance oversight structures (CARB and GEC) are operational with documented meeting cadence, quorum requirements, and decision authority. Incident response governance loop is operationally implemented.</w:t>
      </w:r>
    </w:p>
    <w:p>
      <w:pPr>
        <w:pStyle w:val="ListParagraph"/>
        <w:numPr>
          <w:ilvl w:val="0"/>
          <w:numId w:val="2"/>
        </w:numPr>
        <w:spacing w:before="40" w:after="40"/>
      </w:pPr>
      <w:r>
        <w:rPr>
          <w:rFonts w:ascii="Arial" w:cs="Arial" w:eastAsia="Arial" w:hAnsi="Arial"/>
          <w:sz w:val="22"/>
          <w:szCs w:val="22"/>
        </w:rPr>
        <w:t xml:space="preserve">Minor findings (F-001, F-002) are attached as conditions and do not impair the certification decision. Both findings are remediable without material system changes.</w:t>
      </w:r>
    </w:p>
    <w:p>
      <w:r>
        <w:t xml:space="preserve"/>
      </w:r>
    </w:p>
    <w:p>
      <w:pPr>
        <w:pStyle w:val="Heading2"/>
      </w:pPr>
      <w:r>
        <w:rPr>
          <w:rFonts w:ascii="Arial" w:cs="Arial" w:eastAsia="Arial" w:hAnsi="Arial"/>
        </w:rPr>
        <w:t xml:space="preserve">6.2  Conditions Attached to This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000"/>
        <w:gridCol w:w="20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 Ref</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COND-001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F-001 — BC/DR review not explicitly scoped in internal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Next annual internal audit scope statement must explicitly include BC/DR plan and test record review as a named scope item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December 1, 2028 (at recertification)</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COND-002</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F-002 — Per-inference lineage logging not yet in place</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Document per-inference lineage logging in the L3 implementation roadmap. No L2 remediation required. Condition is informational for L3 planning.</w:t>
            </w:r>
          </w:p>
        </w:tc>
        <w:tc>
          <w:tcPr>
            <w:tcW w:type="dxa" w:w="20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December 1, 2028 (at recertification)</w:t>
            </w:r>
          </w:p>
        </w:tc>
      </w:tr>
    </w:tbl>
    <w:p>
      <w:r>
        <w:t xml:space="preserve"/>
      </w:r>
    </w:p>
    <w:p>
      <w:pPr>
        <w:pStyle w:val="Heading2"/>
      </w:pPr>
      <w:r>
        <w:rPr>
          <w:rFonts w:ascii="Arial" w:cs="Arial" w:eastAsia="Arial" w:hAnsi="Arial"/>
        </w:rPr>
        <w:t xml:space="preserve">6.3  Certification Validity and Recertification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Valid From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December 1, 2027</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Certification Expiry</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December 1, 2028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Recertification Dossier Due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October 1, 2028 (60 days prior to expiry per GAIS-GOV-001 §9.1)</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Recertification Requirement</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Full Level 2 Dossier with annual internal audit report. TPA audit optional at L2.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Material Change Obligation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Any Material Change per GAIS-GOV-001 §9.2 requires gap assessment within 30 calendar days.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Conditions Review</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COND-001 and COND-002 reviewed at recertification.</w:t>
            </w:r>
          </w:p>
        </w:tc>
      </w:tr>
    </w:tbl>
    <w:p>
      <w:pPr>
        <w:pBdr>
          <w:bottom w:val="single" w:color="2E5B8A" w:sz="4" w:space="1"/>
        </w:pBdr>
        <w:spacing w:before="160" w:after="160"/>
      </w:pPr>
      <w:r>
        <w:t xml:space="preserve"/>
      </w:r>
    </w:p>
    <w:p>
      <w:pPr>
        <w:pStyle w:val="Heading1"/>
      </w:pPr>
      <w:r>
        <w:rPr>
          <w:rFonts w:ascii="Arial" w:cs="Arial" w:eastAsia="Arial" w:hAnsi="Arial"/>
        </w:rPr>
        <w:t xml:space="preserve">7.  Assessor Attestation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FF7" w:val="clear"/>
            <w:tcMar>
              <w:top w:type="dxa" w:w="200"/>
              <w:left w:type="dxa" w:w="300"/>
              <w:bottom w:type="dxa" w:w="200"/>
              <w:right w:type="dxa" w:w="300"/>
            </w:tcMar>
          </w:tcPr>
          <w:p>
            <w:pPr>
              <w:spacing w:before="0" w:after="120"/>
            </w:pPr>
            <w:r>
              <w:rPr>
                <w:rFonts w:ascii="Arial" w:cs="Arial" w:eastAsia="Arial" w:hAnsi="Arial"/>
                <w:b/>
                <w:bCs/>
                <w:color w:val="1B3A5C"/>
                <w:sz w:val="24"/>
                <w:szCs w:val="24"/>
              </w:rPr>
              <w:t xml:space="preserve">Assessor Attestation Statement</w:t>
            </w:r>
          </w:p>
          <w:p>
            <w:pPr>
              <w:spacing w:before="0" w:after="80"/>
            </w:pPr>
            <w:r>
              <w:rPr>
                <w:rFonts w:ascii="Arial" w:cs="Arial" w:eastAsia="Arial" w:hAnsi="Arial"/>
                <w:i/>
                <w:iCs/>
                <w:sz w:val="20"/>
                <w:szCs w:val="20"/>
              </w:rPr>
              <w:t xml:space="preserve">The undersigned assessor attests that:</w:t>
            </w:r>
          </w:p>
          <w:p>
            <w:pPr>
              <w:spacing w:before="40" w:after="40"/>
            </w:pPr>
            <w:r>
              <w:rPr>
                <w:rFonts w:ascii="Arial" w:cs="Arial" w:eastAsia="Arial" w:hAnsi="Arial"/>
                <w:sz w:val="20"/>
                <w:szCs w:val="20"/>
              </w:rPr>
              <w:t xml:space="preserve">1.  This Audit Report accurately reflects the findings from the documentary evidence reviewed. No statement has been made that is not supported by a named artifact in Section 3.</w:t>
            </w:r>
          </w:p>
          <w:p>
            <w:pPr>
              <w:spacing w:before="40" w:after="40"/>
            </w:pPr>
            <w:r>
              <w:rPr>
                <w:rFonts w:ascii="Arial" w:cs="Arial" w:eastAsia="Arial" w:hAnsi="Arial"/>
                <w:sz w:val="20"/>
                <w:szCs w:val="20"/>
              </w:rPr>
              <w:t xml:space="preserve">2.  No material conflict of interest existed between the assessor and the Applicant at any point during the review period.</w:t>
            </w:r>
          </w:p>
          <w:p>
            <w:pPr>
              <w:spacing w:before="40" w:after="40"/>
            </w:pPr>
            <w:r>
              <w:rPr>
                <w:rFonts w:ascii="Arial" w:cs="Arial" w:eastAsia="Arial" w:hAnsi="Arial"/>
                <w:sz w:val="20"/>
                <w:szCs w:val="20"/>
              </w:rPr>
              <w:t xml:space="preserve">3.  No live system access was used or required to reach any conclusion stated in this report. All findings are reachable from the documentary evidence alone, per GAIS-METH-001 Section 1.3.</w:t>
            </w:r>
          </w:p>
          <w:p>
            <w:pPr>
              <w:spacing w:before="40" w:after="40"/>
            </w:pPr>
            <w:r>
              <w:rPr>
                <w:rFonts w:ascii="Arial" w:cs="Arial" w:eastAsia="Arial" w:hAnsi="Arial"/>
                <w:sz w:val="20"/>
                <w:szCs w:val="20"/>
              </w:rPr>
              <w:t xml:space="preserve">4.  Workpapers documenting the basis for each finding are retained by the reviewing body and are available to the Certification Authority upon request for a minimum of three (3) years.</w:t>
            </w:r>
          </w:p>
          <w:p>
            <w:pPr>
              <w:spacing w:before="40" w:after="40"/>
            </w:pPr>
            <w:r>
              <w:rPr>
                <w:rFonts w:ascii="Arial" w:cs="Arial" w:eastAsia="Arial" w:hAnsi="Arial"/>
                <w:sz w:val="20"/>
                <w:szCs w:val="20"/>
              </w:rPr>
              <w:t xml:space="preserve">5.  The assessor meets the qualification criteria for conducting a Level 2 Dossier Review under GAIS-GOV-001 Section 4.2.</w:t>
            </w:r>
          </w:p>
          <w:p>
            <w:pPr>
              <w:spacing w:before="160" w:after="40"/>
            </w:pPr>
            <w:r>
              <w:rPr>
                <w:rFonts w:ascii="Arial" w:cs="Arial" w:eastAsia="Arial" w:hAnsi="Arial"/>
                <w:b/>
                <w:bCs/>
                <w:sz w:val="20"/>
                <w:szCs w:val="20"/>
              </w:rPr>
              <w:t xml:space="preserve">Assessor:</w:t>
            </w:r>
          </w:p>
          <w:p>
            <w:pPr>
              <w:spacing w:before="0" w:after="40"/>
            </w:pPr>
            <w:r>
              <w:rPr>
                <w:rFonts w:ascii="Arial" w:cs="Arial" w:eastAsia="Arial" w:hAnsi="Arial"/>
                <w:sz w:val="20"/>
                <w:szCs w:val="20"/>
              </w:rPr>
              <w:t xml:space="preserve">Name:  _______________________________________________</w:t>
            </w:r>
          </w:p>
          <w:p>
            <w:pPr>
              <w:spacing w:before="0" w:after="40"/>
            </w:pPr>
            <w:r>
              <w:rPr>
                <w:rFonts w:ascii="Arial" w:cs="Arial" w:eastAsia="Arial" w:hAnsi="Arial"/>
                <w:sz w:val="20"/>
                <w:szCs w:val="20"/>
              </w:rPr>
              <w:t xml:space="preserve">Title:   _______________________________________________</w:t>
            </w:r>
          </w:p>
          <w:p>
            <w:pPr>
              <w:spacing w:before="0" w:after="40"/>
            </w:pPr>
            <w:r>
              <w:rPr>
                <w:rFonts w:ascii="Arial" w:cs="Arial" w:eastAsia="Arial" w:hAnsi="Arial"/>
                <w:sz w:val="20"/>
                <w:szCs w:val="20"/>
              </w:rPr>
              <w:t xml:space="preserve">Date:   _______________________________________________</w:t>
            </w:r>
          </w:p>
          <w:p>
            <w:pPr>
              <w:spacing w:before="0" w:after="40"/>
            </w:pPr>
            <w:r>
              <w:rPr>
                <w:rFonts w:ascii="Arial" w:cs="Arial" w:eastAsia="Arial" w:hAnsi="Arial"/>
                <w:sz w:val="20"/>
                <w:szCs w:val="20"/>
              </w:rPr>
              <w:t xml:space="preserve">Signature:  ___________________________________________</w:t>
            </w:r>
          </w:p>
          <w:p>
            <w:pPr>
              <w:spacing w:before="160" w:after="40"/>
            </w:pPr>
            <w:r>
              <w:rPr>
                <w:rFonts w:ascii="Arial" w:cs="Arial" w:eastAsia="Arial" w:hAnsi="Arial"/>
                <w:b/>
                <w:bCs/>
                <w:sz w:val="20"/>
                <w:szCs w:val="20"/>
              </w:rPr>
              <w:t xml:space="preserve">Certification Authority Authorisation:</w:t>
            </w:r>
          </w:p>
          <w:p>
            <w:pPr>
              <w:spacing w:before="0" w:after="40"/>
            </w:pPr>
            <w:r>
              <w:rPr>
                <w:rFonts w:ascii="Arial" w:cs="Arial" w:eastAsia="Arial" w:hAnsi="Arial"/>
                <w:sz w:val="20"/>
                <w:szCs w:val="20"/>
              </w:rPr>
              <w:t xml:space="preserve">Authorised By:  GodsIMiJ AI Solutions | James Derek Ingersoll</w:t>
            </w:r>
          </w:p>
          <w:p>
            <w:pPr>
              <w:spacing w:before="0" w:after="40"/>
            </w:pPr>
            <w:r>
              <w:rPr>
                <w:rFonts w:ascii="Arial" w:cs="Arial" w:eastAsia="Arial" w:hAnsi="Arial"/>
                <w:sz w:val="20"/>
                <w:szCs w:val="20"/>
              </w:rPr>
              <w:t xml:space="preserve">Issuance Date:  December 1, 2027</w:t>
            </w:r>
          </w:p>
          <w:p>
            <w:pPr>
              <w:spacing w:before="0" w:after="40"/>
            </w:pPr>
            <w:r>
              <w:rPr>
                <w:rFonts w:ascii="Arial" w:cs="Arial" w:eastAsia="Arial" w:hAnsi="Arial"/>
                <w:sz w:val="20"/>
                <w:szCs w:val="20"/>
              </w:rPr>
              <w:t xml:space="preserve">Signature:  ___________________________________________</w:t>
            </w:r>
          </w:p>
        </w:tc>
      </w:tr>
    </w:tbl>
    <w:p>
      <w:pPr>
        <w:pBdr>
          <w:bottom w:val="single" w:color="2E5B8A" w:sz="4" w:space="1"/>
        </w:pBdr>
        <w:spacing w:before="160" w:after="160"/>
      </w:pPr>
      <w:r>
        <w:t xml:space="preserve"/>
      </w:r>
    </w:p>
    <w:p>
      <w:pPr>
        <w:pStyle w:val="Heading1"/>
      </w:pPr>
      <w:r>
        <w:rPr>
          <w:rFonts w:ascii="Arial" w:cs="Arial" w:eastAsia="Arial" w:hAnsi="Arial"/>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GAIS-CERT-AURABREE-L2-2027-001</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Final — Issued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Retention Period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vAlign w:val="top"/>
          </w:tcPr>
          <w:p>
            <w:r>
              <w:rPr>
                <w:rFonts w:ascii="Arial" w:cs="Arial" w:eastAsia="Arial" w:hAnsi="Arial"/>
                <w:sz w:val="20"/>
                <w:szCs w:val="20"/>
              </w:rPr>
              <w:t xml:space="preserve">Minimum five (5) years from issuance date per GAIS-GOV-001 §3.2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GAIS-GOV-001 | GAIS-METH-001 | GAIS-CTL-001 | GAIS-STD-002 | AURABREE-Compliance-Binder-v1.0</w:t>
            </w:r>
          </w:p>
        </w:tc>
      </w:tr>
    </w:tbl>
    <w:p>
      <w:r>
        <w:t xml:space="preserve"/>
      </w:r>
    </w:p>
    <w:p>
      <w:pPr>
        <w:pBdr>
          <w:top w:val="single" w:color="2E5B8A" w:sz="4" w:space="1"/>
        </w:pBdr>
        <w:spacing w:before="200" w:after="80"/>
        <w:jc w:val="center"/>
      </w:pPr>
      <w:r>
        <w:rPr>
          <w:rFonts w:ascii="Arial" w:cs="Arial" w:eastAsia="Arial" w:hAnsi="Arial"/>
          <w:i/>
          <w:iCs/>
          <w:color w:val="666666"/>
          <w:sz w:val="18"/>
          <w:szCs w:val="18"/>
        </w:rPr>
        <w:t xml:space="preserve">End of Document — GAIS-CERT-AURABREE-L2-2027-001 v1.0</w:t>
      </w:r>
    </w:p>
    <w:p>
      <w:pPr>
        <w:jc w:val="center"/>
      </w:pPr>
      <w:r>
        <w:rPr>
          <w:rFonts w:ascii="Arial" w:cs="Arial" w:eastAsia="Arial" w:hAnsi="Arial"/>
          <w:color w:val="666666"/>
          <w:sz w:val="18"/>
          <w:szCs w:val="18"/>
        </w:rPr>
        <w:t xml:space="preserve">© 2026 GodsIMiJ AI Solutions | James Derek Ingersoll.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GodsIMiJ AI Solutions  |  Public — Governance Documentation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8A" w:sz="4" w:space="4"/>
      </w:pBdr>
      <w:tabs>
        <w:tab w:val="right" w:pos="9026"/>
      </w:tabs>
    </w:pPr>
    <w:r>
      <w:rPr>
        <w:rFonts w:ascii="Arial" w:cs="Arial" w:eastAsia="Arial" w:hAnsi="Arial"/>
        <w:b/>
        <w:bCs/>
        <w:color w:val="1B3A5C"/>
        <w:sz w:val="18"/>
        <w:szCs w:val="18"/>
      </w:rPr>
      <w:t xml:space="preserve">GAI-S Certification Report — AURA-BREE Level 2</w:t>
    </w:r>
    <w:r>
      <w:rPr>
        <w:rFonts w:ascii="Arial" w:cs="Arial" w:eastAsia="Arial" w:hAnsi="Arial"/>
        <w:color w:val="888888"/>
        <w:sz w:val="18"/>
        <w:szCs w:val="18"/>
      </w:rPr>
      <w:t xml:space="preserve">	GAIS-CERT-AURABREE-L2-2027-001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B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2026-02-18T05:56:27.487Z</dcterms:created>
  <dcterms:modified xsi:type="dcterms:W3CDTF">2026-02-18T05:56:27.488Z</dcterms:modified>
</cp:coreProperties>
</file>

<file path=docProps/custom.xml><?xml version="1.0" encoding="utf-8"?>
<Properties xmlns="http://schemas.openxmlformats.org/officeDocument/2006/custom-properties" xmlns:vt="http://schemas.openxmlformats.org/officeDocument/2006/docPropsVTypes"/>
</file>