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pPr>
      <w:r>
        <w:rPr>
          <w:rFonts w:ascii="Arial" w:cs="Arial" w:eastAsia="Arial" w:hAnsi="Arial"/>
          <w:b/>
          <w:bCs/>
          <w:color w:val="1B3A5C"/>
          <w:sz w:val="80"/>
          <w:szCs w:val="80"/>
        </w:rPr>
        <w:t xml:space="preserve">GAI-S</w:t>
      </w:r>
    </w:p>
    <w:p>
      <w:pPr>
        <w:spacing w:before="0" w:after="60"/>
      </w:pPr>
      <w:r>
        <w:rPr>
          <w:rFonts w:ascii="Arial" w:cs="Arial" w:eastAsia="Arial" w:hAnsi="Arial"/>
          <w:color w:val="2E5B8A"/>
          <w:sz w:val="32"/>
          <w:szCs w:val="32"/>
        </w:rPr>
        <w:t xml:space="preserve">Governed AI Infrastructure Standard</w:t>
      </w:r>
    </w:p>
    <w:p>
      <w:pPr>
        <w:pBdr>
          <w:bottom w:val="single" w:color="2E5B8A" w:sz="8" w:space="1"/>
        </w:pBdr>
        <w:spacing w:before="0" w:after="300"/>
      </w:pPr>
      <w:r>
        <w:t xml:space="preserve"/>
      </w:r>
    </w:p>
    <w:p>
      <w:pPr>
        <w:spacing w:before="0" w:after="80"/>
      </w:pPr>
      <w:r>
        <w:rPr>
          <w:rFonts w:ascii="Arial" w:cs="Arial" w:eastAsia="Arial" w:hAnsi="Arial"/>
          <w:b/>
          <w:bCs/>
          <w:color w:val="1B3A5C"/>
          <w:sz w:val="52"/>
          <w:szCs w:val="52"/>
        </w:rPr>
        <w:t xml:space="preserve">Public Certification Registry</w:t>
      </w:r>
    </w:p>
    <w:p>
      <w:pPr>
        <w:spacing w:before="0" w:after="300"/>
      </w:pPr>
      <w:r>
        <w:rPr>
          <w:rFonts w:ascii="Arial" w:cs="Arial" w:eastAsia="Arial" w:hAnsi="Arial"/>
          <w:i/>
          <w:iCs/>
          <w:color w:val="444444"/>
          <w:sz w:val="24"/>
          <w:szCs w:val="24"/>
        </w:rPr>
        <w:t xml:space="preserve">Official Record of All Active, Conditional, Suspended, and Historical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GAIS-REG-001</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Active — Updated Continuously</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Issuing Authority</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GodsIMiJ AI Solutions | James Derek Ingersoll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Registry Last Updated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February 18, 2028</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Total Certifications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1 Active | 0 Conditional | 0 Suspended | 0 Revoked | 0 Lapsed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Public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This document is publicly accessible. Verification by Certificate Reference Number is supported.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Governing Instrument</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GAIS-GOV-001 Section 11 — Public Listing and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Update Obligation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Registry entries MUST be updated within five (5) business days of any status change.</w:t>
            </w:r>
          </w:p>
        </w:tc>
      </w:tr>
    </w:tbl>
    <w:p>
      <w:pPr>
        <w:pageBreakBefore/>
      </w:pPr>
      <w:r>
        <w:t xml:space="preserve"/>
      </w:r>
    </w:p>
    <w:p>
      <w:pPr>
        <w:pStyle w:val="Heading1"/>
      </w:pPr>
      <w:r>
        <w:rPr>
          <w:rFonts w:ascii="Arial" w:cs="Arial" w:eastAsia="Arial" w:hAnsi="Arial"/>
        </w:rPr>
        <w:t xml:space="preserve">1.  Registry Purpose and Legal Basis</w:t>
      </w:r>
    </w:p>
    <w:p>
      <w:pPr>
        <w:pStyle w:val="Heading2"/>
      </w:pPr>
      <w:r>
        <w:rPr>
          <w:rFonts w:ascii="Arial" w:cs="Arial" w:eastAsia="Arial" w:hAnsi="Arial"/>
        </w:rPr>
        <w:t xml:space="preserve">1.1  Purpose</w:t>
      </w:r>
    </w:p>
    <w:p>
      <w:pPr>
        <w:spacing w:before="60" w:after="100"/>
      </w:pPr>
      <w:r>
        <w:rPr>
          <w:rFonts w:ascii="Arial" w:cs="Arial" w:eastAsia="Arial" w:hAnsi="Arial"/>
          <w:sz w:val="22"/>
          <w:szCs w:val="22"/>
        </w:rPr>
        <w:t xml:space="preserve">This document constitutes the official GAI-S Public Certification Registry maintained by GodsIMiJ AI Solutions in its capacity as the sole GAI-S Certification Authority. It records the certification status of all AI systems for which GAI-S certification has been issued, conditionally issued, suspended, revoked, or lapsed.</w:t>
      </w:r>
    </w:p>
    <w:p>
      <w:pPr>
        <w:spacing w:before="60" w:after="100"/>
      </w:pPr>
      <w:r>
        <w:rPr>
          <w:rFonts w:ascii="Arial" w:cs="Arial" w:eastAsia="Arial" w:hAnsi="Arial"/>
          <w:sz w:val="22"/>
          <w:szCs w:val="22"/>
        </w:rPr>
        <w:t xml:space="preserve">The Registry serves three functions: (1) enabling third parties to independently verify a stated certification claim by Certificate Reference Number; (2) providing public accountability for the certification programme by maintaining an accurate, continuously updated status record; and (3) giving Certified Entities a canonical reference for use in institutional and regulatory documentation.</w:t>
      </w:r>
    </w:p>
    <w:p>
      <w:r>
        <w:t xml:space="preserve"/>
      </w:r>
    </w:p>
    <w:p>
      <w:pPr>
        <w:pStyle w:val="Heading2"/>
      </w:pPr>
      <w:r>
        <w:rPr>
          <w:rFonts w:ascii="Arial" w:cs="Arial" w:eastAsia="Arial" w:hAnsi="Arial"/>
        </w:rPr>
        <w:t xml:space="preserve">1.2  Legal Basis</w:t>
      </w:r>
    </w:p>
    <w:p>
      <w:pPr>
        <w:spacing w:before="60" w:after="100"/>
      </w:pPr>
      <w:r>
        <w:rPr>
          <w:rFonts w:ascii="Arial" w:cs="Arial" w:eastAsia="Arial" w:hAnsi="Arial"/>
          <w:sz w:val="22"/>
          <w:szCs w:val="22"/>
        </w:rPr>
        <w:t xml:space="preserve">Maintenance of this Registry is required by GAIS-GOV-001 Section 11. The Certification Authority is obligated to update Registry entries within five (5) business days of any status change — including issuance, conditional issuance, suspension, revocation, condition satisfaction, or expiry — without requiring request from any party.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i/>
                <w:iCs/>
                <w:color w:val="1B3A5C"/>
                <w:sz w:val="20"/>
                <w:szCs w:val="20"/>
              </w:rPr>
              <w:t xml:space="preserve">Third parties relying on a stated GAI-S certification claim are advised to verify current status directly in this Registry using the Certificate Reference Number. Certification status reflects governance posture at the time of the last review, not ongoing real-time operational compliance. Refer to GAIS-LGL-001 Section 5.3 for third-party reliance guidance.</w:t>
            </w:r>
          </w:p>
        </w:tc>
      </w:tr>
    </w:tbl>
    <w:p>
      <w:pPr>
        <w:pBdr>
          <w:bottom w:val="single" w:color="2E5B8A" w:sz="4" w:space="1"/>
        </w:pBdr>
        <w:spacing w:before="160" w:after="160"/>
      </w:pPr>
      <w:r>
        <w:t xml:space="preserve"/>
      </w:r>
    </w:p>
    <w:p>
      <w:pPr>
        <w:pStyle w:val="Heading1"/>
      </w:pPr>
      <w:r>
        <w:rPr>
          <w:rFonts w:ascii="Arial" w:cs="Arial" w:eastAsia="Arial" w:hAnsi="Arial"/>
        </w:rPr>
        <w:t xml:space="preserve">2.  How to Use This Registry</w:t>
      </w:r>
    </w:p>
    <w:p>
      <w:pPr>
        <w:pStyle w:val="Heading2"/>
      </w:pPr>
      <w:r>
        <w:rPr>
          <w:rFonts w:ascii="Arial" w:cs="Arial" w:eastAsia="Arial" w:hAnsi="Arial"/>
        </w:rPr>
        <w:t xml:space="preserve">2.1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 on Certification Claims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ACTIVE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Certification is current, all conditions satisfied or within remediation window, and no suspension or revocation action is pending.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Certified Entity may make all permitted certification representations under GAIS-GOV-001 Section 12.</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CONDITIONAL</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Certification has been issued but one or more conditions are attached with defined remediation deadlines. Conditions do not impair certification status during the remediation window.</w:t>
            </w:r>
          </w:p>
        </w:tc>
        <w:tc>
          <w:tcPr>
            <w:tcW w:type="dxa" w:w="4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Certified Entity may represent certification status. Conditions must be disclosed if material to the relying party's purpose.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UNDER REVIEW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Certification Dossier has been submitted for renewal or gap assessment and is pending review. Certification is not yet expired or revoked.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Certified Entity may represent that certification is under review and display prior tier during the review period.</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SUSPENDED</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Certification has been suspended pending investigation or remediation. All certification claims and mark usage are suspended for the duration.</w:t>
            </w:r>
          </w:p>
        </w:tc>
        <w:tc>
          <w:tcPr>
            <w:tcW w:type="dxa" w:w="4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Certified Entity MUST NOT make any certification representations. Certification mark MUST be removed from all materials.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REVOKED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Certification has been permanently terminated. Entity may re-apply no earlier than 12 months following revocation.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Certified Entity MUST NOT make any certification representations. Historical entry remains in Registry with revocation basis stated.</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LAPSED</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Certification period has expired and no renewal Dossier was submitted within the required window.</w:t>
            </w:r>
          </w:p>
        </w:tc>
        <w:tc>
          <w:tcPr>
            <w:tcW w:type="dxa" w:w="4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Certified Entity MUST NOT make any certification representations. Historical entry remains in Registry.</w:t>
            </w:r>
          </w:p>
        </w:tc>
      </w:tr>
    </w:tbl>
    <w:p>
      <w:r>
        <w:t xml:space="preserve"/>
      </w:r>
    </w:p>
    <w:p>
      <w:pPr>
        <w:pStyle w:val="Heading2"/>
      </w:pPr>
      <w:r>
        <w:rPr>
          <w:rFonts w:ascii="Arial" w:cs="Arial" w:eastAsia="Arial" w:hAnsi="Arial"/>
        </w:rPr>
        <w:t xml:space="preserve">2.2  Verification by Certificate Reference Number</w:t>
      </w:r>
    </w:p>
    <w:p>
      <w:pPr>
        <w:spacing w:before="60" w:after="100"/>
      </w:pPr>
      <w:r>
        <w:rPr>
          <w:rFonts w:ascii="Arial" w:cs="Arial" w:eastAsia="Arial" w:hAnsi="Arial"/>
          <w:sz w:val="22"/>
          <w:szCs w:val="22"/>
        </w:rPr>
        <w:t xml:space="preserve">Each certification is assigned a unique Certificate Reference Number at issuance. Third parties verifying a certification claim should:</w:t>
      </w:r>
    </w:p>
    <w:p>
      <w:pPr>
        <w:pStyle w:val="ListParagraph"/>
        <w:numPr>
          <w:ilvl w:val="0"/>
          <w:numId w:val="2"/>
        </w:numPr>
        <w:spacing w:before="40" w:after="40"/>
      </w:pPr>
      <w:r>
        <w:rPr>
          <w:rFonts w:ascii="Arial" w:cs="Arial" w:eastAsia="Arial" w:hAnsi="Arial"/>
          <w:sz w:val="22"/>
          <w:szCs w:val="22"/>
        </w:rPr>
        <w:t xml:space="preserve">Locate the entry in this Registry using the Certificate Reference Number provided by the Certified Entity.</w:t>
      </w:r>
    </w:p>
    <w:p>
      <w:pPr>
        <w:pStyle w:val="ListParagraph"/>
        <w:numPr>
          <w:ilvl w:val="0"/>
          <w:numId w:val="2"/>
        </w:numPr>
        <w:spacing w:before="40" w:after="40"/>
      </w:pPr>
      <w:r>
        <w:rPr>
          <w:rFonts w:ascii="Arial" w:cs="Arial" w:eastAsia="Arial" w:hAnsi="Arial"/>
          <w:sz w:val="22"/>
          <w:szCs w:val="22"/>
        </w:rPr>
        <w:t xml:space="preserve">Confirm that the System Name and Certified Entity Name in the Registry entry match the system and entity making the certification claim.</w:t>
      </w:r>
    </w:p>
    <w:p>
      <w:pPr>
        <w:pStyle w:val="ListParagraph"/>
        <w:numPr>
          <w:ilvl w:val="0"/>
          <w:numId w:val="2"/>
        </w:numPr>
        <w:spacing w:before="40" w:after="40"/>
      </w:pPr>
      <w:r>
        <w:rPr>
          <w:rFonts w:ascii="Arial" w:cs="Arial" w:eastAsia="Arial" w:hAnsi="Arial"/>
          <w:sz w:val="22"/>
          <w:szCs w:val="22"/>
        </w:rPr>
        <w:t xml:space="preserve">Confirm that the Certification Status is ACTIVE or CONDITIONAL as appropriate for the relying party's purpose.</w:t>
      </w:r>
    </w:p>
    <w:p>
      <w:pPr>
        <w:pStyle w:val="ListParagraph"/>
        <w:numPr>
          <w:ilvl w:val="0"/>
          <w:numId w:val="2"/>
        </w:numPr>
        <w:spacing w:before="40" w:after="40"/>
      </w:pPr>
      <w:r>
        <w:rPr>
          <w:rFonts w:ascii="Arial" w:cs="Arial" w:eastAsia="Arial" w:hAnsi="Arial"/>
          <w:sz w:val="22"/>
          <w:szCs w:val="22"/>
        </w:rPr>
        <w:t xml:space="preserve">Confirm that the Expiry Date has not passed.</w:t>
      </w:r>
    </w:p>
    <w:p>
      <w:pPr>
        <w:pStyle w:val="ListParagraph"/>
        <w:numPr>
          <w:ilvl w:val="0"/>
          <w:numId w:val="2"/>
        </w:numPr>
        <w:spacing w:before="40" w:after="40"/>
      </w:pPr>
      <w:r>
        <w:rPr>
          <w:rFonts w:ascii="Arial" w:cs="Arial" w:eastAsia="Arial" w:hAnsi="Arial"/>
          <w:sz w:val="22"/>
          <w:szCs w:val="22"/>
        </w:rPr>
        <w:t xml:space="preserve">Note any conditions attached and assess their materiality to the relying party's purpose.</w:t>
      </w:r>
    </w:p>
    <w:p>
      <w:pPr>
        <w:spacing w:before="60" w:after="100"/>
      </w:pPr>
      <w:r>
        <w:rPr>
          <w:rFonts w:ascii="Arial" w:cs="Arial" w:eastAsia="Arial" w:hAnsi="Arial"/>
          <w:sz w:val="22"/>
          <w:szCs w:val="22"/>
        </w:rPr>
        <w:t xml:space="preserve">Discrepancies between a stated certification claim and the Registry entry should be reported to the Certification Authority at the contact address provided in Section 5.</w:t>
      </w:r>
    </w:p>
    <w:p>
      <w:pPr>
        <w:pBdr>
          <w:bottom w:val="single" w:color="2E5B8A" w:sz="4" w:space="1"/>
        </w:pBdr>
        <w:spacing w:before="160" w:after="160"/>
      </w:pPr>
      <w:r>
        <w:t xml:space="preserve"/>
      </w:r>
    </w:p>
    <w:p>
      <w:pPr>
        <w:pStyle w:val="Heading1"/>
      </w:pPr>
      <w:r>
        <w:rPr>
          <w:rFonts w:ascii="Arial" w:cs="Arial" w:eastAsia="Arial" w:hAnsi="Arial"/>
        </w:rPr>
        <w:t xml:space="preserve">3.  Active and Historical Certification Records</w:t>
      </w:r>
    </w:p>
    <w:p>
      <w:pPr>
        <w:pStyle w:val="Heading2"/>
      </w:pPr>
      <w:r>
        <w:rPr>
          <w:rFonts w:ascii="Arial" w:cs="Arial" w:eastAsia="Arial" w:hAnsi="Arial"/>
        </w:rPr>
        <w:t xml:space="preserve">3.1  Active Certifications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5C" w:val="clear"/>
            <w:tcMar>
              <w:top w:type="dxa" w:w="120"/>
              <w:left w:type="dxa" w:w="240"/>
              <w:bottom w:type="dxa" w:w="120"/>
              <w:right w:type="dxa" w:w="240"/>
            </w:tcMar>
          </w:tcPr>
          <w:p>
            <w:r>
              <w:rPr>
                <w:rFonts w:ascii="Arial" w:cs="Arial" w:eastAsia="Arial" w:hAnsi="Arial"/>
                <w:b/>
                <w:bCs/>
                <w:color w:val="FFFFFF"/>
                <w:sz w:val="28"/>
                <w:szCs w:val="28"/>
              </w:rPr>
              <w:t xml:space="preserve">GAIS-L2-2027-001</w:t>
            </w:r>
            <w:r>
              <w:rPr>
                <w:rFonts w:ascii="Arial" w:cs="Arial" w:eastAsia="Arial" w:hAnsi="Arial"/>
                <w:b/>
                <w:bCs/>
                <w:color w:val="90EE90"/>
                <w:sz w:val="22"/>
                <w:szCs w:val="22"/>
              </w:rPr>
              <w:t xml:space="preserve">   |   ACTIVE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Registry Field</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Certificate Reference Number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GAIS-L2-2027-001</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Certification Document ID</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GAIS-CERT-AURABREE-L2-2027-001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Certified Entity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GodsIMiJ AI Solutions</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Entity Jurisdiction</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United States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AI System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AURA-BREE (Adaptive Unified Responsive Assistant — Behavioral Reasoning and Emotional Engine)</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AI System Version Certified</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v1.0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System Category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AI-Supported Emotional and Behavioral Guidance System — Non-Clinical Advisory</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Certification Tier</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Level 2 — Controlled Clinical Support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Certification 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ACTIVE</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Issuance Date</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December 1, 2027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Expiry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December 1, 2028</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Review Period</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September 1, 2027 – November 15, 2027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Reviewing Body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GodsIMiJ AI Solutions — Internal Review under GAIS-METH-001 v1.0</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TPA Audit</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Not required at Level 2. Internal review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Conditions Attached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 — 2 Minor Conditions (see below)</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Compliance Officer of Record</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AURA-BREE Compliance Officer, GodsIMiJ AI Solutions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Last Registry Update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February 18, 2028</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Next Recertification Due</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October 1, 2028 (Dossier submission deadline; 60 days prior to expiry)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Certification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GAIS-CERT-AURABREE-L2-2027-001 (available upon Certified Entity consent)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8" w:val="clear"/>
            <w:tcMar>
              <w:top w:type="dxa" w:w="100"/>
              <w:left w:type="dxa" w:w="200"/>
              <w:bottom w:type="dxa" w:w="100"/>
              <w:right w:type="dxa" w:w="200"/>
            </w:tcMar>
          </w:tcPr>
          <w:p>
            <w:r>
              <w:rPr>
                <w:rFonts w:ascii="Arial" w:cs="Arial" w:eastAsia="Arial" w:hAnsi="Arial"/>
                <w:b/>
                <w:bCs/>
                <w:color w:val="B06000"/>
                <w:sz w:val="20"/>
                <w:szCs w:val="20"/>
              </w:rPr>
              <w:t xml:space="preserve">Conditions Attached to This Certification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2200"/>
        <w:gridCol w:w="146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 Ref</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Deadline</w:t>
            </w:r>
          </w:p>
        </w:tc>
        <w:tc>
          <w:tcPr>
            <w:tcW w:type="dxa" w:w="1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COND-001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Next annual internal audit scope statement must explicitly include BC/DR plan and test record review as a named scope item.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December 1, 2028 (at recertification)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Open — tracked</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COND-002</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Per-inference lineage logging to be documented in L3 implementation roadmap. No L2 remediation required; informational condition for L3 planning.</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December 1, 2028 (at recertification)</w:t>
            </w:r>
          </w:p>
        </w:tc>
        <w:tc>
          <w:tcPr>
            <w:tcW w:type="dxa" w:w="14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Open — tracked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FF7" w:val="clear"/>
            <w:tcMar>
              <w:top w:type="dxa" w:w="100"/>
              <w:left w:type="dxa" w:w="200"/>
              <w:bottom w:type="dxa" w:w="100"/>
              <w:right w:type="dxa" w:w="200"/>
            </w:tcMar>
          </w:tcPr>
          <w:p>
            <w:r>
              <w:rPr>
                <w:rFonts w:ascii="Arial" w:cs="Arial" w:eastAsia="Arial" w:hAnsi="Arial"/>
                <w:b/>
                <w:bCs/>
                <w:color w:val="1B3A5C"/>
                <w:sz w:val="20"/>
                <w:szCs w:val="20"/>
              </w:rPr>
              <w:t xml:space="preserve">Domain Compliance Summary — AURA-BREE Level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496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Risk Classification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Compliant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 Critical | 0 Major | 0 Minor | 2 Observations (L3 controls not yet applicable)</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D2</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Authority Separation</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Compliant</w:t>
            </w:r>
          </w:p>
        </w:tc>
        <w:tc>
          <w:tcPr>
            <w:tcW w:type="dxa" w:w="4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0 Critical | 0 Major | 0 Minor | 1 Observation (L3 board formalisation)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Data Governance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Compliant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 Critical | 0 Major | 1 Minor (per-inference lineage — L3 target)</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D4</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Deployment Containment</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Compliant</w:t>
            </w:r>
          </w:p>
        </w:tc>
        <w:tc>
          <w:tcPr>
            <w:tcW w:type="dxa" w:w="4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0 Critical | 0 Major | 0 Minor | 0 Observations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Audit and Logging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Compliant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 Critical | 0 Major | 1 Minor (BC/DR audit scope) | 1 Observation (Reg. Matrix present at L2)</w:t>
            </w:r>
          </w:p>
        </w:tc>
      </w:tr>
      <w:tr>
        <w:tc>
          <w:tcPr>
            <w:tcW w:type="dxa" w:w="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D6</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Incident Response</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Compliant</w:t>
            </w:r>
          </w:p>
        </w:tc>
        <w:tc>
          <w:tcPr>
            <w:tcW w:type="dxa" w:w="4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0 Critical | 0 Major | 0 Minor | 0 Observations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FF7" w:val="clear"/>
            <w:tcMar>
              <w:top w:type="dxa" w:w="100"/>
              <w:left w:type="dxa" w:w="200"/>
              <w:bottom w:type="dxa" w:w="100"/>
              <w:right w:type="dxa" w:w="200"/>
            </w:tcMar>
          </w:tcPr>
          <w:p>
            <w:r>
              <w:rPr>
                <w:rFonts w:ascii="Arial" w:cs="Arial" w:eastAsia="Arial" w:hAnsi="Arial"/>
                <w:b/>
                <w:bCs/>
                <w:color w:val="1B3A5C"/>
                <w:sz w:val="20"/>
                <w:szCs w:val="20"/>
              </w:rPr>
              <w:t xml:space="preserve">Regulatory Alignment Summary — AURA-BREE Level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Alignment Status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HIPAA (Health Insurance Portability and Accountability 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Aligned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Administrative and Security Safeguards addressed across D1–D5. PHI handling per T1 data classification. 60-day breach notification timeline documented in IRP.</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SOC 2 (AICPA Trust Services Criteria)</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Aligned</w:t>
            </w:r>
          </w:p>
        </w:tc>
        <w:tc>
          <w:tcPr>
            <w:tcW w:type="dxa" w:w="4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CC6.1 (logical access), CC6.7 (encryption), CC7.2 (risk monitoring) addressed. Audit trail and monitoring controls implemented.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ISO/IEC 27001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Aligned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A.8.2 (classification), A.9.4 (access control), A.10.1 (encryption), A.16 (incident management) addressed across D2–D6.</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NIST AI Risk Management Framework</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Aligned</w:t>
            </w:r>
          </w:p>
        </w:tc>
        <w:tc>
          <w:tcPr>
            <w:tcW w:type="dxa" w:w="4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GOVERN, MAP, MEASURE, and MANAGE functions addressed. Authority Separation addresses GOVERN 1.2; CRI addresses MEASURE; IRP addresses MANAGE.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EU AI Act (Informational)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Partial alignment documented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High-risk AI system provisions (Arts. 9–17) partially addressed at Level 2. Full alignment requires Level 3 certification. Documented in Binder Appendix A.</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GDPR (where applicable)</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Aligned — conditional</w:t>
            </w:r>
          </w:p>
        </w:tc>
        <w:tc>
          <w:tcPr>
            <w:tcW w:type="dxa" w:w="4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Data residency, access control, encryption, and DPO notification pathway addressed. Supervisory authority 72-hour notification documented in IRP.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FF7" w:val="clear"/>
            <w:tcMar>
              <w:top w:type="dxa" w:w="100"/>
              <w:left w:type="dxa" w:w="200"/>
              <w:bottom w:type="dxa" w:w="100"/>
              <w:right w:type="dxa" w:w="200"/>
            </w:tcMar>
          </w:tcPr>
          <w:p>
            <w:r>
              <w:rPr>
                <w:rFonts w:ascii="Arial" w:cs="Arial" w:eastAsia="Arial" w:hAnsi="Arial"/>
                <w:b/>
                <w:bCs/>
                <w:color w:val="1B3A5C"/>
                <w:sz w:val="20"/>
                <w:szCs w:val="20"/>
              </w:rPr>
              <w:t xml:space="preserve">Level 3 Readiness Status — For Institutional Reference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L3 Requirement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Timeline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Drift Detection and Threshold Monitoring (D1-CTL-06)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Completed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Q2 2026</w:t>
            </w:r>
          </w:p>
        </w:tc>
      </w:tr>
      <w:tr>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Threshold Recalibration Governance (D1-CTL-07)</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Completed</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Q2 2026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Full Domain Oversight Board Charter (L3 spec)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Completed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Q3 2026</w:t>
            </w:r>
          </w:p>
        </w:tc>
      </w:tr>
      <w:tr>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24/7 Clinical Oversight Infrastructure</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Completed</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Q3 2026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Clinical Validation Study (≥ 500 escalations / 6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Completed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Q2 2026</w:t>
            </w:r>
          </w:p>
        </w:tc>
      </w:tr>
      <w:tr>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Per-Inference Lineage Logging</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Completed</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Q3 2026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Third-Party Security Assessment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Completed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Q4 2026</w:t>
            </w:r>
          </w:p>
        </w:tc>
      </w:tr>
      <w:tr>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High Availability Architecture (99.9% SLA)</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Completed</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Q4 2026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External Audit (TPA — required for L3 initial cert.)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Completed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Q4 2026</w:t>
            </w:r>
          </w:p>
        </w:tc>
      </w:tr>
    </w:tbl>
    <w:p>
      <w:r>
        <w:t xml:space="preserve"/>
      </w:r>
    </w:p>
    <w:p>
      <w:pPr>
        <w:spacing w:before="60" w:after="100"/>
      </w:pPr>
      <w:r>
        <w:rPr>
          <w:rFonts w:ascii="Arial" w:cs="Arial" w:eastAsia="Arial" w:hAnsi="Arial"/>
          <w:sz w:val="22"/>
          <w:szCs w:val="22"/>
        </w:rPr>
        <w:t xml:space="preserve">Estimated Level 3 readiness at time of Level 2 certification: 85–90%. Remaining gaps are operational scale and external validation items, not fundamental governance architecture gaps.</w:t>
      </w:r>
    </w:p>
    <w:p>
      <w:pPr>
        <w:pBdr>
          <w:bottom w:val="single" w:color="2E5B8A" w:sz="4" w:space="1"/>
        </w:pBdr>
        <w:spacing w:before="200" w:after="200"/>
      </w:pPr>
      <w:r>
        <w:t xml:space="preserve"/>
      </w:r>
    </w:p>
    <w:p>
      <w:pPr>
        <w:pStyle w:val="Heading2"/>
      </w:pPr>
      <w:r>
        <w:rPr>
          <w:rFonts w:ascii="Arial" w:cs="Arial" w:eastAsia="Arial" w:hAnsi="Arial"/>
        </w:rPr>
        <w:t xml:space="preserve">3.2  Conditional Certifications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7FB" w:val="clear"/>
            <w:tcMar>
              <w:top w:type="dxa" w:w="120"/>
              <w:left w:type="dxa" w:w="240"/>
              <w:bottom w:type="dxa" w:w="120"/>
              <w:right w:type="dxa" w:w="240"/>
            </w:tcMar>
          </w:tcPr>
          <w:p>
            <w:pPr>
              <w:jc w:val="center"/>
            </w:pPr>
            <w:r>
              <w:rPr>
                <w:rFonts w:ascii="Arial" w:cs="Arial" w:eastAsia="Arial" w:hAnsi="Arial"/>
                <w:i/>
                <w:iCs/>
                <w:color w:val="666666"/>
                <w:sz w:val="20"/>
                <w:szCs w:val="20"/>
              </w:rPr>
              <w:t xml:space="preserve">No conditional certifications currently listed. Active certifications with conditions attached are recorded in Section 3.1.</w:t>
            </w:r>
          </w:p>
        </w:tc>
      </w:tr>
    </w:tbl>
    <w:p>
      <w:r>
        <w:t xml:space="preserve"/>
      </w:r>
    </w:p>
    <w:p>
      <w:pPr>
        <w:pStyle w:val="Heading2"/>
      </w:pPr>
      <w:r>
        <w:rPr>
          <w:rFonts w:ascii="Arial" w:cs="Arial" w:eastAsia="Arial" w:hAnsi="Arial"/>
        </w:rPr>
        <w:t xml:space="preserve">3.3  Suspended Certifications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7FB" w:val="clear"/>
            <w:tcMar>
              <w:top w:type="dxa" w:w="120"/>
              <w:left w:type="dxa" w:w="240"/>
              <w:bottom w:type="dxa" w:w="120"/>
              <w:right w:type="dxa" w:w="240"/>
            </w:tcMar>
          </w:tcPr>
          <w:p>
            <w:pPr>
              <w:jc w:val="center"/>
            </w:pPr>
            <w:r>
              <w:rPr>
                <w:rFonts w:ascii="Arial" w:cs="Arial" w:eastAsia="Arial" w:hAnsi="Arial"/>
                <w:i/>
                <w:iCs/>
                <w:color w:val="666666"/>
                <w:sz w:val="20"/>
                <w:szCs w:val="20"/>
              </w:rPr>
              <w:t xml:space="preserve">No certifications are currently suspended.</w:t>
            </w:r>
          </w:p>
        </w:tc>
      </w:tr>
    </w:tbl>
    <w:p>
      <w:r>
        <w:t xml:space="preserve"/>
      </w:r>
    </w:p>
    <w:p>
      <w:pPr>
        <w:pStyle w:val="Heading2"/>
      </w:pPr>
      <w:r>
        <w:rPr>
          <w:rFonts w:ascii="Arial" w:cs="Arial" w:eastAsia="Arial" w:hAnsi="Arial"/>
        </w:rPr>
        <w:t xml:space="preserve">3.4  Revoked Certifications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7FB" w:val="clear"/>
            <w:tcMar>
              <w:top w:type="dxa" w:w="120"/>
              <w:left w:type="dxa" w:w="240"/>
              <w:bottom w:type="dxa" w:w="120"/>
              <w:right w:type="dxa" w:w="240"/>
            </w:tcMar>
          </w:tcPr>
          <w:p>
            <w:pPr>
              <w:jc w:val="center"/>
            </w:pPr>
            <w:r>
              <w:rPr>
                <w:rFonts w:ascii="Arial" w:cs="Arial" w:eastAsia="Arial" w:hAnsi="Arial"/>
                <w:i/>
                <w:iCs/>
                <w:color w:val="666666"/>
                <w:sz w:val="20"/>
                <w:szCs w:val="20"/>
              </w:rPr>
              <w:t xml:space="preserve">No certifications have been revoked.</w:t>
            </w:r>
          </w:p>
        </w:tc>
      </w:tr>
    </w:tbl>
    <w:p>
      <w:r>
        <w:t xml:space="preserve"/>
      </w:r>
    </w:p>
    <w:p>
      <w:pPr>
        <w:pStyle w:val="Heading2"/>
      </w:pPr>
      <w:r>
        <w:rPr>
          <w:rFonts w:ascii="Arial" w:cs="Arial" w:eastAsia="Arial" w:hAnsi="Arial"/>
        </w:rPr>
        <w:t xml:space="preserve">3.5  Lapsed Certifications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7FB" w:val="clear"/>
            <w:tcMar>
              <w:top w:type="dxa" w:w="120"/>
              <w:left w:type="dxa" w:w="240"/>
              <w:bottom w:type="dxa" w:w="120"/>
              <w:right w:type="dxa" w:w="240"/>
            </w:tcMar>
          </w:tcPr>
          <w:p>
            <w:pPr>
              <w:jc w:val="center"/>
            </w:pPr>
            <w:r>
              <w:rPr>
                <w:rFonts w:ascii="Arial" w:cs="Arial" w:eastAsia="Arial" w:hAnsi="Arial"/>
                <w:i/>
                <w:iCs/>
                <w:color w:val="666666"/>
                <w:sz w:val="20"/>
                <w:szCs w:val="20"/>
              </w:rPr>
              <w:t xml:space="preserve">No certifications have lapsed.</w:t>
            </w:r>
          </w:p>
        </w:tc>
      </w:tr>
    </w:tbl>
    <w:p>
      <w:pPr>
        <w:pBdr>
          <w:bottom w:val="single" w:color="2E5B8A" w:sz="4" w:space="1"/>
        </w:pBdr>
        <w:spacing w:before="160" w:after="160"/>
      </w:pPr>
      <w:r>
        <w:t xml:space="preserve"/>
      </w:r>
    </w:p>
    <w:p>
      <w:pPr>
        <w:pStyle w:val="Heading1"/>
      </w:pPr>
      <w:r>
        <w:rPr>
          <w:rFonts w:ascii="Arial" w:cs="Arial" w:eastAsia="Arial" w:hAnsi="Arial"/>
        </w:rPr>
        <w:t xml:space="preserve">4.  Registry Policies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Policy Area</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Operative Rule</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Update Obligation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Registry entries MUST be updated within five (5) business days of any status change: issuance, conditional issuance, suspension, revocation, condition satisfaction, expiry, or any other change to certification status.</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Confidentiality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Certification Dossier contents and Audit Report details are not disclosed in this Registry without the written consent of the Certified Entity. Disclosable fields are those listed in GAIS-GOV-001 Section 11 — all other information is confidential to the Certification Authority and Certified Entity.</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Error Correction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Entities identifying errors in their Registry entry must submit a written correction request to the Certification Authority. The Certification Authority MUST respond within ten (10) business days and, upon verification of the error, correct the Registry entry within five (5) business days.</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Third-Party Verification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 parties may verify any certification entry by Certificate Reference Number. The Certification Authority will confirm: entity name, system name, tier, status, and expiry date. No other information is disclosed to third parties without Certified Entity consent.</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Historical Retention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Registry entries — including revoked, lapsed, and superseded entries — are retained permanently in the historical record. Status changes are logged with the date of change. The Registry is a permanent record, not a current-status-only document.</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Certification Mark Usage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Certified Entities may use the GAI-S certification mark only for systems with ACTIVE or CONDITIONAL status. Use of the mark after expiry, suspension, or revocation is prohibited per GAIS-GOV-001 Section 12.2. The Certification Authority will take action against misuse of the mark.</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Registry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Registry is published as a document. A machine-readable version (JSON) is maintained by the Certification Authority and available upon request. The document version is the authoritative record.</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Accessibility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Registry is publicly accessible in its document form. No authentication is required to view current certification status. Certified Entities may request that the Certification Authority provide a signed certificate extract for use in regulatory submissions.</w:t>
            </w:r>
          </w:p>
        </w:tc>
      </w:tr>
    </w:tbl>
    <w:p>
      <w:pPr>
        <w:pBdr>
          <w:bottom w:val="single" w:color="2E5B8A" w:sz="4" w:space="1"/>
        </w:pBdr>
        <w:spacing w:before="160" w:after="160"/>
      </w:pPr>
      <w:r>
        <w:t xml:space="preserve"/>
      </w:r>
    </w:p>
    <w:p>
      <w:pPr>
        <w:pStyle w:val="Heading1"/>
      </w:pPr>
      <w:r>
        <w:rPr>
          <w:rFonts w:ascii="Arial" w:cs="Arial" w:eastAsia="Arial" w:hAnsi="Arial"/>
        </w:rPr>
        <w:t xml:space="preserve">5.  Certification Authority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Certification Authority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GodsIMiJ AI Solutions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Director / Issuing Officer</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James Derek Ingersoll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Programme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GAI-S — Governed AI Infrastructure Standard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Governing Instrument</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GAIS-GOV-001 v1.0 — Certification Governance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Registry Enquiries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Contact via GodsIMiJ AI Solutions official channels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Third-Party Verification</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Reference Certificate Reference Number in all enquiries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Error Correction Requests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Submit in writing with Certificate Reference Number and specific correction requested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Misuse Reporting</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Third parties may report suspected certification misuse in writing to the Certification Authority</w:t>
            </w:r>
          </w:p>
        </w:tc>
      </w:tr>
    </w:tbl>
    <w:p>
      <w:pPr>
        <w:pBdr>
          <w:bottom w:val="single" w:color="2E5B8A" w:sz="4" w:space="1"/>
        </w:pBdr>
        <w:spacing w:before="160" w:after="160"/>
      </w:pPr>
      <w:r>
        <w:t xml:space="preserve"/>
      </w:r>
    </w:p>
    <w:p>
      <w:pPr>
        <w:pStyle w:val="Heading1"/>
      </w:pPr>
      <w:r>
        <w:rPr>
          <w:rFonts w:ascii="Arial" w:cs="Arial" w:eastAsia="Arial" w:hAnsi="Arial"/>
        </w:rPr>
        <w:t xml:space="preserve">6.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GAIS-REG-001</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Public — No Restriction</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Update Frequency</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Continuous — updated within 5 business days of any status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Retention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Permanent record; all historical entries retained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Related Documents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GAIS-GOV-001 | GAIS-LGL-001 | GAIS-CERT-AURABREE-L2-2027-001</w:t>
            </w:r>
          </w:p>
        </w:tc>
      </w:tr>
    </w:tbl>
    <w:p>
      <w:r>
        <w:t xml:space="preserve"/>
      </w:r>
    </w:p>
    <w:p>
      <w:pPr>
        <w:pBdr>
          <w:top w:val="single" w:color="2E5B8A" w:sz="4" w:space="1"/>
        </w:pBdr>
        <w:spacing w:before="200" w:after="80"/>
        <w:jc w:val="center"/>
      </w:pPr>
      <w:r>
        <w:rPr>
          <w:rFonts w:ascii="Arial" w:cs="Arial" w:eastAsia="Arial" w:hAnsi="Arial"/>
          <w:i/>
          <w:iCs/>
          <w:color w:val="666666"/>
          <w:sz w:val="18"/>
          <w:szCs w:val="18"/>
        </w:rPr>
        <w:t xml:space="preserve">End of Document — GAIS-REG-001 v1.0</w:t>
      </w:r>
    </w:p>
    <w:p>
      <w:pPr>
        <w:jc w:val="center"/>
      </w:pPr>
      <w:r>
        <w:rPr>
          <w:rFonts w:ascii="Arial" w:cs="Arial" w:eastAsia="Arial" w:hAnsi="Arial"/>
          <w:color w:val="666666"/>
          <w:sz w:val="18"/>
          <w:szCs w:val="18"/>
        </w:rPr>
        <w:t xml:space="preserve">© 2026 GodsIMiJ AI Solutions | James Derek Ingersoll.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GodsIMiJ AI Solutions  |  Public — Governance Documentation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8A" w:sz="4" w:space="4"/>
      </w:pBdr>
      <w:tabs>
        <w:tab w:val="right" w:pos="9026"/>
      </w:tabs>
    </w:pPr>
    <w:r>
      <w:rPr>
        <w:rFonts w:ascii="Arial" w:cs="Arial" w:eastAsia="Arial" w:hAnsi="Arial"/>
        <w:b/>
        <w:bCs/>
        <w:color w:val="1B3A5C"/>
        <w:sz w:val="18"/>
        <w:szCs w:val="18"/>
      </w:rPr>
      <w:t xml:space="preserve">GAI-S Public Certification Registry</w:t>
    </w:r>
    <w:r>
      <w:rPr>
        <w:rFonts w:ascii="Arial" w:cs="Arial" w:eastAsia="Arial" w:hAnsi="Arial"/>
        <w:color w:val="888888"/>
        <w:sz w:val="18"/>
        <w:szCs w:val="18"/>
      </w:rPr>
      <w:t xml:space="preserve">	GAIS-REG-001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B8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2026-02-18T05:56:27.740Z</dcterms:created>
  <dcterms:modified xsi:type="dcterms:W3CDTF">2026-02-18T05:56:27.741Z</dcterms:modified>
</cp:coreProperties>
</file>

<file path=docProps/custom.xml><?xml version="1.0" encoding="utf-8"?>
<Properties xmlns="http://schemas.openxmlformats.org/officeDocument/2006/custom-properties" xmlns:vt="http://schemas.openxmlformats.org/officeDocument/2006/docPropsVTypes"/>
</file>