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400"/>
              <w:left w:type="dxa" w:w="400"/>
              <w:bottom w:type="dxa" w:w="400"/>
              <w:right w:type="dxa" w:w="400"/>
            </w:tcMar>
          </w:tcPr>
          <w:p>
            <w:pPr>
              <w:spacing w:before="0" w:after="80"/>
              <w:jc w:val="center"/>
            </w:pPr>
            <w:r>
              <w:rPr>
                <w:rFonts w:ascii="Arial" w:cs="Arial" w:eastAsia="Arial" w:hAnsi="Arial"/>
                <w:b/>
                <w:bCs/>
                <w:color w:val="FFFFFF"/>
                <w:sz w:val="72"/>
                <w:szCs w:val="72"/>
              </w:rPr>
              <w:t xml:space="preserve">GAI-S</w:t>
            </w:r>
          </w:p>
          <w:p>
            <w:pPr>
              <w:spacing w:before="0" w:after="80"/>
              <w:jc w:val="center"/>
            </w:pPr>
            <w:r>
              <w:rPr>
                <w:rFonts w:ascii="Arial" w:cs="Arial" w:eastAsia="Arial" w:hAnsi="Arial"/>
                <w:color w:val="A8C4E0"/>
                <w:sz w:val="32"/>
                <w:szCs w:val="32"/>
              </w:rPr>
              <w:t xml:space="preserve">Governed AI Infrastructure Standard</w:t>
            </w:r>
          </w:p>
          <w:p>
            <w:pPr>
              <w:spacing w:before="0" w:after="0"/>
              <w:jc w:val="center"/>
            </w:pPr>
            <w:r>
              <w:rPr>
                <w:rFonts w:ascii="Arial" w:cs="Arial" w:eastAsia="Arial" w:hAnsi="Arial"/>
                <w:i/>
                <w:iCs/>
                <w:color w:val="7AABCC"/>
                <w:sz w:val="22"/>
                <w:szCs w:val="22"/>
              </w:rPr>
              <w:t xml:space="preserve">Standard Documentation | v1.0</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b/>
                <w:bCs/>
                <w:color w:val="1B2A4A"/>
                <w:sz w:val="18"/>
                <w:szCs w:val="18"/>
              </w:rPr>
              <w:t xml:space="preserve">Document Set</w:t>
            </w:r>
          </w:p>
        </w:tc>
        <w:tc>
          <w:tcPr>
            <w:tcW w:type="dxa" w:w="71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GAI-S Standard Documentation</w:t>
            </w:r>
          </w:p>
        </w:tc>
      </w:tr>
      <w:tr>
        <w:tc>
          <w:tcPr>
            <w:tcW w:type="dxa" w:w="2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b/>
                <w:bCs/>
                <w:color w:val="1B2A4A"/>
                <w:sz w:val="18"/>
                <w:szCs w:val="18"/>
              </w:rPr>
              <w:t xml:space="preserve">Includes</w:t>
            </w:r>
          </w:p>
        </w:tc>
        <w:tc>
          <w:tcPr>
            <w:tcW w:type="dxa" w:w="71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Domain Specifications (domain-specifications.md) | Certification Tier Specification (certification-tier-specification.md)</w:t>
            </w:r>
          </w:p>
        </w:tc>
      </w:tr>
      <w:tr>
        <w:tc>
          <w:tcPr>
            <w:tcW w:type="dxa" w:w="2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b/>
                <w:bCs/>
                <w:color w:val="1B2A4A"/>
                <w:sz w:val="18"/>
                <w:szCs w:val="18"/>
              </w:rPr>
              <w:t xml:space="preserve">Version</w:t>
            </w:r>
          </w:p>
        </w:tc>
        <w:tc>
          <w:tcPr>
            <w:tcW w:type="dxa" w:w="71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1.0</w:t>
            </w:r>
          </w:p>
        </w:tc>
      </w:tr>
      <w:tr>
        <w:tc>
          <w:tcPr>
            <w:tcW w:type="dxa" w:w="2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b/>
                <w:bCs/>
                <w:color w:val="1B2A4A"/>
                <w:sz w:val="18"/>
                <w:szCs w:val="18"/>
              </w:rPr>
              <w:t xml:space="preserve">Framework Status</w:t>
            </w:r>
          </w:p>
        </w:tc>
        <w:tc>
          <w:tcPr>
            <w:tcW w:type="dxa" w:w="71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Stable</w:t>
            </w:r>
          </w:p>
        </w:tc>
      </w:tr>
      <w:tr>
        <w:tc>
          <w:tcPr>
            <w:tcW w:type="dxa" w:w="2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b/>
                <w:bCs/>
                <w:color w:val="1B2A4A"/>
                <w:sz w:val="18"/>
                <w:szCs w:val="18"/>
              </w:rPr>
              <w:t xml:space="preserve">Classification</w:t>
            </w:r>
          </w:p>
        </w:tc>
        <w:tc>
          <w:tcPr>
            <w:tcW w:type="dxa" w:w="71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Public — Governance Documentation</w:t>
            </w:r>
          </w:p>
        </w:tc>
      </w:tr>
      <w:tr>
        <w:tc>
          <w:tcPr>
            <w:tcW w:type="dxa" w:w="2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b/>
                <w:bCs/>
                <w:color w:val="1B2A4A"/>
                <w:sz w:val="18"/>
                <w:szCs w:val="18"/>
              </w:rPr>
              <w:t xml:space="preserve">Issuing Body</w:t>
            </w:r>
          </w:p>
        </w:tc>
        <w:tc>
          <w:tcPr>
            <w:tcW w:type="dxa" w:w="71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GodsIMiJ AI Solutions | James Derek Ingersoll</w:t>
            </w:r>
          </w:p>
        </w:tc>
      </w:tr>
      <w:tr>
        <w:tc>
          <w:tcPr>
            <w:tcW w:type="dxa" w:w="2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b/>
                <w:bCs/>
                <w:color w:val="1B2A4A"/>
                <w:sz w:val="18"/>
                <w:szCs w:val="18"/>
              </w:rPr>
              <w:t xml:space="preserve">Terminology</w:t>
            </w:r>
          </w:p>
        </w:tc>
        <w:tc>
          <w:tcPr>
            <w:tcW w:type="dxa" w:w="71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RFC 2119 — MUST / SHOULD / MAY</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782A" w:sz="6"/>
              <w:left w:val="single" w:color="C8782A" w:sz="6"/>
              <w:bottom w:val="single" w:color="C8782A" w:sz="6"/>
              <w:right w:val="single" w:color="C8782A" w:sz="6"/>
            </w:tcBorders>
            <w:shd w:fill="FFF8F0" w:val="clear"/>
            <w:tcMar>
              <w:top w:type="dxa" w:w="100"/>
              <w:left w:type="dxa" w:w="160"/>
              <w:bottom w:type="dxa" w:w="100"/>
              <w:right w:type="dxa" w:w="160"/>
            </w:tcMar>
          </w:tcPr>
          <w:p>
            <w:r>
              <w:rPr>
                <w:rFonts w:ascii="Arial" w:cs="Arial" w:eastAsia="Arial" w:hAnsi="Arial"/>
                <w:i/>
                <w:iCs/>
                <w:color w:val="5C3A10"/>
                <w:sz w:val="19"/>
                <w:szCs w:val="19"/>
              </w:rPr>
              <w:t xml:space="preserve">This document presents two formal specification documents produced under GAI-S Phase 1: Documentation Expansion and Structural Hardening. All normative language follows RFC 2119. Enforcement requirements and evidence artifacts are explicitly differentiated throughout.</w:t>
            </w:r>
          </w:p>
        </w:tc>
      </w:tr>
    </w:tbl>
    <w:p>
      <w:pPr>
        <w:spacing w:before="0" w:after="80"/>
      </w:pPr>
      <w:r>
        <w:t xml:space="preserve"/>
      </w:r>
    </w:p>
    <w:p>
      <w:r>
        <w:br w:type="page"/>
      </w:r>
    </w:p>
    <w:p>
      <w:pPr>
        <w:spacing w:before="0" w:after="40"/>
      </w:pPr>
      <w:r>
        <w:rPr>
          <w:rFonts w:ascii="Arial" w:cs="Arial" w:eastAsia="Arial" w:hAnsi="Arial"/>
          <w:b/>
          <w:bCs/>
          <w:color w:val="C8782A"/>
          <w:sz w:val="18"/>
          <w:szCs w:val="18"/>
        </w:rPr>
        <w:t xml:space="preserve">DOCUMENT 1 OF 2</w:t>
      </w:r>
    </w:p>
    <w:p>
      <w:pPr>
        <w:pStyle w:val="Heading1"/>
        <w:pBdr>
          <w:bottom w:val="single" w:color="1B2A4A" w:sz="8" w:space="6"/>
        </w:pBdr>
        <w:spacing w:before="480" w:after="160"/>
      </w:pPr>
      <w:r>
        <w:rPr>
          <w:rFonts w:ascii="Arial" w:cs="Arial" w:eastAsia="Arial" w:hAnsi="Arial"/>
          <w:b/>
          <w:bCs/>
          <w:color w:val="1B2A4A"/>
          <w:sz w:val="36"/>
          <w:szCs w:val="36"/>
        </w:rPr>
        <w:t xml:space="preserve">GAI-S Domain Specifications</w:t>
      </w:r>
    </w:p>
    <w:p>
      <w:pPr>
        <w:spacing w:before="60" w:after="100"/>
        <w:jc w:val="left"/>
      </w:pPr>
      <w:r>
        <w:rPr>
          <w:rFonts w:ascii="Arial" w:cs="Arial" w:eastAsia="Arial" w:hAnsi="Arial"/>
          <w:b/>
          <w:bCs/>
          <w:i w:val="false"/>
          <w:iCs w:val="false"/>
          <w:color w:val="2C2C3E"/>
          <w:sz w:val="20"/>
          <w:szCs w:val="20"/>
        </w:rPr>
        <w:t xml:space="preserve">Document ID: </w:t>
      </w:r>
      <w:r>
        <w:rPr>
          <w:rFonts w:ascii="Arial" w:cs="Arial" w:eastAsia="Arial" w:hAnsi="Arial"/>
          <w:b w:val="false"/>
          <w:bCs w:val="false"/>
          <w:i w:val="false"/>
          <w:iCs w:val="false"/>
          <w:color w:val="2C2C3E"/>
          <w:sz w:val="20"/>
          <w:szCs w:val="20"/>
        </w:rPr>
        <w:t xml:space="preserve">GAIS-STD-001</w:t>
      </w:r>
    </w:p>
    <w:p>
      <w:pPr>
        <w:spacing w:before="60" w:after="100"/>
        <w:jc w:val="left"/>
      </w:pPr>
      <w:r>
        <w:rPr>
          <w:rFonts w:ascii="Arial" w:cs="Arial" w:eastAsia="Arial" w:hAnsi="Arial"/>
          <w:b/>
          <w:bCs/>
          <w:i w:val="false"/>
          <w:iCs w:val="false"/>
          <w:color w:val="2C2C3E"/>
          <w:sz w:val="20"/>
          <w:szCs w:val="20"/>
        </w:rPr>
        <w:t xml:space="preserve">Reference File: </w:t>
      </w:r>
      <w:r>
        <w:rPr>
          <w:rFonts w:ascii="Arial" w:cs="Arial" w:eastAsia="Arial" w:hAnsi="Arial"/>
          <w:b w:val="false"/>
          <w:bCs w:val="false"/>
          <w:i w:val="false"/>
          <w:iCs w:val="false"/>
          <w:color w:val="2C2C3E"/>
          <w:sz w:val="20"/>
          <w:szCs w:val="20"/>
        </w:rPr>
        <w:t xml:space="preserve">standard/domain-specifications.md</w:t>
      </w:r>
    </w:p>
    <w:p>
      <w:pPr>
        <w:spacing w:before="60" w:after="100"/>
        <w:jc w:val="left"/>
      </w:pPr>
      <w:r>
        <w:rPr>
          <w:rFonts w:ascii="Arial" w:cs="Arial" w:eastAsia="Arial" w:hAnsi="Arial"/>
          <w:b/>
          <w:bCs/>
          <w:i w:val="false"/>
          <w:iCs w:val="false"/>
          <w:color w:val="2C2C3E"/>
          <w:sz w:val="20"/>
          <w:szCs w:val="20"/>
        </w:rPr>
        <w:t xml:space="preserve">Version: </w:t>
      </w:r>
      <w:r>
        <w:rPr>
          <w:rFonts w:ascii="Arial" w:cs="Arial" w:eastAsia="Arial" w:hAnsi="Arial"/>
          <w:b w:val="false"/>
          <w:bCs w:val="false"/>
          <w:i w:val="false"/>
          <w:iCs w:val="false"/>
          <w:color w:val="2C2C3E"/>
          <w:sz w:val="20"/>
          <w:szCs w:val="20"/>
        </w:rPr>
        <w:t xml:space="preserve">1.0</w:t>
      </w:r>
    </w:p>
    <w:p>
      <w:pPr>
        <w:spacing w:before="60" w:after="100"/>
        <w:jc w:val="left"/>
      </w:pPr>
      <w:r>
        <w:rPr>
          <w:rFonts w:ascii="Arial" w:cs="Arial" w:eastAsia="Arial" w:hAnsi="Arial"/>
          <w:b/>
          <w:bCs/>
          <w:i w:val="false"/>
          <w:iCs w:val="false"/>
          <w:color w:val="2C2C3E"/>
          <w:sz w:val="20"/>
          <w:szCs w:val="20"/>
        </w:rPr>
        <w:t xml:space="preserve">Status: </w:t>
      </w:r>
      <w:r>
        <w:rPr>
          <w:rFonts w:ascii="Arial" w:cs="Arial" w:eastAsia="Arial" w:hAnsi="Arial"/>
          <w:b w:val="false"/>
          <w:bCs w:val="false"/>
          <w:i w:val="false"/>
          <w:iCs w:val="false"/>
          <w:color w:val="2C2C3E"/>
          <w:sz w:val="20"/>
          <w:szCs w:val="20"/>
        </w:rPr>
        <w:t xml:space="preserve">Normative</w:t>
      </w:r>
    </w:p>
    <w:p>
      <w:pPr>
        <w:spacing w:before="0" w:after="80"/>
      </w:pPr>
      <w:r>
        <w:t xml:space="preserve"/>
      </w:r>
    </w:p>
    <w:p>
      <w:pPr>
        <w:pStyle w:val="Heading2"/>
        <w:spacing w:before="360" w:after="120"/>
      </w:pPr>
      <w:r>
        <w:rPr>
          <w:rFonts w:ascii="Arial" w:cs="Arial" w:eastAsia="Arial" w:hAnsi="Arial"/>
          <w:b/>
          <w:bCs/>
          <w:color w:val="2D5FA0"/>
          <w:sz w:val="28"/>
          <w:szCs w:val="28"/>
        </w:rPr>
        <w:t xml:space="preserve">1. Preamble</w:t>
      </w:r>
    </w:p>
    <w:p>
      <w:pPr>
        <w:spacing w:before="60" w:after="100"/>
      </w:pPr>
      <w:r>
        <w:rPr>
          <w:rFonts w:ascii="Arial" w:cs="Arial" w:eastAsia="Arial" w:hAnsi="Arial"/>
          <w:b w:val="false"/>
          <w:bCs w:val="false"/>
          <w:i w:val="false"/>
          <w:iCs w:val="false"/>
          <w:color w:val="2C2C3E"/>
          <w:sz w:val="20"/>
          <w:szCs w:val="20"/>
        </w:rPr>
        <w:t xml:space="preserve">This document formally specifies the six governance domains of the GAI-S framework. Each domain section defines the domain's purpose, control objectives, mandatory controls, evidence requirements, failure modes, and audit evaluation methods.</w:t>
      </w:r>
    </w:p>
    <w:p>
      <w:pPr>
        <w:spacing w:before="60" w:after="100"/>
      </w:pPr>
      <w:r>
        <w:rPr>
          <w:rFonts w:ascii="Arial" w:cs="Arial" w:eastAsia="Arial" w:hAnsi="Arial"/>
          <w:b w:val="false"/>
          <w:bCs w:val="false"/>
          <w:i w:val="false"/>
          <w:iCs w:val="false"/>
          <w:color w:val="2C2C3E"/>
          <w:sz w:val="20"/>
          <w:szCs w:val="20"/>
        </w:rPr>
        <w:t xml:space="preserve">All requirements use terminology consistent with RFC 2119:</w:t>
      </w:r>
    </w:p>
    <w:p>
      <w:pPr>
        <w:pStyle w:val="ListParagraph"/>
        <w:numPr>
          <w:ilvl w:val="0"/>
          <w:numId w:val="2"/>
        </w:numPr>
        <w:spacing w:before="40" w:after="60"/>
      </w:pPr>
      <w:r>
        <w:rPr>
          <w:rFonts w:ascii="Arial" w:cs="Arial" w:eastAsia="Arial" w:hAnsi="Arial"/>
          <w:color w:val="2C2C3E"/>
          <w:sz w:val="20"/>
          <w:szCs w:val="20"/>
        </w:rPr>
        <w:t xml:space="preserve">MUST / MUST NOT — Absolute requirement. Non-compliance constitutes a certification failure.</w:t>
      </w:r>
    </w:p>
    <w:p>
      <w:pPr>
        <w:pStyle w:val="ListParagraph"/>
        <w:numPr>
          <w:ilvl w:val="0"/>
          <w:numId w:val="2"/>
        </w:numPr>
        <w:spacing w:before="40" w:after="60"/>
      </w:pPr>
      <w:r>
        <w:rPr>
          <w:rFonts w:ascii="Arial" w:cs="Arial" w:eastAsia="Arial" w:hAnsi="Arial"/>
          <w:color w:val="2C2C3E"/>
          <w:sz w:val="20"/>
          <w:szCs w:val="20"/>
        </w:rPr>
        <w:t xml:space="preserve">SHOULD / SHOULD NOT — Strong recommendation. Deviation requires documented justification.</w:t>
      </w:r>
    </w:p>
    <w:p>
      <w:pPr>
        <w:pStyle w:val="ListParagraph"/>
        <w:numPr>
          <w:ilvl w:val="0"/>
          <w:numId w:val="2"/>
        </w:numPr>
        <w:spacing w:before="40" w:after="60"/>
      </w:pPr>
      <w:r>
        <w:rPr>
          <w:rFonts w:ascii="Arial" w:cs="Arial" w:eastAsia="Arial" w:hAnsi="Arial"/>
          <w:color w:val="2C2C3E"/>
          <w:sz w:val="20"/>
          <w:szCs w:val="20"/>
        </w:rPr>
        <w:t xml:space="preserve">MAY — Optional capability permitted within the framework.</w:t>
      </w:r>
    </w:p>
    <w:p>
      <w:pPr>
        <w:spacing w:before="0" w:after="80"/>
      </w:pPr>
      <w:r>
        <w:t xml:space="preserve"/>
      </w:r>
    </w:p>
    <w:p>
      <w:pPr>
        <w:pStyle w:val="Heading2"/>
        <w:spacing w:before="360" w:after="120"/>
      </w:pPr>
      <w:r>
        <w:rPr>
          <w:rFonts w:ascii="Arial" w:cs="Arial" w:eastAsia="Arial" w:hAnsi="Arial"/>
          <w:b/>
          <w:bCs/>
          <w:color w:val="2D5FA0"/>
          <w:sz w:val="28"/>
          <w:szCs w:val="28"/>
        </w:rPr>
        <w:t xml:space="preserve">2. Scope and Applicability</w:t>
      </w:r>
    </w:p>
    <w:p>
      <w:pPr>
        <w:spacing w:before="60" w:after="100"/>
      </w:pPr>
      <w:r>
        <w:rPr>
          <w:rFonts w:ascii="Arial" w:cs="Arial" w:eastAsia="Arial" w:hAnsi="Arial"/>
          <w:b w:val="false"/>
          <w:bCs w:val="false"/>
          <w:i w:val="false"/>
          <w:iCs w:val="false"/>
          <w:color w:val="2C2C3E"/>
          <w:sz w:val="20"/>
          <w:szCs w:val="20"/>
        </w:rPr>
        <w:t xml:space="preserve">These domain specifications apply to all AI systems seeking GAI-S certification at any tier. Specific controls are marked with the minimum certification level at which they become mandatory (L1, L2, or L3). Controls without a level marker apply universally across all tiers.</w:t>
      </w:r>
    </w:p>
    <w:p>
      <w:pPr>
        <w:spacing w:before="60" w:after="100"/>
      </w:pPr>
      <w:r>
        <w:rPr>
          <w:rFonts w:ascii="Arial" w:cs="Arial" w:eastAsia="Arial" w:hAnsi="Arial"/>
          <w:b w:val="false"/>
          <w:bCs w:val="false"/>
          <w:i w:val="false"/>
          <w:iCs w:val="false"/>
          <w:color w:val="2C2C3E"/>
          <w:sz w:val="20"/>
          <w:szCs w:val="20"/>
        </w:rPr>
        <w:t xml:space="preserve">Domain specifications are technology-agnostic and sector-agnostic. Sector-specific annexes may extend but MUST NOT reduce these baseline requirements.</w:t>
      </w:r>
    </w:p>
    <w:p>
      <w:pPr>
        <w:spacing w:before="0" w:after="80"/>
      </w:pPr>
      <w:r>
        <w:t xml:space="preserve"/>
      </w:r>
    </w:p>
    <w:p>
      <w:pPr>
        <w:pStyle w:val="Heading2"/>
        <w:spacing w:before="360" w:after="120"/>
      </w:pPr>
      <w:r>
        <w:rPr>
          <w:rFonts w:ascii="Arial" w:cs="Arial" w:eastAsia="Arial" w:hAnsi="Arial"/>
          <w:b/>
          <w:bCs/>
          <w:color w:val="2D5FA0"/>
          <w:sz w:val="28"/>
          <w:szCs w:val="28"/>
        </w:rPr>
        <w:t xml:space="preserve">3. Domain Overview</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4200"/>
        <w:gridCol w:w="2160"/>
      </w:tblGrid>
      <w:tr>
        <w:trPr>
          <w:tblHeader/>
        </w:trPr>
        <w:tc>
          <w:tcPr>
            <w:tcW w:type="dxa" w:w="9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Domain ID</w:t>
            </w:r>
          </w:p>
        </w:tc>
        <w:tc>
          <w:tcPr>
            <w:tcW w:type="dxa" w:w="21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Domain Name</w:t>
            </w:r>
          </w:p>
        </w:tc>
        <w:tc>
          <w:tcPr>
            <w:tcW w:type="dxa" w:w="4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Core Governance Concern</w:t>
            </w:r>
          </w:p>
        </w:tc>
        <w:tc>
          <w:tcPr>
            <w:tcW w:type="dxa" w:w="2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Applicable Tiers</w:t>
            </w:r>
          </w:p>
        </w:tc>
      </w:tr>
      <w:tr>
        <w:tc>
          <w:tcPr>
            <w:tcW w:type="dxa" w:w="9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D1</w:t>
            </w:r>
          </w:p>
        </w:tc>
        <w:tc>
          <w:tcPr>
            <w:tcW w:type="dxa" w:w="21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Risk Classification</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Quantitative assessment of AI output risk and automated escalation</w:t>
            </w:r>
          </w:p>
        </w:tc>
        <w:tc>
          <w:tcPr>
            <w:tcW w:type="dxa" w:w="21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L1 / L2 / L3</w:t>
            </w:r>
          </w:p>
        </w:tc>
      </w:tr>
      <w:tr>
        <w:tc>
          <w:tcPr>
            <w:tcW w:type="dxa" w:w="9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D2</w:t>
            </w:r>
          </w:p>
        </w:tc>
        <w:tc>
          <w:tcPr>
            <w:tcW w:type="dxa" w:w="21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Authority Separation</w:t>
            </w:r>
          </w:p>
        </w:tc>
        <w:tc>
          <w:tcPr>
            <w:tcW w:type="dxa" w:w="4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Structural enforcement of human decision authority over AI outputs</w:t>
            </w:r>
          </w:p>
        </w:tc>
        <w:tc>
          <w:tcPr>
            <w:tcW w:type="dxa" w:w="21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L1 / L2 / L3</w:t>
            </w:r>
          </w:p>
        </w:tc>
      </w:tr>
      <w:tr>
        <w:tc>
          <w:tcPr>
            <w:tcW w:type="dxa" w:w="9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D3</w:t>
            </w:r>
          </w:p>
        </w:tc>
        <w:tc>
          <w:tcPr>
            <w:tcW w:type="dxa" w:w="21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Data Governance</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Data provenance, lineage, residency, access control, and quality</w:t>
            </w:r>
          </w:p>
        </w:tc>
        <w:tc>
          <w:tcPr>
            <w:tcW w:type="dxa" w:w="21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L1 / L2 / L3</w:t>
            </w:r>
          </w:p>
        </w:tc>
      </w:tr>
      <w:tr>
        <w:tc>
          <w:tcPr>
            <w:tcW w:type="dxa" w:w="9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D4</w:t>
            </w:r>
          </w:p>
        </w:tc>
        <w:tc>
          <w:tcPr>
            <w:tcW w:type="dxa" w:w="21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Deployment Containment</w:t>
            </w:r>
          </w:p>
        </w:tc>
        <w:tc>
          <w:tcPr>
            <w:tcW w:type="dxa" w:w="4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Trust boundary enforcement, environment separation, and continuity</w:t>
            </w:r>
          </w:p>
        </w:tc>
        <w:tc>
          <w:tcPr>
            <w:tcW w:type="dxa" w:w="21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L1 / L2 / L3</w:t>
            </w:r>
          </w:p>
        </w:tc>
      </w:tr>
      <w:tr>
        <w:tc>
          <w:tcPr>
            <w:tcW w:type="dxa" w:w="9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D5</w:t>
            </w:r>
          </w:p>
        </w:tc>
        <w:tc>
          <w:tcPr>
            <w:tcW w:type="dxa" w:w="21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Audit and Logging</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Tamper-evident logging, record retention, and audit trail integrity</w:t>
            </w:r>
          </w:p>
        </w:tc>
        <w:tc>
          <w:tcPr>
            <w:tcW w:type="dxa" w:w="21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L1 / L2 / L3</w:t>
            </w:r>
          </w:p>
        </w:tc>
      </w:tr>
      <w:tr>
        <w:tc>
          <w:tcPr>
            <w:tcW w:type="dxa" w:w="9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D6</w:t>
            </w:r>
          </w:p>
        </w:tc>
        <w:tc>
          <w:tcPr>
            <w:tcW w:type="dxa" w:w="21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Incident Response</w:t>
            </w:r>
          </w:p>
        </w:tc>
        <w:tc>
          <w:tcPr>
            <w:tcW w:type="dxa" w:w="4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Escalation protocols, failure classification, and remediation</w:t>
            </w:r>
          </w:p>
        </w:tc>
        <w:tc>
          <w:tcPr>
            <w:tcW w:type="dxa" w:w="21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L2 / L3</w:t>
            </w:r>
          </w:p>
        </w:tc>
      </w:tr>
    </w:tbl>
    <w:p>
      <w:pPr>
        <w:spacing w:before="0" w:after="120"/>
      </w:pPr>
      <w:r>
        <w:t xml:space="preserve"/>
      </w:r>
    </w:p>
    <w:p>
      <w:r>
        <w:br w:type="page"/>
      </w:r>
    </w:p>
    <w:p>
      <w:pPr>
        <w:pStyle w:val="Heading2"/>
        <w:spacing w:before="360" w:after="120"/>
      </w:pPr>
      <w:r>
        <w:rPr>
          <w:rFonts w:ascii="Arial" w:cs="Arial" w:eastAsia="Arial" w:hAnsi="Arial"/>
          <w:b/>
          <w:bCs/>
          <w:color w:val="2D5FA0"/>
          <w:sz w:val="28"/>
          <w:szCs w:val="28"/>
        </w:rPr>
        <w:t xml:space="preserve">4. Domain D1 — Risk Classification</w:t>
      </w:r>
    </w:p>
    <w:p>
      <w:pPr>
        <w:pStyle w:val="Heading3"/>
        <w:spacing w:before="240" w:after="80"/>
      </w:pPr>
      <w:r>
        <w:rPr>
          <w:rFonts w:ascii="Arial" w:cs="Arial" w:eastAsia="Arial" w:hAnsi="Arial"/>
          <w:b/>
          <w:bCs/>
          <w:color w:val="4A7DB5"/>
          <w:sz w:val="24"/>
          <w:szCs w:val="24"/>
        </w:rPr>
        <w:t xml:space="preserve">4.1 Purpose</w:t>
      </w:r>
    </w:p>
    <w:p>
      <w:pPr>
        <w:spacing w:before="60" w:after="100"/>
      </w:pPr>
      <w:r>
        <w:rPr>
          <w:rFonts w:ascii="Arial" w:cs="Arial" w:eastAsia="Arial" w:hAnsi="Arial"/>
          <w:b w:val="false"/>
          <w:bCs w:val="false"/>
          <w:i w:val="false"/>
          <w:iCs w:val="false"/>
          <w:color w:val="2C2C3E"/>
          <w:sz w:val="20"/>
          <w:szCs w:val="20"/>
        </w:rPr>
        <w:t xml:space="preserve">Domain D1 establishes a mandatory, quantitative methodology for assessing the potential harm associated with AI system outputs and routing those outputs to appropriate human review or escalation pathways. Qualitative-only risk classification does not satisfy GAI-S L2 or L3 requirements.</w:t>
      </w:r>
    </w:p>
    <w:p>
      <w:pPr>
        <w:pStyle w:val="Heading3"/>
        <w:spacing w:before="240" w:after="80"/>
      </w:pPr>
      <w:r>
        <w:rPr>
          <w:rFonts w:ascii="Arial" w:cs="Arial" w:eastAsia="Arial" w:hAnsi="Arial"/>
          <w:b/>
          <w:bCs/>
          <w:color w:val="4A7DB5"/>
          <w:sz w:val="24"/>
          <w:szCs w:val="24"/>
        </w:rPr>
        <w:t xml:space="preserve">4.2 Control Objectives</w:t>
      </w:r>
    </w:p>
    <w:p>
      <w:pPr>
        <w:pStyle w:val="ListParagraph"/>
        <w:numPr>
          <w:ilvl w:val="0"/>
          <w:numId w:val="2"/>
        </w:numPr>
        <w:spacing w:before="40" w:after="60"/>
      </w:pPr>
      <w:r>
        <w:rPr>
          <w:rFonts w:ascii="Arial" w:cs="Arial" w:eastAsia="Arial" w:hAnsi="Arial"/>
          <w:color w:val="2C2C3E"/>
          <w:sz w:val="20"/>
          <w:szCs w:val="20"/>
        </w:rPr>
        <w:t xml:space="preserve">CO-D1-01: All AI system outputs in consequential contexts MUST be assigned a risk classification prior to delivery to end users or downstream systems.</w:t>
      </w:r>
    </w:p>
    <w:p>
      <w:pPr>
        <w:pStyle w:val="ListParagraph"/>
        <w:numPr>
          <w:ilvl w:val="0"/>
          <w:numId w:val="2"/>
        </w:numPr>
        <w:spacing w:before="40" w:after="60"/>
      </w:pPr>
      <w:r>
        <w:rPr>
          <w:rFonts w:ascii="Arial" w:cs="Arial" w:eastAsia="Arial" w:hAnsi="Arial"/>
          <w:color w:val="2C2C3E"/>
          <w:sz w:val="20"/>
          <w:szCs w:val="20"/>
        </w:rPr>
        <w:t xml:space="preserve">CO-D1-02: Risk classification MUST be deterministic, reproducible, and independently verifiable from logged inputs.</w:t>
      </w:r>
    </w:p>
    <w:p>
      <w:pPr>
        <w:pStyle w:val="ListParagraph"/>
        <w:numPr>
          <w:ilvl w:val="0"/>
          <w:numId w:val="2"/>
        </w:numPr>
        <w:spacing w:before="40" w:after="60"/>
      </w:pPr>
      <w:r>
        <w:rPr>
          <w:rFonts w:ascii="Arial" w:cs="Arial" w:eastAsia="Arial" w:hAnsi="Arial"/>
          <w:color w:val="2C2C3E"/>
          <w:sz w:val="20"/>
          <w:szCs w:val="20"/>
        </w:rPr>
        <w:t xml:space="preserve">CO-D1-03: Classification thresholds MUST be documented and subject to governance-approved change control.</w:t>
      </w:r>
    </w:p>
    <w:p>
      <w:pPr>
        <w:pStyle w:val="ListParagraph"/>
        <w:numPr>
          <w:ilvl w:val="0"/>
          <w:numId w:val="2"/>
        </w:numPr>
        <w:spacing w:before="40" w:after="60"/>
      </w:pPr>
      <w:r>
        <w:rPr>
          <w:rFonts w:ascii="Arial" w:cs="Arial" w:eastAsia="Arial" w:hAnsi="Arial"/>
          <w:color w:val="2C2C3E"/>
          <w:sz w:val="20"/>
          <w:szCs w:val="20"/>
        </w:rPr>
        <w:t xml:space="preserve">CO-D1-04: Model performance against classification thresholds MUST be actively monitored for drift over time.</w:t>
      </w:r>
    </w:p>
    <w:p>
      <w:pPr>
        <w:pStyle w:val="Heading3"/>
        <w:spacing w:before="240" w:after="80"/>
      </w:pPr>
      <w:r>
        <w:rPr>
          <w:rFonts w:ascii="Arial" w:cs="Arial" w:eastAsia="Arial" w:hAnsi="Arial"/>
          <w:b/>
          <w:bCs/>
          <w:color w:val="4A7DB5"/>
          <w:sz w:val="24"/>
          <w:szCs w:val="24"/>
        </w:rPr>
        <w:t xml:space="preserve">4.3 Mandatory Controls</w:t>
      </w:r>
    </w:p>
    <w:p>
      <w:pPr>
        <w:spacing w:before="200" w:after="60"/>
      </w:pPr>
      <w:r>
        <w:rPr>
          <w:rFonts w:ascii="Arial" w:cs="Arial" w:eastAsia="Arial" w:hAnsi="Arial"/>
          <w:b/>
          <w:bCs/>
          <w:i/>
          <w:iCs/>
          <w:color w:val="2C2C3E"/>
          <w:sz w:val="22"/>
          <w:szCs w:val="22"/>
        </w:rPr>
        <w:t xml:space="preserve">4.3.1 Composite Risk Index (CRI) — [L2 Mandatory]</w:t>
      </w:r>
    </w:p>
    <w:p>
      <w:pPr>
        <w:spacing w:before="60" w:after="100"/>
      </w:pPr>
      <w:r>
        <w:rPr>
          <w:rFonts w:ascii="Arial" w:cs="Arial" w:eastAsia="Arial" w:hAnsi="Arial"/>
          <w:b w:val="false"/>
          <w:bCs w:val="false"/>
          <w:i w:val="false"/>
          <w:iCs w:val="false"/>
          <w:color w:val="2C2C3E"/>
          <w:sz w:val="20"/>
          <w:szCs w:val="20"/>
        </w:rPr>
        <w:t xml:space="preserve">Implementing organizations MUST deploy a Composite Risk Index computed as:</w:t>
      </w:r>
    </w:p>
    <w:p>
      <w:pPr>
        <w:spacing w:before="120" w:after="120"/>
        <w:jc w:val="center"/>
      </w:pPr>
      <w:r>
        <w:rPr>
          <w:rFonts w:ascii="Arial" w:cs="Arial" w:eastAsia="Arial" w:hAnsi="Arial"/>
          <w:b/>
          <w:bCs/>
          <w:color w:val="1B2A4A"/>
          <w:sz w:val="22"/>
          <w:szCs w:val="22"/>
        </w:rPr>
        <w:t xml:space="preserve">CRI = Probability Score (P) × Severity Score (S)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060"/>
        <w:gridCol w:w="2600"/>
      </w:tblGrid>
      <w:tr>
        <w:trPr>
          <w:tblHeader/>
        </w:trPr>
        <w:tc>
          <w:tcPr>
            <w:tcW w:type="dxa" w:w="1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CRI Range</w:t>
            </w:r>
          </w:p>
        </w:tc>
        <w:tc>
          <w:tcPr>
            <w:tcW w:type="dxa" w:w="15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40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Mandatory Action</w:t>
            </w:r>
          </w:p>
        </w:tc>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Human Review SLA</w:t>
            </w:r>
          </w:p>
        </w:tc>
      </w:tr>
      <w:tr>
        <w:tc>
          <w:tcPr>
            <w:tcW w:type="dxa" w:w="1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1–6</w:t>
            </w:r>
          </w:p>
        </w:tc>
        <w:tc>
          <w:tcPr>
            <w:tcW w:type="dxa" w:w="15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Low</w:t>
            </w:r>
          </w:p>
        </w:tc>
        <w:tc>
          <w:tcPr>
            <w:tcW w:type="dxa" w:w="40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Standard processing and routine logging</w:t>
            </w:r>
          </w:p>
        </w:tc>
        <w:tc>
          <w:tcPr>
            <w:tcW w:type="dxa" w:w="26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None required</w:t>
            </w:r>
          </w:p>
        </w:tc>
      </w:tr>
      <w:tr>
        <w:tc>
          <w:tcPr>
            <w:tcW w:type="dxa" w:w="1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7–12</w:t>
            </w:r>
          </w:p>
        </w:tc>
        <w:tc>
          <w:tcPr>
            <w:tcW w:type="dxa" w:w="15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Moderate</w:t>
            </w:r>
          </w:p>
        </w:tc>
        <w:tc>
          <w:tcPr>
            <w:tcW w:type="dxa" w:w="40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Enhanced logging; periodic audit sampling</w:t>
            </w:r>
          </w:p>
        </w:tc>
        <w:tc>
          <w:tcPr>
            <w:tcW w:type="dxa" w:w="26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Periodic (weekly/monthly)</w:t>
            </w:r>
          </w:p>
        </w:tc>
      </w:tr>
      <w:tr>
        <w:tc>
          <w:tcPr>
            <w:tcW w:type="dxa" w:w="1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13–18</w:t>
            </w:r>
          </w:p>
        </w:tc>
        <w:tc>
          <w:tcPr>
            <w:tcW w:type="dxa" w:w="15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High</w:t>
            </w:r>
          </w:p>
        </w:tc>
        <w:tc>
          <w:tcPr>
            <w:tcW w:type="dxa" w:w="40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MUST route to human review before output delivery</w:t>
            </w:r>
          </w:p>
        </w:tc>
        <w:tc>
          <w:tcPr>
            <w:tcW w:type="dxa" w:w="26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Within 4 hours</w:t>
            </w:r>
          </w:p>
        </w:tc>
      </w:tr>
      <w:tr>
        <w:tc>
          <w:tcPr>
            <w:tcW w:type="dxa" w:w="1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19–25</w:t>
            </w:r>
          </w:p>
        </w:tc>
        <w:tc>
          <w:tcPr>
            <w:tcW w:type="dxa" w:w="15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Critical</w:t>
            </w:r>
          </w:p>
        </w:tc>
        <w:tc>
          <w:tcPr>
            <w:tcW w:type="dxa" w:w="40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MUST escalate immediately; no user-facing output without human authorization</w:t>
            </w:r>
          </w:p>
        </w:tc>
        <w:tc>
          <w:tcPr>
            <w:tcW w:type="dxa" w:w="26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Within 15 minutes</w:t>
            </w:r>
          </w:p>
        </w:tc>
      </w:tr>
    </w:tbl>
    <w:p>
      <w:pPr>
        <w:spacing w:before="0" w:after="80"/>
      </w:pPr>
      <w:r>
        <w:t xml:space="preserve"/>
      </w:r>
    </w:p>
    <w:p>
      <w:pPr>
        <w:spacing w:before="200" w:after="60"/>
      </w:pPr>
      <w:r>
        <w:rPr>
          <w:rFonts w:ascii="Arial" w:cs="Arial" w:eastAsia="Arial" w:hAnsi="Arial"/>
          <w:b/>
          <w:bCs/>
          <w:i/>
          <w:iCs/>
          <w:color w:val="2C2C3E"/>
          <w:sz w:val="22"/>
          <w:szCs w:val="22"/>
        </w:rPr>
        <w:t xml:space="preserve">4.3.2 Model Confidence Score — [L2 Mandatory]</w:t>
      </w:r>
    </w:p>
    <w:p>
      <w:pPr>
        <w:pStyle w:val="ListParagraph"/>
        <w:numPr>
          <w:ilvl w:val="0"/>
          <w:numId w:val="2"/>
        </w:numPr>
        <w:spacing w:before="40" w:after="60"/>
      </w:pPr>
      <w:r>
        <w:rPr>
          <w:rFonts w:ascii="Arial" w:cs="Arial" w:eastAsia="Arial" w:hAnsi="Arial"/>
          <w:color w:val="2C2C3E"/>
          <w:sz w:val="20"/>
          <w:szCs w:val="20"/>
        </w:rPr>
        <w:t xml:space="preserve">All AI system outputs MUST include a model confidence score on a 0.0–1.0 scale.</w:t>
      </w:r>
    </w:p>
    <w:p>
      <w:pPr>
        <w:pStyle w:val="ListParagraph"/>
        <w:numPr>
          <w:ilvl w:val="0"/>
          <w:numId w:val="2"/>
        </w:numPr>
        <w:spacing w:before="40" w:after="60"/>
      </w:pPr>
      <w:r>
        <w:rPr>
          <w:rFonts w:ascii="Arial" w:cs="Arial" w:eastAsia="Arial" w:hAnsi="Arial"/>
          <w:color w:val="2C2C3E"/>
          <w:sz w:val="20"/>
          <w:szCs w:val="20"/>
        </w:rPr>
        <w:t xml:space="preserve">Confidence scores MUST be logged with each output record for audit purposes.</w:t>
      </w:r>
    </w:p>
    <w:p>
      <w:pPr>
        <w:pStyle w:val="ListParagraph"/>
        <w:numPr>
          <w:ilvl w:val="0"/>
          <w:numId w:val="2"/>
        </w:numPr>
        <w:spacing w:before="40" w:after="60"/>
      </w:pPr>
      <w:r>
        <w:rPr>
          <w:rFonts w:ascii="Arial" w:cs="Arial" w:eastAsia="Arial" w:hAnsi="Arial"/>
          <w:color w:val="2C2C3E"/>
          <w:sz w:val="20"/>
          <w:szCs w:val="20"/>
        </w:rPr>
        <w:t xml:space="preserve">A confidence score below 0.60 combined with a CRI of 13 or above MUST constitute an automatic escalation trigger, overriding any otherwise-applicable SLA.</w:t>
      </w:r>
    </w:p>
    <w:p>
      <w:pPr>
        <w:pStyle w:val="ListParagraph"/>
        <w:numPr>
          <w:ilvl w:val="0"/>
          <w:numId w:val="2"/>
        </w:numPr>
        <w:spacing w:before="40" w:after="60"/>
      </w:pPr>
      <w:r>
        <w:rPr>
          <w:rFonts w:ascii="Arial" w:cs="Arial" w:eastAsia="Arial" w:hAnsi="Arial"/>
          <w:color w:val="2C2C3E"/>
          <w:sz w:val="20"/>
          <w:szCs w:val="20"/>
        </w:rPr>
        <w:t xml:space="preserve">Confidence score distributions MUST be reviewed quarterly for systematic degradation.</w:t>
      </w:r>
    </w:p>
    <w:p>
      <w:pPr>
        <w:spacing w:before="200" w:after="60"/>
      </w:pPr>
      <w:r>
        <w:rPr>
          <w:rFonts w:ascii="Arial" w:cs="Arial" w:eastAsia="Arial" w:hAnsi="Arial"/>
          <w:b/>
          <w:bCs/>
          <w:i/>
          <w:iCs/>
          <w:color w:val="2C2C3E"/>
          <w:sz w:val="22"/>
          <w:szCs w:val="22"/>
        </w:rPr>
        <w:t xml:space="preserve">4.3.3 Drift Detection and Threshold Monitoring — [L3 Mandatory]</w:t>
      </w:r>
    </w:p>
    <w:p>
      <w:pPr>
        <w:pStyle w:val="ListParagraph"/>
        <w:numPr>
          <w:ilvl w:val="0"/>
          <w:numId w:val="2"/>
        </w:numPr>
        <w:spacing w:before="40" w:after="60"/>
      </w:pPr>
      <w:r>
        <w:rPr>
          <w:rFonts w:ascii="Arial" w:cs="Arial" w:eastAsia="Arial" w:hAnsi="Arial"/>
          <w:color w:val="2C2C3E"/>
          <w:sz w:val="20"/>
          <w:szCs w:val="20"/>
        </w:rPr>
        <w:t xml:space="preserve">Probability and severity score distributions MUST be monitored on a minimum weekly cadence.</w:t>
      </w:r>
    </w:p>
    <w:p>
      <w:pPr>
        <w:pStyle w:val="ListParagraph"/>
        <w:numPr>
          <w:ilvl w:val="0"/>
          <w:numId w:val="2"/>
        </w:numPr>
        <w:spacing w:before="40" w:after="60"/>
      </w:pPr>
      <w:r>
        <w:rPr>
          <w:rFonts w:ascii="Arial" w:cs="Arial" w:eastAsia="Arial" w:hAnsi="Arial"/>
          <w:color w:val="2C2C3E"/>
          <w:sz w:val="20"/>
          <w:szCs w:val="20"/>
        </w:rPr>
        <w:t xml:space="preserve">A statistically significant shift, defined as a change of 15% or greater in mean CRI over any 30-day period, MUST trigger a mandatory model validation review.</w:t>
      </w:r>
    </w:p>
    <w:p>
      <w:pPr>
        <w:pStyle w:val="ListParagraph"/>
        <w:numPr>
          <w:ilvl w:val="0"/>
          <w:numId w:val="2"/>
        </w:numPr>
        <w:spacing w:before="40" w:after="60"/>
      </w:pPr>
      <w:r>
        <w:rPr>
          <w:rFonts w:ascii="Arial" w:cs="Arial" w:eastAsia="Arial" w:hAnsi="Arial"/>
          <w:color w:val="2C2C3E"/>
          <w:sz w:val="20"/>
          <w:szCs w:val="20"/>
        </w:rPr>
        <w:t xml:space="preserve">False Positive Rate (FPR) MUST be tracked monthly. An FPR exceeding 25% for two consecutive months MUST trigger a threshold recalibration review.</w:t>
      </w:r>
    </w:p>
    <w:p>
      <w:pPr>
        <w:pStyle w:val="ListParagraph"/>
        <w:numPr>
          <w:ilvl w:val="0"/>
          <w:numId w:val="2"/>
        </w:numPr>
        <w:spacing w:before="40" w:after="60"/>
      </w:pPr>
      <w:r>
        <w:rPr>
          <w:rFonts w:ascii="Arial" w:cs="Arial" w:eastAsia="Arial" w:hAnsi="Arial"/>
          <w:color w:val="2C2C3E"/>
          <w:sz w:val="20"/>
          <w:szCs w:val="20"/>
        </w:rPr>
        <w:t xml:space="preserve">False Negative Rate (FNR) MUST be estimated via random sampling of Low and Moderate classifications at a minimum rate of 5% per month. An estimated FNR exceeding 8% MUST trigger an immediate model retraining review.</w:t>
      </w:r>
    </w:p>
    <w:p>
      <w:pPr>
        <w:pStyle w:val="ListParagraph"/>
        <w:numPr>
          <w:ilvl w:val="0"/>
          <w:numId w:val="2"/>
        </w:numPr>
        <w:spacing w:before="40" w:after="60"/>
      </w:pPr>
      <w:r>
        <w:rPr>
          <w:rFonts w:ascii="Arial" w:cs="Arial" w:eastAsia="Arial" w:hAnsi="Arial"/>
          <w:color w:val="2C2C3E"/>
          <w:sz w:val="20"/>
          <w:szCs w:val="20"/>
        </w:rPr>
        <w:t xml:space="preserve">All threshold recalibration decisions MUST be approved by the designated governance authority prior to production deployment.</w:t>
      </w:r>
    </w:p>
    <w:p>
      <w:pPr>
        <w:spacing w:before="200" w:after="60"/>
      </w:pPr>
      <w:r>
        <w:rPr>
          <w:rFonts w:ascii="Arial" w:cs="Arial" w:eastAsia="Arial" w:hAnsi="Arial"/>
          <w:b/>
          <w:bCs/>
          <w:i/>
          <w:iCs/>
          <w:color w:val="2C2C3E"/>
          <w:sz w:val="22"/>
          <w:szCs w:val="22"/>
        </w:rPr>
        <w:t xml:space="preserve">4.3.4 Qualitative Risk Tiers — [L1 Mandatory]</w:t>
      </w:r>
    </w:p>
    <w:p>
      <w:pPr>
        <w:spacing w:before="60" w:after="100"/>
      </w:pPr>
      <w:r>
        <w:rPr>
          <w:rFonts w:ascii="Arial" w:cs="Arial" w:eastAsia="Arial" w:hAnsi="Arial"/>
          <w:b w:val="false"/>
          <w:bCs w:val="false"/>
          <w:i w:val="false"/>
          <w:iCs w:val="false"/>
          <w:color w:val="2C2C3E"/>
          <w:sz w:val="20"/>
          <w:szCs w:val="20"/>
        </w:rPr>
        <w:t xml:space="preserve">At Level 1, implementing organizations MAY use qualitative risk tiers in lieu of CRI. Qualitative tiers MUST be formally defined in writing with explicit mapping to required actions and human review pathways. Qualitative-only classification is NOT permitted at L2 or above.</w:t>
      </w:r>
    </w:p>
    <w:p>
      <w:pPr>
        <w:pStyle w:val="Heading3"/>
        <w:spacing w:before="240" w:after="80"/>
      </w:pPr>
      <w:r>
        <w:rPr>
          <w:rFonts w:ascii="Arial" w:cs="Arial" w:eastAsia="Arial" w:hAnsi="Arial"/>
          <w:b/>
          <w:bCs/>
          <w:color w:val="4A7DB5"/>
          <w:sz w:val="24"/>
          <w:szCs w:val="24"/>
        </w:rPr>
        <w:t xml:space="preserve">4.4 Evidence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560"/>
        <w:gridCol w:w="2200"/>
      </w:tblGrid>
      <w:tr>
        <w:trPr>
          <w:tblHeader/>
        </w:trPr>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Artifact</w:t>
            </w:r>
          </w:p>
        </w:tc>
        <w:tc>
          <w:tcPr>
            <w:tcW w:type="dxa" w:w="3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15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Retention</w:t>
            </w:r>
          </w:p>
        </w:tc>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 From</w:t>
            </w:r>
          </w:p>
        </w:tc>
      </w:tr>
      <w:tr>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Risk Classification Matrix</w:t>
            </w:r>
          </w:p>
        </w:tc>
        <w:tc>
          <w:tcPr>
            <w:tcW w:type="dxa" w:w="3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Tier definitions, CRI formula, threshold values, and action mapping</w:t>
            </w:r>
          </w:p>
        </w:tc>
        <w:tc>
          <w:tcPr>
            <w:tcW w:type="dxa" w:w="1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Current + 3 years</w:t>
            </w:r>
          </w:p>
        </w:tc>
        <w:tc>
          <w:tcPr>
            <w:tcW w:type="dxa" w:w="2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L1</w:t>
            </w:r>
          </w:p>
        </w:tc>
      </w:tr>
      <w:tr>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CRI Computation Logs</w:t>
            </w:r>
          </w:p>
        </w:tc>
        <w:tc>
          <w:tcPr>
            <w:tcW w:type="dxa" w:w="3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Time-stamped record of P score, S score, CRI, and resulting classification for each output</w:t>
            </w:r>
          </w:p>
        </w:tc>
        <w:tc>
          <w:tcPr>
            <w:tcW w:type="dxa" w:w="1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Minimum 2 years</w:t>
            </w:r>
          </w:p>
        </w:tc>
        <w:tc>
          <w:tcPr>
            <w:tcW w:type="dxa" w:w="2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L2</w:t>
            </w:r>
          </w:p>
        </w:tc>
      </w:tr>
      <w:tr>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Confidence Score Logs</w:t>
            </w:r>
          </w:p>
        </w:tc>
        <w:tc>
          <w:tcPr>
            <w:tcW w:type="dxa" w:w="3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Per-output confidence score linked to CRI computation record</w:t>
            </w:r>
          </w:p>
        </w:tc>
        <w:tc>
          <w:tcPr>
            <w:tcW w:type="dxa" w:w="1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Minimum 2 years</w:t>
            </w:r>
          </w:p>
        </w:tc>
        <w:tc>
          <w:tcPr>
            <w:tcW w:type="dxa" w:w="2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L2</w:t>
            </w:r>
          </w:p>
        </w:tc>
      </w:tr>
      <w:tr>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Drift Monitoring Reports</w:t>
            </w:r>
          </w:p>
        </w:tc>
        <w:tc>
          <w:tcPr>
            <w:tcW w:type="dxa" w:w="3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Weekly and monthly statistical summaries of classification distribution</w:t>
            </w:r>
          </w:p>
        </w:tc>
        <w:tc>
          <w:tcPr>
            <w:tcW w:type="dxa" w:w="1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1 year</w:t>
            </w:r>
          </w:p>
        </w:tc>
        <w:tc>
          <w:tcPr>
            <w:tcW w:type="dxa" w:w="2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L3</w:t>
            </w:r>
          </w:p>
        </w:tc>
      </w:tr>
      <w:tr>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FPR / FNR Tracking Reports</w:t>
            </w:r>
          </w:p>
        </w:tc>
        <w:tc>
          <w:tcPr>
            <w:tcW w:type="dxa" w:w="3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Monthly false positive and estimated false negative calculations with source data</w:t>
            </w:r>
          </w:p>
        </w:tc>
        <w:tc>
          <w:tcPr>
            <w:tcW w:type="dxa" w:w="1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2 years</w:t>
            </w:r>
          </w:p>
        </w:tc>
        <w:tc>
          <w:tcPr>
            <w:tcW w:type="dxa" w:w="2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L3</w:t>
            </w:r>
          </w:p>
        </w:tc>
      </w:tr>
      <w:tr>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Threshold Recalibration Records</w:t>
            </w:r>
          </w:p>
        </w:tc>
        <w:tc>
          <w:tcPr>
            <w:tcW w:type="dxa" w:w="3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Justification, statistical analysis, governance approval, and post-implementation validation for any threshold change</w:t>
            </w:r>
          </w:p>
        </w:tc>
        <w:tc>
          <w:tcPr>
            <w:tcW w:type="dxa" w:w="1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Permanent</w:t>
            </w:r>
          </w:p>
        </w:tc>
        <w:tc>
          <w:tcPr>
            <w:tcW w:type="dxa" w:w="2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L3</w:t>
            </w:r>
          </w:p>
        </w:tc>
      </w:tr>
    </w:tbl>
    <w:p>
      <w:pPr>
        <w:pStyle w:val="Heading3"/>
        <w:spacing w:before="240" w:after="80"/>
      </w:pPr>
      <w:r>
        <w:rPr>
          <w:rFonts w:ascii="Arial" w:cs="Arial" w:eastAsia="Arial" w:hAnsi="Arial"/>
          <w:b/>
          <w:bCs/>
          <w:color w:val="4A7DB5"/>
          <w:sz w:val="24"/>
          <w:szCs w:val="24"/>
        </w:rPr>
        <w:t xml:space="preserve">4.5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Failure Mode</w:t>
            </w:r>
          </w:p>
        </w:tc>
        <w:tc>
          <w:tcPr>
            <w:tcW w:type="dxa" w:w="4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c>
          <w:tcPr>
            <w:tcW w:type="dxa" w:w="2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r>
      <w:tr>
        <w:tc>
          <w:tcPr>
            <w:tcW w:type="dxa" w:w="26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Silent Escalation Failure</w:t>
            </w:r>
          </w:p>
        </w:tc>
        <w:tc>
          <w:tcPr>
            <w:tcW w:type="dxa" w:w="4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High or Critical output delivered to end user without human review due to escalation pathway misconfiguration</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Critical — Certification Failure</w:t>
            </w:r>
          </w:p>
        </w:tc>
      </w:tr>
      <w:tr>
        <w:tc>
          <w:tcPr>
            <w:tcW w:type="dxa" w:w="26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Threshold Bypass</w:t>
            </w:r>
          </w:p>
        </w:tc>
        <w:tc>
          <w:tcPr>
            <w:tcW w:type="dxa" w:w="4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CRI computation produces incorrect output due to scoring engine defect, allowing misclassification</w:t>
            </w:r>
          </w:p>
        </w:tc>
        <w:tc>
          <w:tcPr>
            <w:tcW w:type="dxa" w:w="2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Critical — Certification Failure</w:t>
            </w:r>
          </w:p>
        </w:tc>
      </w:tr>
      <w:tr>
        <w:tc>
          <w:tcPr>
            <w:tcW w:type="dxa" w:w="26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Confidence Score Omission</w:t>
            </w:r>
          </w:p>
        </w:tc>
        <w:tc>
          <w:tcPr>
            <w:tcW w:type="dxa" w:w="4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Outputs delivered without confidence score logged</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Major — Remediation Required</w:t>
            </w:r>
          </w:p>
        </w:tc>
      </w:tr>
      <w:tr>
        <w:tc>
          <w:tcPr>
            <w:tcW w:type="dxa" w:w="26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Drift Without Response</w:t>
            </w:r>
          </w:p>
        </w:tc>
        <w:tc>
          <w:tcPr>
            <w:tcW w:type="dxa" w:w="4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Statistically significant CRI drift detected but no governance response initiated within 30 days</w:t>
            </w:r>
          </w:p>
        </w:tc>
        <w:tc>
          <w:tcPr>
            <w:tcW w:type="dxa" w:w="2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Major — Remediation Required</w:t>
            </w:r>
          </w:p>
        </w:tc>
      </w:tr>
      <w:tr>
        <w:tc>
          <w:tcPr>
            <w:tcW w:type="dxa" w:w="26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Undocumented Threshold Change</w:t>
            </w:r>
          </w:p>
        </w:tc>
        <w:tc>
          <w:tcPr>
            <w:tcW w:type="dxa" w:w="4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Risk threshold modified without governance approval or change control record</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Critical — Certification Failure</w:t>
            </w:r>
          </w:p>
        </w:tc>
      </w:tr>
    </w:tbl>
    <w:p>
      <w:pPr>
        <w:pStyle w:val="Heading3"/>
        <w:spacing w:before="240" w:after="80"/>
      </w:pPr>
      <w:r>
        <w:rPr>
          <w:rFonts w:ascii="Arial" w:cs="Arial" w:eastAsia="Arial" w:hAnsi="Arial"/>
          <w:b/>
          <w:bCs/>
          <w:color w:val="4A7DB5"/>
          <w:sz w:val="24"/>
          <w:szCs w:val="24"/>
        </w:rPr>
        <w:t xml:space="preserve">4.6 Audit Evaluation Method</w:t>
      </w:r>
    </w:p>
    <w:p>
      <w:pPr>
        <w:spacing w:before="60" w:after="100"/>
      </w:pPr>
      <w:r>
        <w:rPr>
          <w:rFonts w:ascii="Arial" w:cs="Arial" w:eastAsia="Arial" w:hAnsi="Arial"/>
          <w:b w:val="false"/>
          <w:bCs w:val="false"/>
          <w:i w:val="false"/>
          <w:iCs w:val="false"/>
          <w:color w:val="2C2C3E"/>
          <w:sz w:val="20"/>
          <w:szCs w:val="20"/>
        </w:rPr>
        <w:t xml:space="preserve">Independent auditors SHALL evaluate Domain D1 compliance using the following evidence-based methods. Live system access is NOT required.</w:t>
      </w:r>
    </w:p>
    <w:p>
      <w:pPr>
        <w:pStyle w:val="ListParagraph"/>
        <w:numPr>
          <w:ilvl w:val="0"/>
          <w:numId w:val="3"/>
        </w:numPr>
        <w:spacing w:before="40" w:after="60"/>
      </w:pPr>
      <w:r>
        <w:rPr>
          <w:rFonts w:ascii="Arial" w:cs="Arial" w:eastAsia="Arial" w:hAnsi="Arial"/>
          <w:color w:val="2C2C3E"/>
          <w:sz w:val="20"/>
          <w:szCs w:val="20"/>
        </w:rPr>
        <w:t xml:space="preserve">Review Risk Classification Matrix against CRI formula specification. Confirm threshold values are explicitly defined and governance-approved.</w:t>
      </w:r>
    </w:p>
    <w:p>
      <w:pPr>
        <w:pStyle w:val="ListParagraph"/>
        <w:numPr>
          <w:ilvl w:val="0"/>
          <w:numId w:val="3"/>
        </w:numPr>
        <w:spacing w:before="40" w:after="60"/>
      </w:pPr>
      <w:r>
        <w:rPr>
          <w:rFonts w:ascii="Arial" w:cs="Arial" w:eastAsia="Arial" w:hAnsi="Arial"/>
          <w:color w:val="2C2C3E"/>
          <w:sz w:val="20"/>
          <w:szCs w:val="20"/>
        </w:rPr>
        <w:t xml:space="preserve">Sample CRI computation logs from the audit period. Verify that P score, S score, and CRI are recorded for each output and that the resulting action aligns with the classification matrix.</w:t>
      </w:r>
    </w:p>
    <w:p>
      <w:pPr>
        <w:pStyle w:val="ListParagraph"/>
        <w:numPr>
          <w:ilvl w:val="0"/>
          <w:numId w:val="3"/>
        </w:numPr>
        <w:spacing w:before="40" w:after="60"/>
      </w:pPr>
      <w:r>
        <w:rPr>
          <w:rFonts w:ascii="Arial" w:cs="Arial" w:eastAsia="Arial" w:hAnsi="Arial"/>
          <w:color w:val="2C2C3E"/>
          <w:sz w:val="20"/>
          <w:szCs w:val="20"/>
        </w:rPr>
        <w:t xml:space="preserve">Verify that all CRI ≥ 13 records show corresponding human review queue entries, with reviewer identity and disposition time within SLA.</w:t>
      </w:r>
    </w:p>
    <w:p>
      <w:pPr>
        <w:pStyle w:val="ListParagraph"/>
        <w:numPr>
          <w:ilvl w:val="0"/>
          <w:numId w:val="3"/>
        </w:numPr>
        <w:spacing w:before="40" w:after="60"/>
      </w:pPr>
      <w:r>
        <w:rPr>
          <w:rFonts w:ascii="Arial" w:cs="Arial" w:eastAsia="Arial" w:hAnsi="Arial"/>
          <w:color w:val="2C2C3E"/>
          <w:sz w:val="20"/>
          <w:szCs w:val="20"/>
        </w:rPr>
        <w:t xml:space="preserve">Review drift monitoring reports. Confirm that any &gt;15% mean CRI shift triggered a documented validation review.</w:t>
      </w:r>
    </w:p>
    <w:p>
      <w:pPr>
        <w:pStyle w:val="ListParagraph"/>
        <w:numPr>
          <w:ilvl w:val="0"/>
          <w:numId w:val="3"/>
        </w:numPr>
        <w:spacing w:before="40" w:after="60"/>
      </w:pPr>
      <w:r>
        <w:rPr>
          <w:rFonts w:ascii="Arial" w:cs="Arial" w:eastAsia="Arial" w:hAnsi="Arial"/>
          <w:color w:val="2C2C3E"/>
          <w:sz w:val="20"/>
          <w:szCs w:val="20"/>
        </w:rPr>
        <w:t xml:space="preserve">Confirm that any threshold recalibration is supported by statistical analysis, governance approval record, and post-implementation validation results.</w:t>
      </w:r>
    </w:p>
    <w:p>
      <w:pPr>
        <w:spacing w:before="0" w:after="80"/>
      </w:pPr>
      <w:r>
        <w:t xml:space="preserve"/>
      </w:r>
    </w:p>
    <w:p>
      <w:r>
        <w:br w:type="page"/>
      </w:r>
    </w:p>
    <w:p>
      <w:pPr>
        <w:pStyle w:val="Heading2"/>
        <w:spacing w:before="360" w:after="120"/>
      </w:pPr>
      <w:r>
        <w:rPr>
          <w:rFonts w:ascii="Arial" w:cs="Arial" w:eastAsia="Arial" w:hAnsi="Arial"/>
          <w:b/>
          <w:bCs/>
          <w:color w:val="2D5FA0"/>
          <w:sz w:val="28"/>
          <w:szCs w:val="28"/>
        </w:rPr>
        <w:t xml:space="preserve">5. Domain D2 — Authority Separation</w:t>
      </w:r>
    </w:p>
    <w:p>
      <w:pPr>
        <w:pStyle w:val="Heading3"/>
        <w:spacing w:before="240" w:after="80"/>
      </w:pPr>
      <w:r>
        <w:rPr>
          <w:rFonts w:ascii="Arial" w:cs="Arial" w:eastAsia="Arial" w:hAnsi="Arial"/>
          <w:b/>
          <w:bCs/>
          <w:color w:val="4A7DB5"/>
          <w:sz w:val="24"/>
          <w:szCs w:val="24"/>
        </w:rPr>
        <w:t xml:space="preserve">5.1 Purpose</w:t>
      </w:r>
    </w:p>
    <w:p>
      <w:pPr>
        <w:spacing w:before="60" w:after="100"/>
      </w:pPr>
      <w:r>
        <w:rPr>
          <w:rFonts w:ascii="Arial" w:cs="Arial" w:eastAsia="Arial" w:hAnsi="Arial"/>
          <w:b w:val="false"/>
          <w:bCs w:val="false"/>
          <w:i w:val="false"/>
          <w:iCs w:val="false"/>
          <w:color w:val="2C2C3E"/>
          <w:sz w:val="20"/>
          <w:szCs w:val="20"/>
        </w:rPr>
        <w:t xml:space="preserve">Domain D2 defines the structural requirement for an explicit, architecturally enforced boundary between AI-generated outputs and human decision-making authority. Authority Separation ensures that AI systems cannot execute consequential actions autonomously in contexts where human judgment is required. Policy-only approaches to authority separation do not constitute compliance.</w:t>
      </w:r>
    </w:p>
    <w:p>
      <w:pPr>
        <w:pStyle w:val="Heading3"/>
        <w:spacing w:before="240" w:after="80"/>
      </w:pPr>
      <w:r>
        <w:rPr>
          <w:rFonts w:ascii="Arial" w:cs="Arial" w:eastAsia="Arial" w:hAnsi="Arial"/>
          <w:b/>
          <w:bCs/>
          <w:color w:val="4A7DB5"/>
          <w:sz w:val="24"/>
          <w:szCs w:val="24"/>
        </w:rPr>
        <w:t xml:space="preserve">5.2 Control Objectives</w:t>
      </w:r>
    </w:p>
    <w:p>
      <w:pPr>
        <w:pStyle w:val="ListParagraph"/>
        <w:numPr>
          <w:ilvl w:val="0"/>
          <w:numId w:val="2"/>
        </w:numPr>
        <w:spacing w:before="40" w:after="60"/>
      </w:pPr>
      <w:r>
        <w:rPr>
          <w:rFonts w:ascii="Arial" w:cs="Arial" w:eastAsia="Arial" w:hAnsi="Arial"/>
          <w:color w:val="2C2C3E"/>
          <w:sz w:val="20"/>
          <w:szCs w:val="20"/>
        </w:rPr>
        <w:t xml:space="preserve">CO-D2-01: The AI system's authorized advisory function and all prohibited autonomous actions MUST be formally defined in writing.</w:t>
      </w:r>
    </w:p>
    <w:p>
      <w:pPr>
        <w:pStyle w:val="ListParagraph"/>
        <w:numPr>
          <w:ilvl w:val="0"/>
          <w:numId w:val="2"/>
        </w:numPr>
        <w:spacing w:before="40" w:after="60"/>
      </w:pPr>
      <w:r>
        <w:rPr>
          <w:rFonts w:ascii="Arial" w:cs="Arial" w:eastAsia="Arial" w:hAnsi="Arial"/>
          <w:color w:val="2C2C3E"/>
          <w:sz w:val="20"/>
          <w:szCs w:val="20"/>
        </w:rPr>
        <w:t xml:space="preserve">CO-D2-02: Human decision authority hierarchy MUST be documented, specifying which roles hold authority over which categories of decisions.</w:t>
      </w:r>
    </w:p>
    <w:p>
      <w:pPr>
        <w:pStyle w:val="ListParagraph"/>
        <w:numPr>
          <w:ilvl w:val="0"/>
          <w:numId w:val="2"/>
        </w:numPr>
        <w:spacing w:before="40" w:after="60"/>
      </w:pPr>
      <w:r>
        <w:rPr>
          <w:rFonts w:ascii="Arial" w:cs="Arial" w:eastAsia="Arial" w:hAnsi="Arial"/>
          <w:color w:val="2C2C3E"/>
          <w:sz w:val="20"/>
          <w:szCs w:val="20"/>
        </w:rPr>
        <w:t xml:space="preserve">CO-D2-03: Escalation pathways for all high-consequence output categories MUST be architecturally enforced, not policy-dependent.</w:t>
      </w:r>
    </w:p>
    <w:p>
      <w:pPr>
        <w:pStyle w:val="ListParagraph"/>
        <w:numPr>
          <w:ilvl w:val="0"/>
          <w:numId w:val="2"/>
        </w:numPr>
        <w:spacing w:before="40" w:after="60"/>
      </w:pPr>
      <w:r>
        <w:rPr>
          <w:rFonts w:ascii="Arial" w:cs="Arial" w:eastAsia="Arial" w:hAnsi="Arial"/>
          <w:color w:val="2C2C3E"/>
          <w:sz w:val="20"/>
          <w:szCs w:val="20"/>
        </w:rPr>
        <w:t xml:space="preserve">CO-D2-04: All override and intervention actions MUST be logged with actor identity, timestamp, rationale, and outcome.</w:t>
      </w:r>
    </w:p>
    <w:p>
      <w:pPr>
        <w:pStyle w:val="ListParagraph"/>
        <w:numPr>
          <w:ilvl w:val="0"/>
          <w:numId w:val="2"/>
        </w:numPr>
        <w:spacing w:before="40" w:after="60"/>
      </w:pPr>
      <w:r>
        <w:rPr>
          <w:rFonts w:ascii="Arial" w:cs="Arial" w:eastAsia="Arial" w:hAnsi="Arial"/>
          <w:color w:val="2C2C3E"/>
          <w:sz w:val="20"/>
          <w:szCs w:val="20"/>
        </w:rPr>
        <w:t xml:space="preserve">CO-D2-05: End users MUST receive disclosure of the AI system's advisory nature and the availability of human review.</w:t>
      </w:r>
    </w:p>
    <w:p>
      <w:pPr>
        <w:pStyle w:val="Heading3"/>
        <w:spacing w:before="240" w:after="80"/>
      </w:pPr>
      <w:r>
        <w:rPr>
          <w:rFonts w:ascii="Arial" w:cs="Arial" w:eastAsia="Arial" w:hAnsi="Arial"/>
          <w:b/>
          <w:bCs/>
          <w:color w:val="4A7DB5"/>
          <w:sz w:val="24"/>
          <w:szCs w:val="24"/>
        </w:rPr>
        <w:t xml:space="preserve">5.3 Mandatory Controls</w:t>
      </w:r>
    </w:p>
    <w:p>
      <w:pPr>
        <w:spacing w:before="200" w:after="60"/>
      </w:pPr>
      <w:r>
        <w:rPr>
          <w:rFonts w:ascii="Arial" w:cs="Arial" w:eastAsia="Arial" w:hAnsi="Arial"/>
          <w:b/>
          <w:bCs/>
          <w:i/>
          <w:iCs/>
          <w:color w:val="2C2C3E"/>
          <w:sz w:val="22"/>
          <w:szCs w:val="22"/>
        </w:rPr>
        <w:t xml:space="preserve">5.3.1 Authority Boundary Document — [L1 Mandatory]</w:t>
      </w:r>
    </w:p>
    <w:p>
      <w:pPr>
        <w:spacing w:before="60" w:after="100"/>
      </w:pPr>
      <w:r>
        <w:rPr>
          <w:rFonts w:ascii="Arial" w:cs="Arial" w:eastAsia="Arial" w:hAnsi="Arial"/>
          <w:b w:val="false"/>
          <w:bCs w:val="false"/>
          <w:i w:val="false"/>
          <w:iCs w:val="false"/>
          <w:color w:val="2C2C3E"/>
          <w:sz w:val="20"/>
          <w:szCs w:val="20"/>
        </w:rPr>
        <w:t xml:space="preserve">Implementing organizations MUST maintain a current Authority Boundary Document that formally specifies:</w:t>
      </w:r>
    </w:p>
    <w:p>
      <w:pPr>
        <w:pStyle w:val="ListParagraph"/>
        <w:numPr>
          <w:ilvl w:val="0"/>
          <w:numId w:val="2"/>
        </w:numPr>
        <w:spacing w:before="40" w:after="60"/>
      </w:pPr>
      <w:r>
        <w:rPr>
          <w:rFonts w:ascii="Arial" w:cs="Arial" w:eastAsia="Arial" w:hAnsi="Arial"/>
          <w:color w:val="2C2C3E"/>
          <w:sz w:val="20"/>
          <w:szCs w:val="20"/>
        </w:rPr>
        <w:t xml:space="preserve">The AI system's defined advisory role and permissible output types.</w:t>
      </w:r>
    </w:p>
    <w:p>
      <w:pPr>
        <w:pStyle w:val="ListParagraph"/>
        <w:numPr>
          <w:ilvl w:val="0"/>
          <w:numId w:val="2"/>
        </w:numPr>
        <w:spacing w:before="40" w:after="60"/>
      </w:pPr>
      <w:r>
        <w:rPr>
          <w:rFonts w:ascii="Arial" w:cs="Arial" w:eastAsia="Arial" w:hAnsi="Arial"/>
          <w:color w:val="2C2C3E"/>
          <w:sz w:val="20"/>
          <w:szCs w:val="20"/>
        </w:rPr>
        <w:t xml:space="preserve">All actions the AI system is explicitly prohibited from executing autonomously.</w:t>
      </w:r>
    </w:p>
    <w:p>
      <w:pPr>
        <w:pStyle w:val="ListParagraph"/>
        <w:numPr>
          <w:ilvl w:val="0"/>
          <w:numId w:val="2"/>
        </w:numPr>
        <w:spacing w:before="40" w:after="60"/>
      </w:pPr>
      <w:r>
        <w:rPr>
          <w:rFonts w:ascii="Arial" w:cs="Arial" w:eastAsia="Arial" w:hAnsi="Arial"/>
          <w:color w:val="2C2C3E"/>
          <w:sz w:val="20"/>
          <w:szCs w:val="20"/>
        </w:rPr>
        <w:t xml:space="preserve">The human decision authority hierarchy applicable to each output category.</w:t>
      </w:r>
    </w:p>
    <w:p>
      <w:pPr>
        <w:pStyle w:val="ListParagraph"/>
        <w:numPr>
          <w:ilvl w:val="0"/>
          <w:numId w:val="2"/>
        </w:numPr>
        <w:spacing w:before="40" w:after="60"/>
      </w:pPr>
      <w:r>
        <w:rPr>
          <w:rFonts w:ascii="Arial" w:cs="Arial" w:eastAsia="Arial" w:hAnsi="Arial"/>
          <w:color w:val="2C2C3E"/>
          <w:sz w:val="20"/>
          <w:szCs w:val="20"/>
        </w:rPr>
        <w:t xml:space="preserve">The escalation pathway for each high-consequence output class, including trigger conditions, routing, and required response timeline.</w:t>
      </w:r>
    </w:p>
    <w:p>
      <w:pPr>
        <w:spacing w:before="200" w:after="60"/>
      </w:pPr>
      <w:r>
        <w:rPr>
          <w:rFonts w:ascii="Arial" w:cs="Arial" w:eastAsia="Arial" w:hAnsi="Arial"/>
          <w:b/>
          <w:bCs/>
          <w:i/>
          <w:iCs/>
          <w:color w:val="2C2C3E"/>
          <w:sz w:val="22"/>
          <w:szCs w:val="22"/>
        </w:rPr>
        <w:t xml:space="preserve">5.3.2 Architecturally Enforced Human-in-the-Loop — [L2 Mandatory]</w:t>
      </w:r>
    </w:p>
    <w:p>
      <w:pPr>
        <w:spacing w:before="60" w:after="100"/>
      </w:pPr>
      <w:r>
        <w:rPr>
          <w:rFonts w:ascii="Arial" w:cs="Arial" w:eastAsia="Arial" w:hAnsi="Arial"/>
          <w:b w:val="false"/>
          <w:bCs w:val="false"/>
          <w:i w:val="false"/>
          <w:iCs w:val="false"/>
          <w:color w:val="2C2C3E"/>
          <w:sz w:val="20"/>
          <w:szCs w:val="20"/>
        </w:rPr>
        <w:t xml:space="preserve">At Level 2 and above, human-in-the-loop enforcement MUST be architecturally implemented. This means:</w:t>
      </w:r>
    </w:p>
    <w:p>
      <w:pPr>
        <w:pStyle w:val="ListParagraph"/>
        <w:numPr>
          <w:ilvl w:val="0"/>
          <w:numId w:val="2"/>
        </w:numPr>
        <w:spacing w:before="40" w:after="60"/>
      </w:pPr>
      <w:r>
        <w:rPr>
          <w:rFonts w:ascii="Arial" w:cs="Arial" w:eastAsia="Arial" w:hAnsi="Arial"/>
          <w:color w:val="2C2C3E"/>
          <w:sz w:val="20"/>
          <w:szCs w:val="20"/>
        </w:rPr>
        <w:t xml:space="preserve">High-risk outputs (CRI ≥ 13) MUST NOT reach end users or execute downstream actions without passing through a human review gate.</w:t>
      </w:r>
    </w:p>
    <w:p>
      <w:pPr>
        <w:pStyle w:val="ListParagraph"/>
        <w:numPr>
          <w:ilvl w:val="0"/>
          <w:numId w:val="2"/>
        </w:numPr>
        <w:spacing w:before="40" w:after="60"/>
      </w:pPr>
      <w:r>
        <w:rPr>
          <w:rFonts w:ascii="Arial" w:cs="Arial" w:eastAsia="Arial" w:hAnsi="Arial"/>
          <w:color w:val="2C2C3E"/>
          <w:sz w:val="20"/>
          <w:szCs w:val="20"/>
        </w:rPr>
        <w:t xml:space="preserve">The review gate MUST be implemented at the system architecture level, such that it cannot be bypassed by operator configuration or user action.</w:t>
      </w:r>
    </w:p>
    <w:p>
      <w:pPr>
        <w:pStyle w:val="ListParagraph"/>
        <w:numPr>
          <w:ilvl w:val="0"/>
          <w:numId w:val="2"/>
        </w:numPr>
        <w:spacing w:before="40" w:after="60"/>
      </w:pPr>
      <w:r>
        <w:rPr>
          <w:rFonts w:ascii="Arial" w:cs="Arial" w:eastAsia="Arial" w:hAnsi="Arial"/>
          <w:color w:val="2C2C3E"/>
          <w:sz w:val="20"/>
          <w:szCs w:val="20"/>
        </w:rPr>
        <w:t xml:space="preserve">Policy documents stating that humans will review outputs do NOT constitute architectural enforcement.</w:t>
      </w:r>
    </w:p>
    <w:p>
      <w:pPr>
        <w:spacing w:before="200" w:after="60"/>
      </w:pPr>
      <w:r>
        <w:rPr>
          <w:rFonts w:ascii="Arial" w:cs="Arial" w:eastAsia="Arial" w:hAnsi="Arial"/>
          <w:b/>
          <w:bCs/>
          <w:i/>
          <w:iCs/>
          <w:color w:val="2C2C3E"/>
          <w:sz w:val="22"/>
          <w:szCs w:val="22"/>
        </w:rPr>
        <w:t xml:space="preserve">5.3.3 Non-Autonomy Declaration — [L1 Mandatory]</w:t>
      </w:r>
    </w:p>
    <w:p>
      <w:pPr>
        <w:spacing w:before="60" w:after="100"/>
      </w:pPr>
      <w:r>
        <w:rPr>
          <w:rFonts w:ascii="Arial" w:cs="Arial" w:eastAsia="Arial" w:hAnsi="Arial"/>
          <w:b w:val="false"/>
          <w:bCs w:val="false"/>
          <w:i w:val="false"/>
          <w:iCs w:val="false"/>
          <w:color w:val="2C2C3E"/>
          <w:sz w:val="20"/>
          <w:szCs w:val="20"/>
        </w:rPr>
        <w:t xml:space="preserve">The following categories of action are prohibited as autonomous AI system behaviors at all certification levels. These constraints MUST be architecturally enforced, not merely stated in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Prohibited Autonomous Action</w:t>
            </w:r>
          </w:p>
        </w:tc>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Domain Context</w:t>
            </w:r>
          </w:p>
        </w:tc>
        <w:tc>
          <w:tcPr>
            <w:tcW w:type="dxa" w:w="35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 Human Authority</w:t>
            </w:r>
          </w:p>
        </w:tc>
      </w:tr>
      <w:tr>
        <w:tc>
          <w:tcPr>
            <w:tcW w:type="dxa" w:w="3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Diagnosis, prescription, or clinical intervention</w:t>
            </w:r>
          </w:p>
        </w:tc>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Healthcare</w:t>
            </w:r>
          </w:p>
        </w:tc>
        <w:tc>
          <w:tcPr>
            <w:tcW w:type="dxa" w:w="3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Licensed clinician</w:t>
            </w:r>
          </w:p>
        </w:tc>
      </w:tr>
      <w:tr>
        <w:tc>
          <w:tcPr>
            <w:tcW w:type="dxa" w:w="3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Loan approval, fund disbursement, or account action</w:t>
            </w:r>
          </w:p>
        </w:tc>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Financial Services</w:t>
            </w:r>
          </w:p>
        </w:tc>
        <w:tc>
          <w:tcPr>
            <w:tcW w:type="dxa" w:w="3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Authorized officer</w:t>
            </w:r>
          </w:p>
        </w:tc>
      </w:tr>
      <w:tr>
        <w:tc>
          <w:tcPr>
            <w:tcW w:type="dxa" w:w="3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Legal advice, court filing, or contract execution</w:t>
            </w:r>
          </w:p>
        </w:tc>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Legal Services</w:t>
            </w:r>
          </w:p>
        </w:tc>
        <w:tc>
          <w:tcPr>
            <w:tcW w:type="dxa" w:w="3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Licensed attorney</w:t>
            </w:r>
          </w:p>
        </w:tc>
      </w:tr>
      <w:tr>
        <w:tc>
          <w:tcPr>
            <w:tcW w:type="dxa" w:w="3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Employment decision, offer issuance, or termination</w:t>
            </w:r>
          </w:p>
        </w:tc>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HR / Hiring</w:t>
            </w:r>
          </w:p>
        </w:tc>
        <w:tc>
          <w:tcPr>
            <w:tcW w:type="dxa" w:w="3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HR authority</w:t>
            </w:r>
          </w:p>
        </w:tc>
      </w:tr>
      <w:tr>
        <w:tc>
          <w:tcPr>
            <w:tcW w:type="dxa" w:w="3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Arrest, detention, or enforcement action</w:t>
            </w:r>
          </w:p>
        </w:tc>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Public Safety</w:t>
            </w:r>
          </w:p>
        </w:tc>
        <w:tc>
          <w:tcPr>
            <w:tcW w:type="dxa" w:w="3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Law enforcement officer</w:t>
            </w:r>
          </w:p>
        </w:tc>
      </w:tr>
      <w:tr>
        <w:tc>
          <w:tcPr>
            <w:tcW w:type="dxa" w:w="3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System shutdown or emergency response activation</w:t>
            </w:r>
          </w:p>
        </w:tc>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Infrastructure</w:t>
            </w:r>
          </w:p>
        </w:tc>
        <w:tc>
          <w:tcPr>
            <w:tcW w:type="dxa" w:w="3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Qualified operator</w:t>
            </w:r>
          </w:p>
        </w:tc>
      </w:tr>
      <w:tr>
        <w:tc>
          <w:tcPr>
            <w:tcW w:type="dxa" w:w="3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Benefits denial or legally binding determination</w:t>
            </w:r>
          </w:p>
        </w:tc>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Public Sector</w:t>
            </w:r>
          </w:p>
        </w:tc>
        <w:tc>
          <w:tcPr>
            <w:tcW w:type="dxa" w:w="3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Authorized official</w:t>
            </w:r>
          </w:p>
        </w:tc>
      </w:tr>
    </w:tbl>
    <w:p>
      <w:pPr>
        <w:spacing w:before="200" w:after="60"/>
      </w:pPr>
      <w:r>
        <w:rPr>
          <w:rFonts w:ascii="Arial" w:cs="Arial" w:eastAsia="Arial" w:hAnsi="Arial"/>
          <w:b/>
          <w:bCs/>
          <w:i/>
          <w:iCs/>
          <w:color w:val="2C2C3E"/>
          <w:sz w:val="22"/>
          <w:szCs w:val="22"/>
        </w:rPr>
        <w:t xml:space="preserve">5.3.4 Override Logging — [L2 Mandatory]</w:t>
      </w:r>
    </w:p>
    <w:p>
      <w:pPr>
        <w:pStyle w:val="ListParagraph"/>
        <w:numPr>
          <w:ilvl w:val="0"/>
          <w:numId w:val="2"/>
        </w:numPr>
        <w:spacing w:before="40" w:after="60"/>
      </w:pPr>
      <w:r>
        <w:rPr>
          <w:rFonts w:ascii="Arial" w:cs="Arial" w:eastAsia="Arial" w:hAnsi="Arial"/>
          <w:color w:val="2C2C3E"/>
          <w:sz w:val="20"/>
          <w:szCs w:val="20"/>
        </w:rPr>
        <w:t xml:space="preserve">All human overrides of AI system outputs MUST be logged in a tamper-evident audit record.</w:t>
      </w:r>
    </w:p>
    <w:p>
      <w:pPr>
        <w:pStyle w:val="ListParagraph"/>
        <w:numPr>
          <w:ilvl w:val="0"/>
          <w:numId w:val="2"/>
        </w:numPr>
        <w:spacing w:before="40" w:after="60"/>
      </w:pPr>
      <w:r>
        <w:rPr>
          <w:rFonts w:ascii="Arial" w:cs="Arial" w:eastAsia="Arial" w:hAnsi="Arial"/>
          <w:color w:val="2C2C3E"/>
          <w:sz w:val="20"/>
          <w:szCs w:val="20"/>
        </w:rPr>
        <w:t xml:space="preserve">Override records MUST capture: actor identity, timestamp, the original AI output, the override decision, and documented rationale.</w:t>
      </w:r>
    </w:p>
    <w:p>
      <w:pPr>
        <w:pStyle w:val="ListParagraph"/>
        <w:numPr>
          <w:ilvl w:val="0"/>
          <w:numId w:val="2"/>
        </w:numPr>
        <w:spacing w:before="40" w:after="60"/>
      </w:pPr>
      <w:r>
        <w:rPr>
          <w:rFonts w:ascii="Arial" w:cs="Arial" w:eastAsia="Arial" w:hAnsi="Arial"/>
          <w:color w:val="2C2C3E"/>
          <w:sz w:val="20"/>
          <w:szCs w:val="20"/>
        </w:rPr>
        <w:t xml:space="preserve">Override patterns MUST be reviewed periodically for systematic AI classification errors.</w:t>
      </w:r>
    </w:p>
    <w:p>
      <w:pPr>
        <w:spacing w:before="200" w:after="60"/>
      </w:pPr>
      <w:r>
        <w:rPr>
          <w:rFonts w:ascii="Arial" w:cs="Arial" w:eastAsia="Arial" w:hAnsi="Arial"/>
          <w:b/>
          <w:bCs/>
          <w:i/>
          <w:iCs/>
          <w:color w:val="2C2C3E"/>
          <w:sz w:val="22"/>
          <w:szCs w:val="22"/>
        </w:rPr>
        <w:t xml:space="preserve">5.3.5 User Disclosure — [L1 Mandatory]</w:t>
      </w:r>
    </w:p>
    <w:p>
      <w:pPr>
        <w:pStyle w:val="ListParagraph"/>
        <w:numPr>
          <w:ilvl w:val="0"/>
          <w:numId w:val="2"/>
        </w:numPr>
        <w:spacing w:before="40" w:after="60"/>
      </w:pPr>
      <w:r>
        <w:rPr>
          <w:rFonts w:ascii="Arial" w:cs="Arial" w:eastAsia="Arial" w:hAnsi="Arial"/>
          <w:color w:val="2C2C3E"/>
          <w:sz w:val="20"/>
          <w:szCs w:val="20"/>
        </w:rPr>
        <w:t xml:space="preserve">All end users interacting with the AI system MUST receive disclosure that they are engaging with an AI system operating in an advisory capacity.</w:t>
      </w:r>
    </w:p>
    <w:p>
      <w:pPr>
        <w:pStyle w:val="ListParagraph"/>
        <w:numPr>
          <w:ilvl w:val="0"/>
          <w:numId w:val="2"/>
        </w:numPr>
        <w:spacing w:before="40" w:after="60"/>
      </w:pPr>
      <w:r>
        <w:rPr>
          <w:rFonts w:ascii="Arial" w:cs="Arial" w:eastAsia="Arial" w:hAnsi="Arial"/>
          <w:color w:val="2C2C3E"/>
          <w:sz w:val="20"/>
          <w:szCs w:val="20"/>
        </w:rPr>
        <w:t xml:space="preserve">Disclosure MUST inform users of the availability of human review for consequential outputs.</w:t>
      </w:r>
    </w:p>
    <w:p>
      <w:pPr>
        <w:pStyle w:val="ListParagraph"/>
        <w:numPr>
          <w:ilvl w:val="0"/>
          <w:numId w:val="2"/>
        </w:numPr>
        <w:spacing w:before="40" w:after="60"/>
      </w:pPr>
      <w:r>
        <w:rPr>
          <w:rFonts w:ascii="Arial" w:cs="Arial" w:eastAsia="Arial" w:hAnsi="Arial"/>
          <w:color w:val="2C2C3E"/>
          <w:sz w:val="20"/>
          <w:szCs w:val="20"/>
        </w:rPr>
        <w:t xml:space="preserve">Disclosure MUST NOT be suppressible by operator configuration at L2 or above.</w:t>
      </w:r>
    </w:p>
    <w:p>
      <w:pPr>
        <w:pStyle w:val="Heading3"/>
        <w:spacing w:before="240" w:after="80"/>
      </w:pPr>
      <w:r>
        <w:rPr>
          <w:rFonts w:ascii="Arial" w:cs="Arial" w:eastAsia="Arial" w:hAnsi="Arial"/>
          <w:b/>
          <w:bCs/>
          <w:color w:val="4A7DB5"/>
          <w:sz w:val="24"/>
          <w:szCs w:val="24"/>
        </w:rPr>
        <w:t xml:space="preserve">5.4 Evidence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560"/>
        <w:gridCol w:w="1800"/>
      </w:tblGrid>
      <w:tr>
        <w:trPr>
          <w:tblHeader/>
        </w:trPr>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Artifact</w:t>
            </w:r>
          </w:p>
        </w:tc>
        <w:tc>
          <w:tcPr>
            <w:tcW w:type="dxa" w:w="3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15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Retention</w:t>
            </w:r>
          </w:p>
        </w:tc>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 From</w:t>
            </w:r>
          </w:p>
        </w:tc>
      </w:tr>
      <w:tr>
        <w:tc>
          <w:tcPr>
            <w:tcW w:type="dxa" w:w="26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Authority Boundary Document</w:t>
            </w:r>
          </w:p>
        </w:tc>
        <w:tc>
          <w:tcPr>
            <w:tcW w:type="dxa" w:w="3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Current, signed specification of AI role, prohibited actions, and escalation pathways</w:t>
            </w:r>
          </w:p>
        </w:tc>
        <w:tc>
          <w:tcPr>
            <w:tcW w:type="dxa" w:w="1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Current + 3 years prior versions</w:t>
            </w:r>
          </w:p>
        </w:tc>
        <w:tc>
          <w:tcPr>
            <w:tcW w:type="dxa" w:w="1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L1</w:t>
            </w:r>
          </w:p>
        </w:tc>
      </w:tr>
      <w:tr>
        <w:tc>
          <w:tcPr>
            <w:tcW w:type="dxa" w:w="26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System Architecture Diagram</w:t>
            </w:r>
          </w:p>
        </w:tc>
        <w:tc>
          <w:tcPr>
            <w:tcW w:type="dxa" w:w="3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Diagram showing location and enforcement mechanism of human review gate</w:t>
            </w:r>
          </w:p>
        </w:tc>
        <w:tc>
          <w:tcPr>
            <w:tcW w:type="dxa" w:w="1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Current + 2 years</w:t>
            </w:r>
          </w:p>
        </w:tc>
        <w:tc>
          <w:tcPr>
            <w:tcW w:type="dxa" w:w="1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L2</w:t>
            </w:r>
          </w:p>
        </w:tc>
      </w:tr>
      <w:tr>
        <w:tc>
          <w:tcPr>
            <w:tcW w:type="dxa" w:w="26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Override Log Records</w:t>
            </w:r>
          </w:p>
        </w:tc>
        <w:tc>
          <w:tcPr>
            <w:tcW w:type="dxa" w:w="3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Tamper-evident record of all human overrides with required metadata</w:t>
            </w:r>
          </w:p>
        </w:tc>
        <w:tc>
          <w:tcPr>
            <w:tcW w:type="dxa" w:w="1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Minimum 3 years</w:t>
            </w:r>
          </w:p>
        </w:tc>
        <w:tc>
          <w:tcPr>
            <w:tcW w:type="dxa" w:w="1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L2</w:t>
            </w:r>
          </w:p>
        </w:tc>
      </w:tr>
      <w:tr>
        <w:tc>
          <w:tcPr>
            <w:tcW w:type="dxa" w:w="26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Escalation Queue Records</w:t>
            </w:r>
          </w:p>
        </w:tc>
        <w:tc>
          <w:tcPr>
            <w:tcW w:type="dxa" w:w="3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Logs showing CRI ≥ 13 outputs routed to review queue with reviewer assignment and SLA metrics</w:t>
            </w:r>
          </w:p>
        </w:tc>
        <w:tc>
          <w:tcPr>
            <w:tcW w:type="dxa" w:w="1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Minimum 2 years</w:t>
            </w:r>
          </w:p>
        </w:tc>
        <w:tc>
          <w:tcPr>
            <w:tcW w:type="dxa" w:w="1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L2</w:t>
            </w:r>
          </w:p>
        </w:tc>
      </w:tr>
      <w:tr>
        <w:tc>
          <w:tcPr>
            <w:tcW w:type="dxa" w:w="26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User Disclosure Documentation</w:t>
            </w:r>
          </w:p>
        </w:tc>
        <w:tc>
          <w:tcPr>
            <w:tcW w:type="dxa" w:w="3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System documentation showing mandatory disclosure mechanism and its non-suppressibility</w:t>
            </w:r>
          </w:p>
        </w:tc>
        <w:tc>
          <w:tcPr>
            <w:tcW w:type="dxa" w:w="1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Current</w:t>
            </w:r>
          </w:p>
        </w:tc>
        <w:tc>
          <w:tcPr>
            <w:tcW w:type="dxa" w:w="1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L1</w:t>
            </w:r>
          </w:p>
        </w:tc>
      </w:tr>
    </w:tbl>
    <w:p>
      <w:pPr>
        <w:pStyle w:val="Heading3"/>
        <w:spacing w:before="240" w:after="80"/>
      </w:pPr>
      <w:r>
        <w:rPr>
          <w:rFonts w:ascii="Arial" w:cs="Arial" w:eastAsia="Arial" w:hAnsi="Arial"/>
          <w:b/>
          <w:bCs/>
          <w:color w:val="4A7DB5"/>
          <w:sz w:val="24"/>
          <w:szCs w:val="24"/>
        </w:rPr>
        <w:t xml:space="preserve">5.5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Failure Mode</w:t>
            </w:r>
          </w:p>
        </w:tc>
        <w:tc>
          <w:tcPr>
            <w:tcW w:type="dxa" w:w="4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c>
          <w:tcPr>
            <w:tcW w:type="dxa" w:w="2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r>
      <w:tr>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Policy-Only Authority Control</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Authority separation enforced by policy document only; no architectural enforcement mechanism exists</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Major — Non-Compliant at L2+</w:t>
            </w:r>
          </w:p>
        </w:tc>
      </w:tr>
      <w:tr>
        <w:tc>
          <w:tcPr>
            <w:tcW w:type="dxa" w:w="2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Bypassed Review Gate</w:t>
            </w:r>
          </w:p>
        </w:tc>
        <w:tc>
          <w:tcPr>
            <w:tcW w:type="dxa" w:w="4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Human review gate can be disabled, circumvented, or overridden by operator configuration without recorded exception</w:t>
            </w:r>
          </w:p>
        </w:tc>
        <w:tc>
          <w:tcPr>
            <w:tcW w:type="dxa" w:w="2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Critical — Certification Failure</w:t>
            </w:r>
          </w:p>
        </w:tc>
      </w:tr>
      <w:tr>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Undocumented Prohibited Actions</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AI system executes action categories not addressed in Authority Boundary Document</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Major — Remediation Required</w:t>
            </w:r>
          </w:p>
        </w:tc>
      </w:tr>
      <w:tr>
        <w:tc>
          <w:tcPr>
            <w:tcW w:type="dxa" w:w="2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Override Log Gaps</w:t>
            </w:r>
          </w:p>
        </w:tc>
        <w:tc>
          <w:tcPr>
            <w:tcW w:type="dxa" w:w="4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Overrides occur without corresponding audit records</w:t>
            </w:r>
          </w:p>
        </w:tc>
        <w:tc>
          <w:tcPr>
            <w:tcW w:type="dxa" w:w="2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Critical — Certification Failure</w:t>
            </w:r>
          </w:p>
        </w:tc>
      </w:tr>
      <w:tr>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Missing User Disclosure</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End users engage with system without receiving advisory nature disclosure</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Major — Remediation Required</w:t>
            </w:r>
          </w:p>
        </w:tc>
      </w:tr>
    </w:tbl>
    <w:p>
      <w:pPr>
        <w:pStyle w:val="Heading3"/>
        <w:spacing w:before="240" w:after="80"/>
      </w:pPr>
      <w:r>
        <w:rPr>
          <w:rFonts w:ascii="Arial" w:cs="Arial" w:eastAsia="Arial" w:hAnsi="Arial"/>
          <w:b/>
          <w:bCs/>
          <w:color w:val="4A7DB5"/>
          <w:sz w:val="24"/>
          <w:szCs w:val="24"/>
        </w:rPr>
        <w:t xml:space="preserve">5.6 Audit Evaluation Method</w:t>
      </w:r>
    </w:p>
    <w:p>
      <w:pPr>
        <w:pStyle w:val="ListParagraph"/>
        <w:numPr>
          <w:ilvl w:val="0"/>
          <w:numId w:val="3"/>
        </w:numPr>
        <w:spacing w:before="40" w:after="60"/>
      </w:pPr>
      <w:r>
        <w:rPr>
          <w:rFonts w:ascii="Arial" w:cs="Arial" w:eastAsia="Arial" w:hAnsi="Arial"/>
          <w:color w:val="2C2C3E"/>
          <w:sz w:val="20"/>
          <w:szCs w:val="20"/>
        </w:rPr>
        <w:t xml:space="preserve">Review Authority Boundary Document for completeness: role definition, prohibited actions, authority hierarchy, and escalation pathways for all output categories.</w:t>
      </w:r>
    </w:p>
    <w:p>
      <w:pPr>
        <w:pStyle w:val="ListParagraph"/>
        <w:numPr>
          <w:ilvl w:val="0"/>
          <w:numId w:val="3"/>
        </w:numPr>
        <w:spacing w:before="40" w:after="60"/>
      </w:pPr>
      <w:r>
        <w:rPr>
          <w:rFonts w:ascii="Arial" w:cs="Arial" w:eastAsia="Arial" w:hAnsi="Arial"/>
          <w:color w:val="2C2C3E"/>
          <w:sz w:val="20"/>
          <w:szCs w:val="20"/>
        </w:rPr>
        <w:t xml:space="preserve">Review system architecture diagram to locate the human review gate and confirm it is positioned prior to output delivery for CRI ≥ 13 outputs.</w:t>
      </w:r>
    </w:p>
    <w:p>
      <w:pPr>
        <w:pStyle w:val="ListParagraph"/>
        <w:numPr>
          <w:ilvl w:val="0"/>
          <w:numId w:val="3"/>
        </w:numPr>
        <w:spacing w:before="40" w:after="60"/>
      </w:pPr>
      <w:r>
        <w:rPr>
          <w:rFonts w:ascii="Arial" w:cs="Arial" w:eastAsia="Arial" w:hAnsi="Arial"/>
          <w:color w:val="2C2C3E"/>
          <w:sz w:val="20"/>
          <w:szCs w:val="20"/>
        </w:rPr>
        <w:t xml:space="preserve">Request a sample of escalation queue records from the audit period. Confirm routing, reviewer assignment, and SLA compliance for High and Critical classifications.</w:t>
      </w:r>
    </w:p>
    <w:p>
      <w:pPr>
        <w:pStyle w:val="ListParagraph"/>
        <w:numPr>
          <w:ilvl w:val="0"/>
          <w:numId w:val="3"/>
        </w:numPr>
        <w:spacing w:before="40" w:after="60"/>
      </w:pPr>
      <w:r>
        <w:rPr>
          <w:rFonts w:ascii="Arial" w:cs="Arial" w:eastAsia="Arial" w:hAnsi="Arial"/>
          <w:color w:val="2C2C3E"/>
          <w:sz w:val="20"/>
          <w:szCs w:val="20"/>
        </w:rPr>
        <w:t xml:space="preserve">Sample override records. Verify completeness of required metadata fields and confirm override rationale is documented.</w:t>
      </w:r>
    </w:p>
    <w:p>
      <w:pPr>
        <w:pStyle w:val="ListParagraph"/>
        <w:numPr>
          <w:ilvl w:val="0"/>
          <w:numId w:val="3"/>
        </w:numPr>
        <w:spacing w:before="40" w:after="60"/>
      </w:pPr>
      <w:r>
        <w:rPr>
          <w:rFonts w:ascii="Arial" w:cs="Arial" w:eastAsia="Arial" w:hAnsi="Arial"/>
          <w:color w:val="2C2C3E"/>
          <w:sz w:val="20"/>
          <w:szCs w:val="20"/>
        </w:rPr>
        <w:t xml:space="preserve">Review user-facing interface documentation to confirm mandatory disclosure is present and non-suppressible.</w:t>
      </w:r>
    </w:p>
    <w:p>
      <w:pPr>
        <w:spacing w:before="0" w:after="80"/>
      </w:pPr>
      <w:r>
        <w:t xml:space="preserve"/>
      </w:r>
    </w:p>
    <w:p>
      <w:r>
        <w:br w:type="page"/>
      </w:r>
    </w:p>
    <w:p>
      <w:pPr>
        <w:pStyle w:val="Heading2"/>
        <w:spacing w:before="360" w:after="120"/>
      </w:pPr>
      <w:r>
        <w:rPr>
          <w:rFonts w:ascii="Arial" w:cs="Arial" w:eastAsia="Arial" w:hAnsi="Arial"/>
          <w:b/>
          <w:bCs/>
          <w:color w:val="2D5FA0"/>
          <w:sz w:val="28"/>
          <w:szCs w:val="28"/>
        </w:rPr>
        <w:t xml:space="preserve">6. Domain D3 — Data Governance</w:t>
      </w:r>
    </w:p>
    <w:p>
      <w:pPr>
        <w:pStyle w:val="Heading3"/>
        <w:spacing w:before="240" w:after="80"/>
      </w:pPr>
      <w:r>
        <w:rPr>
          <w:rFonts w:ascii="Arial" w:cs="Arial" w:eastAsia="Arial" w:hAnsi="Arial"/>
          <w:b/>
          <w:bCs/>
          <w:color w:val="4A7DB5"/>
          <w:sz w:val="24"/>
          <w:szCs w:val="24"/>
        </w:rPr>
        <w:t xml:space="preserve">6.1 Purpose</w:t>
      </w:r>
    </w:p>
    <w:p>
      <w:pPr>
        <w:spacing w:before="60" w:after="100"/>
      </w:pPr>
      <w:r>
        <w:rPr>
          <w:rFonts w:ascii="Arial" w:cs="Arial" w:eastAsia="Arial" w:hAnsi="Arial"/>
          <w:b w:val="false"/>
          <w:bCs w:val="false"/>
          <w:i w:val="false"/>
          <w:iCs w:val="false"/>
          <w:color w:val="2C2C3E"/>
          <w:sz w:val="20"/>
          <w:szCs w:val="20"/>
        </w:rPr>
        <w:t xml:space="preserve">Domain D3 establishes control requirements over the classification, residency, movement, access, and lineage of all data processed by the AI system. It ensures that sensitive data remains within defined trust boundaries, that access is authorized and auditable, and that the AI inference boundary is explicitly documented and controlled.</w:t>
      </w:r>
    </w:p>
    <w:p>
      <w:pPr>
        <w:pStyle w:val="Heading3"/>
        <w:spacing w:before="240" w:after="80"/>
      </w:pPr>
      <w:r>
        <w:rPr>
          <w:rFonts w:ascii="Arial" w:cs="Arial" w:eastAsia="Arial" w:hAnsi="Arial"/>
          <w:b/>
          <w:bCs/>
          <w:color w:val="4A7DB5"/>
          <w:sz w:val="24"/>
          <w:szCs w:val="24"/>
        </w:rPr>
        <w:t xml:space="preserve">6.2 Control Objectives</w:t>
      </w:r>
    </w:p>
    <w:p>
      <w:pPr>
        <w:pStyle w:val="ListParagraph"/>
        <w:numPr>
          <w:ilvl w:val="0"/>
          <w:numId w:val="2"/>
        </w:numPr>
        <w:spacing w:before="40" w:after="60"/>
      </w:pPr>
      <w:r>
        <w:rPr>
          <w:rFonts w:ascii="Arial" w:cs="Arial" w:eastAsia="Arial" w:hAnsi="Arial"/>
          <w:color w:val="2C2C3E"/>
          <w:sz w:val="20"/>
          <w:szCs w:val="20"/>
        </w:rPr>
        <w:t xml:space="preserve">CO-D3-01: All data processed by the AI system MUST be classified according to a formally defined data classification model.</w:t>
      </w:r>
    </w:p>
    <w:p>
      <w:pPr>
        <w:pStyle w:val="ListParagraph"/>
        <w:numPr>
          <w:ilvl w:val="0"/>
          <w:numId w:val="2"/>
        </w:numPr>
        <w:spacing w:before="40" w:after="60"/>
      </w:pPr>
      <w:r>
        <w:rPr>
          <w:rFonts w:ascii="Arial" w:cs="Arial" w:eastAsia="Arial" w:hAnsi="Arial"/>
          <w:color w:val="2C2C3E"/>
          <w:sz w:val="20"/>
          <w:szCs w:val="20"/>
        </w:rPr>
        <w:t xml:space="preserve">CO-D3-02: Data residency and inference boundaries MUST be explicitly declared and controlled.</w:t>
      </w:r>
    </w:p>
    <w:p>
      <w:pPr>
        <w:pStyle w:val="ListParagraph"/>
        <w:numPr>
          <w:ilvl w:val="0"/>
          <w:numId w:val="2"/>
        </w:numPr>
        <w:spacing w:before="40" w:after="60"/>
      </w:pPr>
      <w:r>
        <w:rPr>
          <w:rFonts w:ascii="Arial" w:cs="Arial" w:eastAsia="Arial" w:hAnsi="Arial"/>
          <w:color w:val="2C2C3E"/>
          <w:sz w:val="20"/>
          <w:szCs w:val="20"/>
        </w:rPr>
        <w:t xml:space="preserve">CO-D3-03: Encryption MUST be enforced for protected data at rest and in transit.</w:t>
      </w:r>
    </w:p>
    <w:p>
      <w:pPr>
        <w:pStyle w:val="ListParagraph"/>
        <w:numPr>
          <w:ilvl w:val="0"/>
          <w:numId w:val="2"/>
        </w:numPr>
        <w:spacing w:before="40" w:after="60"/>
      </w:pPr>
      <w:r>
        <w:rPr>
          <w:rFonts w:ascii="Arial" w:cs="Arial" w:eastAsia="Arial" w:hAnsi="Arial"/>
          <w:color w:val="2C2C3E"/>
          <w:sz w:val="20"/>
          <w:szCs w:val="20"/>
        </w:rPr>
        <w:t xml:space="preserve">CO-D3-04: Role-based access control with least-privilege enforcement MUST govern all data access.</w:t>
      </w:r>
    </w:p>
    <w:p>
      <w:pPr>
        <w:pStyle w:val="ListParagraph"/>
        <w:numPr>
          <w:ilvl w:val="0"/>
          <w:numId w:val="2"/>
        </w:numPr>
        <w:spacing w:before="40" w:after="60"/>
      </w:pPr>
      <w:r>
        <w:rPr>
          <w:rFonts w:ascii="Arial" w:cs="Arial" w:eastAsia="Arial" w:hAnsi="Arial"/>
          <w:color w:val="2C2C3E"/>
          <w:sz w:val="20"/>
          <w:szCs w:val="20"/>
        </w:rPr>
        <w:t xml:space="preserve">CO-D3-05: Data retention and deletion policies MUST be documented and operationally enforced.</w:t>
      </w:r>
    </w:p>
    <w:p>
      <w:pPr>
        <w:pStyle w:val="Heading3"/>
        <w:spacing w:before="240" w:after="80"/>
      </w:pPr>
      <w:r>
        <w:rPr>
          <w:rFonts w:ascii="Arial" w:cs="Arial" w:eastAsia="Arial" w:hAnsi="Arial"/>
          <w:b/>
          <w:bCs/>
          <w:color w:val="4A7DB5"/>
          <w:sz w:val="24"/>
          <w:szCs w:val="24"/>
        </w:rPr>
        <w:t xml:space="preserve">6.3 Mandatory Controls</w:t>
      </w:r>
    </w:p>
    <w:p>
      <w:pPr>
        <w:spacing w:before="200" w:after="60"/>
      </w:pPr>
      <w:r>
        <w:rPr>
          <w:rFonts w:ascii="Arial" w:cs="Arial" w:eastAsia="Arial" w:hAnsi="Arial"/>
          <w:b/>
          <w:bCs/>
          <w:i/>
          <w:iCs/>
          <w:color w:val="2C2C3E"/>
          <w:sz w:val="22"/>
          <w:szCs w:val="22"/>
        </w:rPr>
        <w:t xml:space="preserve">6.3.1 Data Classification Model — [L1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 Tier</w:t>
            </w:r>
          </w:p>
        </w:tc>
        <w:tc>
          <w:tcPr>
            <w:tcW w:type="dxa" w:w="3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c>
          <w:tcPr>
            <w:tcW w:type="dxa" w:w="37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Minimum Handling Requirements</w:t>
            </w:r>
          </w:p>
        </w:tc>
      </w:tr>
      <w:tr>
        <w:tc>
          <w:tcPr>
            <w:tcW w:type="dxa" w:w="1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Restricted</w:t>
            </w:r>
          </w:p>
        </w:tc>
        <w:tc>
          <w:tcPr>
            <w:tcW w:type="dxa" w:w="3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Data whose unauthorized exposure causes regulatory violation, significant harm, or legal liability (e.g., PHI, PII, legally privileged content)</w:t>
            </w:r>
          </w:p>
        </w:tc>
        <w:tc>
          <w:tcPr>
            <w:tcW w:type="dxa" w:w="37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Encryption at rest and in transit; RBAC with explicit authorization; audit log on all access; no external API transmission without contractual zero-retention agreement</w:t>
            </w:r>
          </w:p>
        </w:tc>
      </w:tr>
      <w:tr>
        <w:tc>
          <w:tcPr>
            <w:tcW w:type="dxa" w:w="1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Sensitive</w:t>
            </w:r>
          </w:p>
        </w:tc>
        <w:tc>
          <w:tcPr>
            <w:tcW w:type="dxa" w:w="3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Data requiring protection due to organizational confidentiality requirements or individual privacy expectations</w:t>
            </w:r>
          </w:p>
        </w:tc>
        <w:tc>
          <w:tcPr>
            <w:tcW w:type="dxa" w:w="37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Encryption at rest and in transit; RBAC enforcement; access logging</w:t>
            </w:r>
          </w:p>
        </w:tc>
      </w:tr>
      <w:tr>
        <w:tc>
          <w:tcPr>
            <w:tcW w:type="dxa" w:w="1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Internal</w:t>
            </w:r>
          </w:p>
        </w:tc>
        <w:tc>
          <w:tcPr>
            <w:tcW w:type="dxa" w:w="3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Non-public organizational data not requiring special protection beyond access control</w:t>
            </w:r>
          </w:p>
        </w:tc>
        <w:tc>
          <w:tcPr>
            <w:tcW w:type="dxa" w:w="37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Access control; access logging</w:t>
            </w:r>
          </w:p>
        </w:tc>
      </w:tr>
      <w:tr>
        <w:tc>
          <w:tcPr>
            <w:tcW w:type="dxa" w:w="1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Public</w:t>
            </w:r>
          </w:p>
        </w:tc>
        <w:tc>
          <w:tcPr>
            <w:tcW w:type="dxa" w:w="3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Data explicitly authorized for unrestricted external disclosure</w:t>
            </w:r>
          </w:p>
        </w:tc>
        <w:tc>
          <w:tcPr>
            <w:tcW w:type="dxa" w:w="37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Integrity verification recommended</w:t>
            </w:r>
          </w:p>
        </w:tc>
      </w:tr>
    </w:tbl>
    <w:p>
      <w:pPr>
        <w:spacing w:before="200" w:after="60"/>
      </w:pPr>
      <w:r>
        <w:rPr>
          <w:rFonts w:ascii="Arial" w:cs="Arial" w:eastAsia="Arial" w:hAnsi="Arial"/>
          <w:b/>
          <w:bCs/>
          <w:i/>
          <w:iCs/>
          <w:color w:val="2C2C3E"/>
          <w:sz w:val="22"/>
          <w:szCs w:val="22"/>
        </w:rPr>
        <w:t xml:space="preserve">6.3.2 Data Residency Declaration — [L2 Mandatory]</w:t>
      </w:r>
    </w:p>
    <w:p>
      <w:pPr>
        <w:pStyle w:val="ListParagraph"/>
        <w:numPr>
          <w:ilvl w:val="0"/>
          <w:numId w:val="2"/>
        </w:numPr>
        <w:spacing w:before="40" w:after="60"/>
      </w:pPr>
      <w:r>
        <w:rPr>
          <w:rFonts w:ascii="Arial" w:cs="Arial" w:eastAsia="Arial" w:hAnsi="Arial"/>
          <w:color w:val="2C2C3E"/>
          <w:sz w:val="20"/>
          <w:szCs w:val="20"/>
        </w:rPr>
        <w:t xml:space="preserve">Implementing organizations MUST formally declare where all data categories are stored, processed, and transmitted.</w:t>
      </w:r>
    </w:p>
    <w:p>
      <w:pPr>
        <w:pStyle w:val="ListParagraph"/>
        <w:numPr>
          <w:ilvl w:val="0"/>
          <w:numId w:val="2"/>
        </w:numPr>
        <w:spacing w:before="40" w:after="60"/>
      </w:pPr>
      <w:r>
        <w:rPr>
          <w:rFonts w:ascii="Arial" w:cs="Arial" w:eastAsia="Arial" w:hAnsi="Arial"/>
          <w:color w:val="2C2C3E"/>
          <w:sz w:val="20"/>
          <w:szCs w:val="20"/>
        </w:rPr>
        <w:t xml:space="preserve">Jurisdictional data residency constraints applicable to the deployment context MUST be identified and addressed in the declaration.</w:t>
      </w:r>
    </w:p>
    <w:p>
      <w:pPr>
        <w:pStyle w:val="ListParagraph"/>
        <w:numPr>
          <w:ilvl w:val="0"/>
          <w:numId w:val="2"/>
        </w:numPr>
        <w:spacing w:before="40" w:after="60"/>
      </w:pPr>
      <w:r>
        <w:rPr>
          <w:rFonts w:ascii="Arial" w:cs="Arial" w:eastAsia="Arial" w:hAnsi="Arial"/>
          <w:color w:val="2C2C3E"/>
          <w:sz w:val="20"/>
          <w:szCs w:val="20"/>
        </w:rPr>
        <w:t xml:space="preserve">Any change to declared data residency MUST trigger a data governance review and update of the declaration.</w:t>
      </w:r>
    </w:p>
    <w:p>
      <w:pPr>
        <w:spacing w:before="200" w:after="60"/>
      </w:pPr>
      <w:r>
        <w:rPr>
          <w:rFonts w:ascii="Arial" w:cs="Arial" w:eastAsia="Arial" w:hAnsi="Arial"/>
          <w:b/>
          <w:bCs/>
          <w:i/>
          <w:iCs/>
          <w:color w:val="2C2C3E"/>
          <w:sz w:val="22"/>
          <w:szCs w:val="22"/>
        </w:rPr>
        <w:t xml:space="preserve">6.3.3 Inference Boundary Control — [L2 Mandatory]</w:t>
      </w:r>
    </w:p>
    <w:p>
      <w:pPr>
        <w:spacing w:before="60" w:after="100"/>
      </w:pPr>
      <w:r>
        <w:rPr>
          <w:rFonts w:ascii="Arial" w:cs="Arial" w:eastAsia="Arial" w:hAnsi="Arial"/>
          <w:b w:val="false"/>
          <w:bCs w:val="false"/>
          <w:i w:val="false"/>
          <w:iCs w:val="false"/>
          <w:color w:val="2C2C3E"/>
          <w:sz w:val="20"/>
          <w:szCs w:val="20"/>
        </w:rPr>
        <w:t xml:space="preserve">The inference boundary — the perimeter within which user data is processed by the AI model — MUST be explicitly defined and controlled. Implementing organizations MUST select and document one of the following inference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Inference Model</w:t>
            </w:r>
          </w:p>
        </w:tc>
        <w:tc>
          <w:tcPr>
            <w:tcW w:type="dxa" w:w="3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c>
          <w:tcPr>
            <w:tcW w:type="dxa" w:w="39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Additional Requirements</w:t>
            </w:r>
          </w:p>
        </w:tc>
      </w:tr>
      <w:tr>
        <w:tc>
          <w:tcPr>
            <w:tcW w:type="dxa" w:w="2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Local Inference</w:t>
            </w:r>
          </w:p>
        </w:tc>
        <w:tc>
          <w:tcPr>
            <w:tcW w:type="dxa" w:w="3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Model executes within organizational infrastructure boundaries</w:t>
            </w:r>
          </w:p>
        </w:tc>
        <w:tc>
          <w:tcPr>
            <w:tcW w:type="dxa" w:w="39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Compute resource documentation; model version management; update governance</w:t>
            </w:r>
          </w:p>
        </w:tc>
      </w:tr>
      <w:tr>
        <w:tc>
          <w:tcPr>
            <w:tcW w:type="dxa" w:w="2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External API Inference</w:t>
            </w:r>
          </w:p>
        </w:tc>
        <w:tc>
          <w:tcPr>
            <w:tcW w:type="dxa" w:w="3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Prompts transmitted to third-party model provider</w:t>
            </w:r>
          </w:p>
        </w:tc>
        <w:tc>
          <w:tcPr>
            <w:tcW w:type="dxa" w:w="39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Contractual data protection terms with provider; zero-retention clause; user disclosure of external transmission; BAA where PHI is involved</w:t>
            </w:r>
          </w:p>
        </w:tc>
      </w:tr>
      <w:tr>
        <w:tc>
          <w:tcPr>
            <w:tcW w:type="dxa" w:w="2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Hybrid Inference</w:t>
            </w:r>
          </w:p>
        </w:tc>
        <w:tc>
          <w:tcPr>
            <w:tcW w:type="dxa" w:w="3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Tiered routing — sensitive data to local inference, general queries to external provider</w:t>
            </w:r>
          </w:p>
        </w:tc>
        <w:tc>
          <w:tcPr>
            <w:tcW w:type="dxa" w:w="39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Routing logic documented and enforced; audit trail capturing which inference path each output used</w:t>
            </w:r>
          </w:p>
        </w:tc>
      </w:tr>
    </w:tbl>
    <w:p>
      <w:pPr>
        <w:spacing w:before="200" w:after="60"/>
      </w:pPr>
      <w:r>
        <w:rPr>
          <w:rFonts w:ascii="Arial" w:cs="Arial" w:eastAsia="Arial" w:hAnsi="Arial"/>
          <w:b/>
          <w:bCs/>
          <w:i/>
          <w:iCs/>
          <w:color w:val="2C2C3E"/>
          <w:sz w:val="22"/>
          <w:szCs w:val="22"/>
        </w:rPr>
        <w:t xml:space="preserve">6.3.4 Encryption Requirements — [L1 Mandatory]</w:t>
      </w:r>
    </w:p>
    <w:p>
      <w:pPr>
        <w:pStyle w:val="ListParagraph"/>
        <w:numPr>
          <w:ilvl w:val="0"/>
          <w:numId w:val="2"/>
        </w:numPr>
        <w:spacing w:before="40" w:after="60"/>
      </w:pPr>
      <w:r>
        <w:rPr>
          <w:rFonts w:ascii="Arial" w:cs="Arial" w:eastAsia="Arial" w:hAnsi="Arial"/>
          <w:color w:val="2C2C3E"/>
          <w:sz w:val="20"/>
          <w:szCs w:val="20"/>
        </w:rPr>
        <w:t xml:space="preserve">Restricted and Sensitive data MUST be encrypted at rest using a current industry-standard symmetric encryption algorithm (minimum AES-256 or equivalent).</w:t>
      </w:r>
    </w:p>
    <w:p>
      <w:pPr>
        <w:pStyle w:val="ListParagraph"/>
        <w:numPr>
          <w:ilvl w:val="0"/>
          <w:numId w:val="2"/>
        </w:numPr>
        <w:spacing w:before="40" w:after="60"/>
      </w:pPr>
      <w:r>
        <w:rPr>
          <w:rFonts w:ascii="Arial" w:cs="Arial" w:eastAsia="Arial" w:hAnsi="Arial"/>
          <w:color w:val="2C2C3E"/>
          <w:sz w:val="20"/>
          <w:szCs w:val="20"/>
        </w:rPr>
        <w:t xml:space="preserve">Restricted and Sensitive data MUST be encrypted in transit using TLS 1.2 or above; TLS 1.3 is STRONGLY RECOMMENDED.</w:t>
      </w:r>
    </w:p>
    <w:p>
      <w:pPr>
        <w:pStyle w:val="ListParagraph"/>
        <w:numPr>
          <w:ilvl w:val="0"/>
          <w:numId w:val="2"/>
        </w:numPr>
        <w:spacing w:before="40" w:after="60"/>
      </w:pPr>
      <w:r>
        <w:rPr>
          <w:rFonts w:ascii="Arial" w:cs="Arial" w:eastAsia="Arial" w:hAnsi="Arial"/>
          <w:color w:val="2C2C3E"/>
          <w:sz w:val="20"/>
          <w:szCs w:val="20"/>
        </w:rPr>
        <w:t xml:space="preserve">Encryption key management procedures MUST be documented, including key rotation cadence, access controls, and backup procedures.</w:t>
      </w:r>
    </w:p>
    <w:p>
      <w:pPr>
        <w:spacing w:before="200" w:after="60"/>
      </w:pPr>
      <w:r>
        <w:rPr>
          <w:rFonts w:ascii="Arial" w:cs="Arial" w:eastAsia="Arial" w:hAnsi="Arial"/>
          <w:b/>
          <w:bCs/>
          <w:i/>
          <w:iCs/>
          <w:color w:val="2C2C3E"/>
          <w:sz w:val="22"/>
          <w:szCs w:val="22"/>
        </w:rPr>
        <w:t xml:space="preserve">6.3.5 Role-Based Access Control — [L1 Mandatory]</w:t>
      </w:r>
    </w:p>
    <w:p>
      <w:pPr>
        <w:pStyle w:val="ListParagraph"/>
        <w:numPr>
          <w:ilvl w:val="0"/>
          <w:numId w:val="2"/>
        </w:numPr>
        <w:spacing w:before="40" w:after="60"/>
      </w:pPr>
      <w:r>
        <w:rPr>
          <w:rFonts w:ascii="Arial" w:cs="Arial" w:eastAsia="Arial" w:hAnsi="Arial"/>
          <w:color w:val="2C2C3E"/>
          <w:sz w:val="20"/>
          <w:szCs w:val="20"/>
        </w:rPr>
        <w:t xml:space="preserve">All access to Restricted and Sensitive data MUST be governed by role-based access control with least-privilege enforcement.</w:t>
      </w:r>
    </w:p>
    <w:p>
      <w:pPr>
        <w:pStyle w:val="ListParagraph"/>
        <w:numPr>
          <w:ilvl w:val="0"/>
          <w:numId w:val="2"/>
        </w:numPr>
        <w:spacing w:before="40" w:after="60"/>
      </w:pPr>
      <w:r>
        <w:rPr>
          <w:rFonts w:ascii="Arial" w:cs="Arial" w:eastAsia="Arial" w:hAnsi="Arial"/>
          <w:color w:val="2C2C3E"/>
          <w:sz w:val="20"/>
          <w:szCs w:val="20"/>
        </w:rPr>
        <w:t xml:space="preserve">Access rights MUST be reviewed at minimum annually and upon personnel role changes.</w:t>
      </w:r>
    </w:p>
    <w:p>
      <w:pPr>
        <w:pStyle w:val="ListParagraph"/>
        <w:numPr>
          <w:ilvl w:val="0"/>
          <w:numId w:val="2"/>
        </w:numPr>
        <w:spacing w:before="40" w:after="60"/>
      </w:pPr>
      <w:r>
        <w:rPr>
          <w:rFonts w:ascii="Arial" w:cs="Arial" w:eastAsia="Arial" w:hAnsi="Arial"/>
          <w:color w:val="2C2C3E"/>
          <w:sz w:val="20"/>
          <w:szCs w:val="20"/>
        </w:rPr>
        <w:t xml:space="preserve">Access provisioning and deprovisioning MUST be documented with an approval trail.</w:t>
      </w:r>
    </w:p>
    <w:p>
      <w:pPr>
        <w:pStyle w:val="Heading3"/>
        <w:spacing w:before="240" w:after="80"/>
      </w:pPr>
      <w:r>
        <w:rPr>
          <w:rFonts w:ascii="Arial" w:cs="Arial" w:eastAsia="Arial" w:hAnsi="Arial"/>
          <w:b/>
          <w:bCs/>
          <w:color w:val="4A7DB5"/>
          <w:sz w:val="24"/>
          <w:szCs w:val="24"/>
        </w:rPr>
        <w:t xml:space="preserve">6.4 Evidence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360"/>
        <w:gridCol w:w="2000"/>
      </w:tblGrid>
      <w:tr>
        <w:trPr>
          <w:tblHeader/>
        </w:trPr>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Artifact</w:t>
            </w:r>
          </w:p>
        </w:tc>
        <w:tc>
          <w:tcPr>
            <w:tcW w:type="dxa" w:w="3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1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Retention</w:t>
            </w:r>
          </w:p>
        </w:tc>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 From</w:t>
            </w:r>
          </w:p>
        </w:tc>
      </w:tr>
      <w:tr>
        <w:tc>
          <w:tcPr>
            <w:tcW w:type="dxa" w:w="26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Data Classification Model</w:t>
            </w:r>
          </w:p>
        </w:tc>
        <w:tc>
          <w:tcPr>
            <w:tcW w:type="dxa" w:w="3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Formal classification tier definitions and handling requirements for each tier</w:t>
            </w:r>
          </w:p>
        </w:tc>
        <w:tc>
          <w:tcPr>
            <w:tcW w:type="dxa" w:w="1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Current</w:t>
            </w:r>
          </w:p>
        </w:tc>
        <w:tc>
          <w:tcPr>
            <w:tcW w:type="dxa" w:w="2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L1</w:t>
            </w:r>
          </w:p>
        </w:tc>
      </w:tr>
      <w:tr>
        <w:tc>
          <w:tcPr>
            <w:tcW w:type="dxa" w:w="26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Data Residency Declaration</w:t>
            </w:r>
          </w:p>
        </w:tc>
        <w:tc>
          <w:tcPr>
            <w:tcW w:type="dxa" w:w="3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Formal declaration of storage, processing, and transmission locations for all data categories</w:t>
            </w:r>
          </w:p>
        </w:tc>
        <w:tc>
          <w:tcPr>
            <w:tcW w:type="dxa" w:w="1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Current + 2 years</w:t>
            </w:r>
          </w:p>
        </w:tc>
        <w:tc>
          <w:tcPr>
            <w:tcW w:type="dxa" w:w="2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L2</w:t>
            </w:r>
          </w:p>
        </w:tc>
      </w:tr>
      <w:tr>
        <w:tc>
          <w:tcPr>
            <w:tcW w:type="dxa" w:w="26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Inference Boundary Documentation</w:t>
            </w:r>
          </w:p>
        </w:tc>
        <w:tc>
          <w:tcPr>
            <w:tcW w:type="dxa" w:w="3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Architecture document specifying inference model selection, routing logic, and provider agreements</w:t>
            </w:r>
          </w:p>
        </w:tc>
        <w:tc>
          <w:tcPr>
            <w:tcW w:type="dxa" w:w="1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Current + 2 years</w:t>
            </w:r>
          </w:p>
        </w:tc>
        <w:tc>
          <w:tcPr>
            <w:tcW w:type="dxa" w:w="2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L2</w:t>
            </w:r>
          </w:p>
        </w:tc>
      </w:tr>
      <w:tr>
        <w:tc>
          <w:tcPr>
            <w:tcW w:type="dxa" w:w="26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Encryption Configuration Records</w:t>
            </w:r>
          </w:p>
        </w:tc>
        <w:tc>
          <w:tcPr>
            <w:tcW w:type="dxa" w:w="3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Technical documentation of encryption implementation at rest and in transit, with key management procedures</w:t>
            </w:r>
          </w:p>
        </w:tc>
        <w:tc>
          <w:tcPr>
            <w:tcW w:type="dxa" w:w="1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Current</w:t>
            </w:r>
          </w:p>
        </w:tc>
        <w:tc>
          <w:tcPr>
            <w:tcW w:type="dxa" w:w="2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L1</w:t>
            </w:r>
          </w:p>
        </w:tc>
      </w:tr>
      <w:tr>
        <w:tc>
          <w:tcPr>
            <w:tcW w:type="dxa" w:w="26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RBAC Configuration Records</w:t>
            </w:r>
          </w:p>
        </w:tc>
        <w:tc>
          <w:tcPr>
            <w:tcW w:type="dxa" w:w="3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Role definitions, access rights assignments, and access review records</w:t>
            </w:r>
          </w:p>
        </w:tc>
        <w:tc>
          <w:tcPr>
            <w:tcW w:type="dxa" w:w="1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Current + 2 years</w:t>
            </w:r>
          </w:p>
        </w:tc>
        <w:tc>
          <w:tcPr>
            <w:tcW w:type="dxa" w:w="2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L1</w:t>
            </w:r>
          </w:p>
        </w:tc>
      </w:tr>
      <w:tr>
        <w:tc>
          <w:tcPr>
            <w:tcW w:type="dxa" w:w="26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Data Retention and Deletion Policy</w:t>
            </w:r>
          </w:p>
        </w:tc>
        <w:tc>
          <w:tcPr>
            <w:tcW w:type="dxa" w:w="3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Documented retention periods and deletion procedures by data category</w:t>
            </w:r>
          </w:p>
        </w:tc>
        <w:tc>
          <w:tcPr>
            <w:tcW w:type="dxa" w:w="1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Current</w:t>
            </w:r>
          </w:p>
        </w:tc>
        <w:tc>
          <w:tcPr>
            <w:tcW w:type="dxa" w:w="2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L2</w:t>
            </w:r>
          </w:p>
        </w:tc>
      </w:tr>
    </w:tbl>
    <w:p>
      <w:pPr>
        <w:pStyle w:val="Heading3"/>
        <w:spacing w:before="240" w:after="80"/>
      </w:pPr>
      <w:r>
        <w:rPr>
          <w:rFonts w:ascii="Arial" w:cs="Arial" w:eastAsia="Arial" w:hAnsi="Arial"/>
          <w:b/>
          <w:bCs/>
          <w:color w:val="4A7DB5"/>
          <w:sz w:val="24"/>
          <w:szCs w:val="24"/>
        </w:rPr>
        <w:t xml:space="preserve">6.5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Failure Mode</w:t>
            </w:r>
          </w:p>
        </w:tc>
        <w:tc>
          <w:tcPr>
            <w:tcW w:type="dxa" w:w="4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c>
          <w:tcPr>
            <w:tcW w:type="dxa" w:w="2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r>
      <w:tr>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Undeclared Data Flows</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AI inference pipeline transmits data to undocumented external endpoints</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Critical — Certification Failure</w:t>
            </w:r>
          </w:p>
        </w:tc>
      </w:tr>
      <w:tr>
        <w:tc>
          <w:tcPr>
            <w:tcW w:type="dxa" w:w="2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Encryption Gap</w:t>
            </w:r>
          </w:p>
        </w:tc>
        <w:tc>
          <w:tcPr>
            <w:tcW w:type="dxa" w:w="4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Restricted or Sensitive data stored or transmitted without required encryption</w:t>
            </w:r>
          </w:p>
        </w:tc>
        <w:tc>
          <w:tcPr>
            <w:tcW w:type="dxa" w:w="2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Critical — Certification Failure</w:t>
            </w:r>
          </w:p>
        </w:tc>
      </w:tr>
      <w:tr>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Inference Boundary Violation</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Restricted data transmitted to external model API without contractual zero-retention agreement</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Critical — Certification Failure</w:t>
            </w:r>
          </w:p>
        </w:tc>
      </w:tr>
      <w:tr>
        <w:tc>
          <w:tcPr>
            <w:tcW w:type="dxa" w:w="2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Access Control Bypass</w:t>
            </w:r>
          </w:p>
        </w:tc>
        <w:tc>
          <w:tcPr>
            <w:tcW w:type="dxa" w:w="4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Data access occurs outside documented RBAC controls without exception record</w:t>
            </w:r>
          </w:p>
        </w:tc>
        <w:tc>
          <w:tcPr>
            <w:tcW w:type="dxa" w:w="2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Major — Remediation Required</w:t>
            </w:r>
          </w:p>
        </w:tc>
      </w:tr>
      <w:tr>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Undocumented Residency Change</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Data residency changes without governance review or declaration update</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Major — Remediation Required</w:t>
            </w:r>
          </w:p>
        </w:tc>
      </w:tr>
    </w:tbl>
    <w:p>
      <w:pPr>
        <w:pStyle w:val="Heading3"/>
        <w:spacing w:before="240" w:after="80"/>
      </w:pPr>
      <w:r>
        <w:rPr>
          <w:rFonts w:ascii="Arial" w:cs="Arial" w:eastAsia="Arial" w:hAnsi="Arial"/>
          <w:b/>
          <w:bCs/>
          <w:color w:val="4A7DB5"/>
          <w:sz w:val="24"/>
          <w:szCs w:val="24"/>
        </w:rPr>
        <w:t xml:space="preserve">6.6 Audit Evaluation Method</w:t>
      </w:r>
    </w:p>
    <w:p>
      <w:pPr>
        <w:pStyle w:val="ListParagraph"/>
        <w:numPr>
          <w:ilvl w:val="0"/>
          <w:numId w:val="3"/>
        </w:numPr>
        <w:spacing w:before="40" w:after="60"/>
      </w:pPr>
      <w:r>
        <w:rPr>
          <w:rFonts w:ascii="Arial" w:cs="Arial" w:eastAsia="Arial" w:hAnsi="Arial"/>
          <w:color w:val="2C2C3E"/>
          <w:sz w:val="20"/>
          <w:szCs w:val="20"/>
        </w:rPr>
        <w:t xml:space="preserve">Review Data Classification Model for completeness and clarity of tier definitions.</w:t>
      </w:r>
    </w:p>
    <w:p>
      <w:pPr>
        <w:pStyle w:val="ListParagraph"/>
        <w:numPr>
          <w:ilvl w:val="0"/>
          <w:numId w:val="3"/>
        </w:numPr>
        <w:spacing w:before="40" w:after="60"/>
      </w:pPr>
      <w:r>
        <w:rPr>
          <w:rFonts w:ascii="Arial" w:cs="Arial" w:eastAsia="Arial" w:hAnsi="Arial"/>
          <w:color w:val="2C2C3E"/>
          <w:sz w:val="20"/>
          <w:szCs w:val="20"/>
        </w:rPr>
        <w:t xml:space="preserve">Review Data Residency Declaration. Cross-reference with system architecture diagram to confirm all documented data flows are accounted for.</w:t>
      </w:r>
    </w:p>
    <w:p>
      <w:pPr>
        <w:pStyle w:val="ListParagraph"/>
        <w:numPr>
          <w:ilvl w:val="0"/>
          <w:numId w:val="3"/>
        </w:numPr>
        <w:spacing w:before="40" w:after="60"/>
      </w:pPr>
      <w:r>
        <w:rPr>
          <w:rFonts w:ascii="Arial" w:cs="Arial" w:eastAsia="Arial" w:hAnsi="Arial"/>
          <w:color w:val="2C2C3E"/>
          <w:sz w:val="20"/>
          <w:szCs w:val="20"/>
        </w:rPr>
        <w:t xml:space="preserve">Review Inference Boundary Documentation. For External API inference, confirm contractual data protection terms and zero-retention clauses are in force.</w:t>
      </w:r>
    </w:p>
    <w:p>
      <w:pPr>
        <w:pStyle w:val="ListParagraph"/>
        <w:numPr>
          <w:ilvl w:val="0"/>
          <w:numId w:val="3"/>
        </w:numPr>
        <w:spacing w:before="40" w:after="60"/>
      </w:pPr>
      <w:r>
        <w:rPr>
          <w:rFonts w:ascii="Arial" w:cs="Arial" w:eastAsia="Arial" w:hAnsi="Arial"/>
          <w:color w:val="2C2C3E"/>
          <w:sz w:val="20"/>
          <w:szCs w:val="20"/>
        </w:rPr>
        <w:t xml:space="preserve">Review encryption configuration records. Confirm applicable standards are met for data at rest and in transit.</w:t>
      </w:r>
    </w:p>
    <w:p>
      <w:pPr>
        <w:pStyle w:val="ListParagraph"/>
        <w:numPr>
          <w:ilvl w:val="0"/>
          <w:numId w:val="3"/>
        </w:numPr>
        <w:spacing w:before="40" w:after="60"/>
      </w:pPr>
      <w:r>
        <w:rPr>
          <w:rFonts w:ascii="Arial" w:cs="Arial" w:eastAsia="Arial" w:hAnsi="Arial"/>
          <w:color w:val="2C2C3E"/>
          <w:sz w:val="20"/>
          <w:szCs w:val="20"/>
        </w:rPr>
        <w:t xml:space="preserve">Sample access control records. Confirm RBAC enforcement and verify access review was conducted within the required cadence.</w:t>
      </w:r>
    </w:p>
    <w:p>
      <w:pPr>
        <w:spacing w:before="0" w:after="80"/>
      </w:pPr>
      <w:r>
        <w:t xml:space="preserve"/>
      </w:r>
    </w:p>
    <w:p>
      <w:r>
        <w:br w:type="page"/>
      </w:r>
    </w:p>
    <w:p>
      <w:pPr>
        <w:pStyle w:val="Heading2"/>
        <w:spacing w:before="360" w:after="120"/>
      </w:pPr>
      <w:r>
        <w:rPr>
          <w:rFonts w:ascii="Arial" w:cs="Arial" w:eastAsia="Arial" w:hAnsi="Arial"/>
          <w:b/>
          <w:bCs/>
          <w:color w:val="2D5FA0"/>
          <w:sz w:val="28"/>
          <w:szCs w:val="28"/>
        </w:rPr>
        <w:t xml:space="preserve">7. Domain D4 — Deployment Containment</w:t>
      </w:r>
    </w:p>
    <w:p>
      <w:pPr>
        <w:pStyle w:val="Heading3"/>
        <w:spacing w:before="240" w:after="80"/>
      </w:pPr>
      <w:r>
        <w:rPr>
          <w:rFonts w:ascii="Arial" w:cs="Arial" w:eastAsia="Arial" w:hAnsi="Arial"/>
          <w:b/>
          <w:bCs/>
          <w:color w:val="4A7DB5"/>
          <w:sz w:val="24"/>
          <w:szCs w:val="24"/>
        </w:rPr>
        <w:t xml:space="preserve">7.1 Purpose</w:t>
      </w:r>
    </w:p>
    <w:p>
      <w:pPr>
        <w:spacing w:before="60" w:after="100"/>
      </w:pPr>
      <w:r>
        <w:rPr>
          <w:rFonts w:ascii="Arial" w:cs="Arial" w:eastAsia="Arial" w:hAnsi="Arial"/>
          <w:b w:val="false"/>
          <w:bCs w:val="false"/>
          <w:i w:val="false"/>
          <w:iCs w:val="false"/>
          <w:color w:val="2C2C3E"/>
          <w:sz w:val="20"/>
          <w:szCs w:val="20"/>
        </w:rPr>
        <w:t xml:space="preserve">Domain D4 ensures that AI systems operate within controlled infrastructure boundaries with documented dependencies, enforced environment separation, and tested operational continuity plans. Deployment Containment prevents undocumented external data flows, limits attack surface through dependency transparency, and ensures recovery capability commensurate with deployment risk level.</w:t>
      </w:r>
    </w:p>
    <w:p>
      <w:pPr>
        <w:pStyle w:val="Heading3"/>
        <w:spacing w:before="240" w:after="80"/>
      </w:pPr>
      <w:r>
        <w:rPr>
          <w:rFonts w:ascii="Arial" w:cs="Arial" w:eastAsia="Arial" w:hAnsi="Arial"/>
          <w:b/>
          <w:bCs/>
          <w:color w:val="4A7DB5"/>
          <w:sz w:val="24"/>
          <w:szCs w:val="24"/>
        </w:rPr>
        <w:t xml:space="preserve">7.2 Control Objectives</w:t>
      </w:r>
    </w:p>
    <w:p>
      <w:pPr>
        <w:pStyle w:val="ListParagraph"/>
        <w:numPr>
          <w:ilvl w:val="0"/>
          <w:numId w:val="2"/>
        </w:numPr>
        <w:spacing w:before="40" w:after="60"/>
      </w:pPr>
      <w:r>
        <w:rPr>
          <w:rFonts w:ascii="Arial" w:cs="Arial" w:eastAsia="Arial" w:hAnsi="Arial"/>
          <w:color w:val="2C2C3E"/>
          <w:sz w:val="20"/>
          <w:szCs w:val="20"/>
        </w:rPr>
        <w:t xml:space="preserve">CO-D4-01: AI system deployment MUST maintain strict separation across development, staging, and production environments.</w:t>
      </w:r>
    </w:p>
    <w:p>
      <w:pPr>
        <w:pStyle w:val="ListParagraph"/>
        <w:numPr>
          <w:ilvl w:val="0"/>
          <w:numId w:val="2"/>
        </w:numPr>
        <w:spacing w:before="40" w:after="60"/>
      </w:pPr>
      <w:r>
        <w:rPr>
          <w:rFonts w:ascii="Arial" w:cs="Arial" w:eastAsia="Arial" w:hAnsi="Arial"/>
          <w:color w:val="2C2C3E"/>
          <w:sz w:val="20"/>
          <w:szCs w:val="20"/>
        </w:rPr>
        <w:t xml:space="preserve">CO-D4-02: All AI system dependencies MUST be inventoried, version-controlled, and assessed for compliance posture.</w:t>
      </w:r>
    </w:p>
    <w:p>
      <w:pPr>
        <w:pStyle w:val="ListParagraph"/>
        <w:numPr>
          <w:ilvl w:val="0"/>
          <w:numId w:val="2"/>
        </w:numPr>
        <w:spacing w:before="40" w:after="60"/>
      </w:pPr>
      <w:r>
        <w:rPr>
          <w:rFonts w:ascii="Arial" w:cs="Arial" w:eastAsia="Arial" w:hAnsi="Arial"/>
          <w:color w:val="2C2C3E"/>
          <w:sz w:val="20"/>
          <w:szCs w:val="20"/>
        </w:rPr>
        <w:t xml:space="preserve">CO-D4-03: Trust boundaries MUST be formally documented and enforced.</w:t>
      </w:r>
    </w:p>
    <w:p>
      <w:pPr>
        <w:pStyle w:val="ListParagraph"/>
        <w:numPr>
          <w:ilvl w:val="0"/>
          <w:numId w:val="2"/>
        </w:numPr>
        <w:spacing w:before="40" w:after="60"/>
      </w:pPr>
      <w:r>
        <w:rPr>
          <w:rFonts w:ascii="Arial" w:cs="Arial" w:eastAsia="Arial" w:hAnsi="Arial"/>
          <w:color w:val="2C2C3E"/>
          <w:sz w:val="20"/>
          <w:szCs w:val="20"/>
        </w:rPr>
        <w:t xml:space="preserve">CO-D4-04: Business continuity and disaster recovery capabilities MUST be documented, tested, and commensurate with the deployment risk classification.</w:t>
      </w:r>
    </w:p>
    <w:p>
      <w:pPr>
        <w:pStyle w:val="Heading3"/>
        <w:spacing w:before="240" w:after="80"/>
      </w:pPr>
      <w:r>
        <w:rPr>
          <w:rFonts w:ascii="Arial" w:cs="Arial" w:eastAsia="Arial" w:hAnsi="Arial"/>
          <w:b/>
          <w:bCs/>
          <w:color w:val="4A7DB5"/>
          <w:sz w:val="24"/>
          <w:szCs w:val="24"/>
        </w:rPr>
        <w:t xml:space="preserve">7.3 Mandatory Controls</w:t>
      </w:r>
    </w:p>
    <w:p>
      <w:pPr>
        <w:spacing w:before="200" w:after="60"/>
      </w:pPr>
      <w:r>
        <w:rPr>
          <w:rFonts w:ascii="Arial" w:cs="Arial" w:eastAsia="Arial" w:hAnsi="Arial"/>
          <w:b/>
          <w:bCs/>
          <w:i/>
          <w:iCs/>
          <w:color w:val="2C2C3E"/>
          <w:sz w:val="22"/>
          <w:szCs w:val="22"/>
        </w:rPr>
        <w:t xml:space="preserve">7.3.1 Environment Separation — [L2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rPr>
          <w:tblHeader/>
        </w:trPr>
        <w:tc>
          <w:tcPr>
            <w:tcW w:type="dxa" w:w="1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Environment</w:t>
            </w:r>
          </w:p>
        </w:tc>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Permitted</w:t>
            </w:r>
          </w:p>
        </w:tc>
        <w:tc>
          <w:tcPr>
            <w:tcW w:type="dxa" w:w="25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Change Control</w:t>
            </w:r>
          </w:p>
        </w:tc>
      </w:tr>
      <w:tr>
        <w:tc>
          <w:tcPr>
            <w:tcW w:type="dxa" w:w="16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Development</w:t>
            </w:r>
          </w:p>
        </w:tc>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Feature development and experimentation</w:t>
            </w:r>
          </w:p>
        </w:tc>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Synthetic data ONLY; production data MUST NOT be present</w:t>
            </w:r>
          </w:p>
        </w:tc>
        <w:tc>
          <w:tcPr>
            <w:tcW w:type="dxa" w:w="2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Not required; changes tracked in version control</w:t>
            </w:r>
          </w:p>
        </w:tc>
      </w:tr>
      <w:tr>
        <w:tc>
          <w:tcPr>
            <w:tcW w:type="dxa" w:w="16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Staging / Test</w:t>
            </w:r>
          </w:p>
        </w:tc>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Pre-production validation with production-equivalent architecture</w:t>
            </w:r>
          </w:p>
        </w:tc>
        <w:tc>
          <w:tcPr>
            <w:tcW w:type="dxa" w:w="2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Anonymized or synthetic data ONLY</w:t>
            </w:r>
          </w:p>
        </w:tc>
        <w:tc>
          <w:tcPr>
            <w:tcW w:type="dxa" w:w="2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Change approval SHOULD be required; test results documented</w:t>
            </w:r>
          </w:p>
        </w:tc>
      </w:tr>
      <w:tr>
        <w:tc>
          <w:tcPr>
            <w:tcW w:type="dxa" w:w="16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Production</w:t>
            </w:r>
          </w:p>
        </w:tc>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Live deployment with full security controls and monitoring</w:t>
            </w:r>
          </w:p>
        </w:tc>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Production data with all applicable access controls enforced</w:t>
            </w:r>
          </w:p>
        </w:tc>
        <w:tc>
          <w:tcPr>
            <w:tcW w:type="dxa" w:w="2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Formal change control approval MUST be required for all changes</w:t>
            </w:r>
          </w:p>
        </w:tc>
      </w:tr>
    </w:tbl>
    <w:p>
      <w:pPr>
        <w:spacing w:before="60" w:after="100"/>
      </w:pPr>
      <w:r>
        <w:rPr>
          <w:rFonts w:ascii="Arial" w:cs="Arial" w:eastAsia="Arial" w:hAnsi="Arial"/>
          <w:b w:val="false"/>
          <w:bCs w:val="false"/>
          <w:i w:val="false"/>
          <w:iCs w:val="false"/>
          <w:color w:val="2C2C3E"/>
          <w:sz w:val="20"/>
          <w:szCs w:val="20"/>
        </w:rPr>
        <w:t xml:space="preserve">Cross-environment data flows from Production to Development or Staging MUST NOT occur unless explicitly documented and approved as an exception with compensating controls.</w:t>
      </w:r>
    </w:p>
    <w:p>
      <w:pPr>
        <w:spacing w:before="200" w:after="60"/>
      </w:pPr>
      <w:r>
        <w:rPr>
          <w:rFonts w:ascii="Arial" w:cs="Arial" w:eastAsia="Arial" w:hAnsi="Arial"/>
          <w:b/>
          <w:bCs/>
          <w:i/>
          <w:iCs/>
          <w:color w:val="2C2C3E"/>
          <w:sz w:val="22"/>
          <w:szCs w:val="22"/>
        </w:rPr>
        <w:t xml:space="preserve">7.3.2 Dependency Inventory — [L2 Mandatory]</w:t>
      </w:r>
    </w:p>
    <w:p>
      <w:pPr>
        <w:spacing w:before="60" w:after="100"/>
      </w:pPr>
      <w:r>
        <w:rPr>
          <w:rFonts w:ascii="Arial" w:cs="Arial" w:eastAsia="Arial" w:hAnsi="Arial"/>
          <w:b w:val="false"/>
          <w:bCs w:val="false"/>
          <w:i w:val="false"/>
          <w:iCs w:val="false"/>
          <w:color w:val="2C2C3E"/>
          <w:sz w:val="20"/>
          <w:szCs w:val="20"/>
        </w:rPr>
        <w:t xml:space="preserve">Implementing organizations MUST maintain a current Dependency Manifest documenting:</w:t>
      </w:r>
    </w:p>
    <w:p>
      <w:pPr>
        <w:pStyle w:val="ListParagraph"/>
        <w:numPr>
          <w:ilvl w:val="0"/>
          <w:numId w:val="2"/>
        </w:numPr>
        <w:spacing w:before="40" w:after="60"/>
      </w:pPr>
      <w:r>
        <w:rPr>
          <w:rFonts w:ascii="Arial" w:cs="Arial" w:eastAsia="Arial" w:hAnsi="Arial"/>
          <w:color w:val="2C2C3E"/>
          <w:sz w:val="20"/>
          <w:szCs w:val="20"/>
        </w:rPr>
        <w:t xml:space="preserve">Foundation model providers: name, version, data handling terms, applicable contractual agreements.</w:t>
      </w:r>
    </w:p>
    <w:p>
      <w:pPr>
        <w:pStyle w:val="ListParagraph"/>
        <w:numPr>
          <w:ilvl w:val="0"/>
          <w:numId w:val="2"/>
        </w:numPr>
        <w:spacing w:before="40" w:after="60"/>
      </w:pPr>
      <w:r>
        <w:rPr>
          <w:rFonts w:ascii="Arial" w:cs="Arial" w:eastAsia="Arial" w:hAnsi="Arial"/>
          <w:color w:val="2C2C3E"/>
          <w:sz w:val="20"/>
          <w:szCs w:val="20"/>
        </w:rPr>
        <w:t xml:space="preserve">Third-party libraries: name, version, license, known vulnerabilities, and update cadence.</w:t>
      </w:r>
    </w:p>
    <w:p>
      <w:pPr>
        <w:pStyle w:val="ListParagraph"/>
        <w:numPr>
          <w:ilvl w:val="0"/>
          <w:numId w:val="2"/>
        </w:numPr>
        <w:spacing w:before="40" w:after="60"/>
      </w:pPr>
      <w:r>
        <w:rPr>
          <w:rFonts w:ascii="Arial" w:cs="Arial" w:eastAsia="Arial" w:hAnsi="Arial"/>
          <w:color w:val="2C2C3E"/>
          <w:sz w:val="20"/>
          <w:szCs w:val="20"/>
        </w:rPr>
        <w:t xml:space="preserve">Infrastructure dependencies: compute, storage, network, and monitoring services.</w:t>
      </w:r>
    </w:p>
    <w:p>
      <w:pPr>
        <w:pStyle w:val="ListParagraph"/>
        <w:numPr>
          <w:ilvl w:val="0"/>
          <w:numId w:val="2"/>
        </w:numPr>
        <w:spacing w:before="40" w:after="60"/>
      </w:pPr>
      <w:r>
        <w:rPr>
          <w:rFonts w:ascii="Arial" w:cs="Arial" w:eastAsia="Arial" w:hAnsi="Arial"/>
          <w:color w:val="2C2C3E"/>
          <w:sz w:val="20"/>
          <w:szCs w:val="20"/>
        </w:rPr>
        <w:t xml:space="preserve">External APIs: purpose, data transmitted, and provider compliance posture.</w:t>
      </w:r>
    </w:p>
    <w:p>
      <w:pPr>
        <w:spacing w:before="60" w:after="100"/>
      </w:pPr>
      <w:r>
        <w:rPr>
          <w:rFonts w:ascii="Arial" w:cs="Arial" w:eastAsia="Arial" w:hAnsi="Arial"/>
          <w:b w:val="false"/>
          <w:bCs w:val="false"/>
          <w:i w:val="false"/>
          <w:iCs w:val="false"/>
          <w:color w:val="2C2C3E"/>
          <w:sz w:val="20"/>
          <w:szCs w:val="20"/>
        </w:rPr>
        <w:t xml:space="preserve">The Dependency Manifest MUST be updated within 30 days of any material dependency change.</w:t>
      </w:r>
    </w:p>
    <w:p>
      <w:pPr>
        <w:spacing w:before="200" w:after="60"/>
      </w:pPr>
      <w:r>
        <w:rPr>
          <w:rFonts w:ascii="Arial" w:cs="Arial" w:eastAsia="Arial" w:hAnsi="Arial"/>
          <w:b/>
          <w:bCs/>
          <w:i/>
          <w:iCs/>
          <w:color w:val="2C2C3E"/>
          <w:sz w:val="22"/>
          <w:szCs w:val="22"/>
        </w:rPr>
        <w:t xml:space="preserve">7.3.3 Trust Boundary Documentation — [L2 Mandatory]</w:t>
      </w:r>
    </w:p>
    <w:p>
      <w:pPr>
        <w:pStyle w:val="ListParagraph"/>
        <w:numPr>
          <w:ilvl w:val="0"/>
          <w:numId w:val="2"/>
        </w:numPr>
        <w:spacing w:before="40" w:after="60"/>
      </w:pPr>
      <w:r>
        <w:rPr>
          <w:rFonts w:ascii="Arial" w:cs="Arial" w:eastAsia="Arial" w:hAnsi="Arial"/>
          <w:color w:val="2C2C3E"/>
          <w:sz w:val="20"/>
          <w:szCs w:val="20"/>
        </w:rPr>
        <w:t xml:space="preserve">A Trust Boundary Diagram MUST document all internal and external system boundaries, data flows crossing those boundaries, and enforcement mechanisms at each boundary.</w:t>
      </w:r>
    </w:p>
    <w:p>
      <w:pPr>
        <w:pStyle w:val="ListParagraph"/>
        <w:numPr>
          <w:ilvl w:val="0"/>
          <w:numId w:val="2"/>
        </w:numPr>
        <w:spacing w:before="40" w:after="60"/>
      </w:pPr>
      <w:r>
        <w:rPr>
          <w:rFonts w:ascii="Arial" w:cs="Arial" w:eastAsia="Arial" w:hAnsi="Arial"/>
          <w:color w:val="2C2C3E"/>
          <w:sz w:val="20"/>
          <w:szCs w:val="20"/>
        </w:rPr>
        <w:t xml:space="preserve">All data flows crossing trust boundaries MUST be explicitly authorized; undocumented cross-boundary flows constitute a Domain D3 violation.</w:t>
      </w:r>
    </w:p>
    <w:p>
      <w:pPr>
        <w:spacing w:before="200" w:after="60"/>
      </w:pPr>
      <w:r>
        <w:rPr>
          <w:rFonts w:ascii="Arial" w:cs="Arial" w:eastAsia="Arial" w:hAnsi="Arial"/>
          <w:b/>
          <w:bCs/>
          <w:i/>
          <w:iCs/>
          <w:color w:val="2C2C3E"/>
          <w:sz w:val="22"/>
          <w:szCs w:val="22"/>
        </w:rPr>
        <w:t xml:space="preserve">7.3.4 Business Continuity and Disaster Recovery — [L3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Objective</w:t>
            </w:r>
          </w:p>
        </w:tc>
        <w:tc>
          <w:tcPr>
            <w:tcW w:type="dxa" w:w="3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c>
          <w:tcPr>
            <w:tcW w:type="dxa" w:w="29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L3 Target</w:t>
            </w:r>
          </w:p>
        </w:tc>
      </w:tr>
      <w:tr>
        <w:tc>
          <w:tcPr>
            <w:tcW w:type="dxa" w:w="26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RTO — Recovery Time Objective</w:t>
            </w:r>
          </w:p>
        </w:tc>
        <w:tc>
          <w:tcPr>
            <w:tcW w:type="dxa" w:w="3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Maximum time from failure detection to resumption of critical functions</w:t>
            </w:r>
          </w:p>
        </w:tc>
        <w:tc>
          <w:tcPr>
            <w:tcW w:type="dxa" w:w="29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&lt; 1 hour for safety-critical functions; &lt; 4 hours for core functions</w:t>
            </w:r>
          </w:p>
        </w:tc>
      </w:tr>
      <w:tr>
        <w:tc>
          <w:tcPr>
            <w:tcW w:type="dxa" w:w="26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RPO — Recovery Point Objective</w:t>
            </w:r>
          </w:p>
        </w:tc>
        <w:tc>
          <w:tcPr>
            <w:tcW w:type="dxa" w:w="3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Maximum acceptable data loss measured in time</w:t>
            </w:r>
          </w:p>
        </w:tc>
        <w:tc>
          <w:tcPr>
            <w:tcW w:type="dxa" w:w="29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&lt; 15 minutes for Restricted data; &lt; 1 hour for Sensitive data</w:t>
            </w:r>
          </w:p>
        </w:tc>
      </w:tr>
      <w:tr>
        <w:tc>
          <w:tcPr>
            <w:tcW w:type="dxa" w:w="26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Backup Frequency</w:t>
            </w:r>
          </w:p>
        </w:tc>
        <w:tc>
          <w:tcPr>
            <w:tcW w:type="dxa" w:w="3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Cadence of automated data backups</w:t>
            </w:r>
          </w:p>
        </w:tc>
        <w:tc>
          <w:tcPr>
            <w:tcW w:type="dxa" w:w="29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Transaction logs: every 15 minutes; Full backup: daily</w:t>
            </w:r>
          </w:p>
        </w:tc>
      </w:tr>
      <w:tr>
        <w:tc>
          <w:tcPr>
            <w:tcW w:type="dxa" w:w="26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Redundancy</w:t>
            </w:r>
          </w:p>
        </w:tc>
        <w:tc>
          <w:tcPr>
            <w:tcW w:type="dxa" w:w="3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Infrastructure duplication for fault tolerance</w:t>
            </w:r>
          </w:p>
        </w:tc>
        <w:tc>
          <w:tcPr>
            <w:tcW w:type="dxa" w:w="29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Active-active or active-passive with automated failover</w:t>
            </w:r>
          </w:p>
        </w:tc>
      </w:tr>
    </w:tbl>
    <w:p>
      <w:pPr>
        <w:pStyle w:val="ListParagraph"/>
        <w:numPr>
          <w:ilvl w:val="0"/>
          <w:numId w:val="2"/>
        </w:numPr>
        <w:spacing w:before="40" w:after="60"/>
      </w:pPr>
      <w:r>
        <w:rPr>
          <w:rFonts w:ascii="Arial" w:cs="Arial" w:eastAsia="Arial" w:hAnsi="Arial"/>
          <w:color w:val="2C2C3E"/>
          <w:sz w:val="20"/>
          <w:szCs w:val="20"/>
        </w:rPr>
        <w:t xml:space="preserve">A Business Continuity Plan MUST be documented, including manual escalation workflows for scenarios where automated escalation pathways are unavailable.</w:t>
      </w:r>
    </w:p>
    <w:p>
      <w:pPr>
        <w:pStyle w:val="ListParagraph"/>
        <w:numPr>
          <w:ilvl w:val="0"/>
          <w:numId w:val="2"/>
        </w:numPr>
        <w:spacing w:before="40" w:after="60"/>
      </w:pPr>
      <w:r>
        <w:rPr>
          <w:rFonts w:ascii="Arial" w:cs="Arial" w:eastAsia="Arial" w:hAnsi="Arial"/>
          <w:color w:val="2C2C3E"/>
          <w:sz w:val="20"/>
          <w:szCs w:val="20"/>
        </w:rPr>
        <w:t xml:space="preserve">Disaster recovery procedures MUST be tested at minimum annually, with test results documented.</w:t>
      </w:r>
    </w:p>
    <w:p>
      <w:pPr>
        <w:pStyle w:val="Heading3"/>
        <w:spacing w:before="240" w:after="80"/>
      </w:pPr>
      <w:r>
        <w:rPr>
          <w:rFonts w:ascii="Arial" w:cs="Arial" w:eastAsia="Arial" w:hAnsi="Arial"/>
          <w:b/>
          <w:bCs/>
          <w:color w:val="4A7DB5"/>
          <w:sz w:val="24"/>
          <w:szCs w:val="24"/>
        </w:rPr>
        <w:t xml:space="preserve">7.4 Evidence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360"/>
        <w:gridCol w:w="2000"/>
      </w:tblGrid>
      <w:tr>
        <w:trPr>
          <w:tblHeader/>
        </w:trPr>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Artifact</w:t>
            </w:r>
          </w:p>
        </w:tc>
        <w:tc>
          <w:tcPr>
            <w:tcW w:type="dxa" w:w="3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1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Retention</w:t>
            </w:r>
          </w:p>
        </w:tc>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 From</w:t>
            </w:r>
          </w:p>
        </w:tc>
      </w:tr>
      <w:tr>
        <w:tc>
          <w:tcPr>
            <w:tcW w:type="dxa" w:w="26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Environment Separation Documentation</w:t>
            </w:r>
          </w:p>
        </w:tc>
        <w:tc>
          <w:tcPr>
            <w:tcW w:type="dxa" w:w="3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Architecture records demonstrating separate Dev / Stage / Prod environments with enforced data controls</w:t>
            </w:r>
          </w:p>
        </w:tc>
        <w:tc>
          <w:tcPr>
            <w:tcW w:type="dxa" w:w="1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Current</w:t>
            </w:r>
          </w:p>
        </w:tc>
        <w:tc>
          <w:tcPr>
            <w:tcW w:type="dxa" w:w="2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L2</w:t>
            </w:r>
          </w:p>
        </w:tc>
      </w:tr>
      <w:tr>
        <w:tc>
          <w:tcPr>
            <w:tcW w:type="dxa" w:w="26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Dependency Manifest</w:t>
            </w:r>
          </w:p>
        </w:tc>
        <w:tc>
          <w:tcPr>
            <w:tcW w:type="dxa" w:w="3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Current inventory of all dependencies with version, licensing, and compliance information</w:t>
            </w:r>
          </w:p>
        </w:tc>
        <w:tc>
          <w:tcPr>
            <w:tcW w:type="dxa" w:w="1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Current + 2 years</w:t>
            </w:r>
          </w:p>
        </w:tc>
        <w:tc>
          <w:tcPr>
            <w:tcW w:type="dxa" w:w="2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L2</w:t>
            </w:r>
          </w:p>
        </w:tc>
      </w:tr>
      <w:tr>
        <w:tc>
          <w:tcPr>
            <w:tcW w:type="dxa" w:w="26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Trust Boundary Diagram</w:t>
            </w:r>
          </w:p>
        </w:tc>
        <w:tc>
          <w:tcPr>
            <w:tcW w:type="dxa" w:w="3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Architecture diagram of system boundaries and cross-boundary data flows with enforcement mechanisms</w:t>
            </w:r>
          </w:p>
        </w:tc>
        <w:tc>
          <w:tcPr>
            <w:tcW w:type="dxa" w:w="1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Current + 2 years</w:t>
            </w:r>
          </w:p>
        </w:tc>
        <w:tc>
          <w:tcPr>
            <w:tcW w:type="dxa" w:w="2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L2</w:t>
            </w:r>
          </w:p>
        </w:tc>
      </w:tr>
      <w:tr>
        <w:tc>
          <w:tcPr>
            <w:tcW w:type="dxa" w:w="26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Business Continuity Plan</w:t>
            </w:r>
          </w:p>
        </w:tc>
        <w:tc>
          <w:tcPr>
            <w:tcW w:type="dxa" w:w="3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Documented RTO/RPO targets, backup strategy, recovery procedures, and manual workflow procedures</w:t>
            </w:r>
          </w:p>
        </w:tc>
        <w:tc>
          <w:tcPr>
            <w:tcW w:type="dxa" w:w="1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Current</w:t>
            </w:r>
          </w:p>
        </w:tc>
        <w:tc>
          <w:tcPr>
            <w:tcW w:type="dxa" w:w="2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L3</w:t>
            </w:r>
          </w:p>
        </w:tc>
      </w:tr>
      <w:tr>
        <w:tc>
          <w:tcPr>
            <w:tcW w:type="dxa" w:w="26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DR Test Records</w:t>
            </w:r>
          </w:p>
        </w:tc>
        <w:tc>
          <w:tcPr>
            <w:tcW w:type="dxa" w:w="3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Results of disaster recovery tests, including RTO/RPO achieved and identified gaps</w:t>
            </w:r>
          </w:p>
        </w:tc>
        <w:tc>
          <w:tcPr>
            <w:tcW w:type="dxa" w:w="1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Minimum 3 years</w:t>
            </w:r>
          </w:p>
        </w:tc>
        <w:tc>
          <w:tcPr>
            <w:tcW w:type="dxa" w:w="2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L3</w:t>
            </w:r>
          </w:p>
        </w:tc>
      </w:tr>
    </w:tbl>
    <w:p>
      <w:pPr>
        <w:pStyle w:val="Heading3"/>
        <w:spacing w:before="240" w:after="80"/>
      </w:pPr>
      <w:r>
        <w:rPr>
          <w:rFonts w:ascii="Arial" w:cs="Arial" w:eastAsia="Arial" w:hAnsi="Arial"/>
          <w:b/>
          <w:bCs/>
          <w:color w:val="4A7DB5"/>
          <w:sz w:val="24"/>
          <w:szCs w:val="24"/>
        </w:rPr>
        <w:t xml:space="preserve">7.5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Failure Mode</w:t>
            </w:r>
          </w:p>
        </w:tc>
        <w:tc>
          <w:tcPr>
            <w:tcW w:type="dxa" w:w="4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c>
          <w:tcPr>
            <w:tcW w:type="dxa" w:w="2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r>
      <w:tr>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Environment Contamination</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Production data present in Development or Staging environment without documented exception</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Critical — Certification Failure</w:t>
            </w:r>
          </w:p>
        </w:tc>
      </w:tr>
      <w:tr>
        <w:tc>
          <w:tcPr>
            <w:tcW w:type="dxa" w:w="2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Undocumented Dependency</w:t>
            </w:r>
          </w:p>
        </w:tc>
        <w:tc>
          <w:tcPr>
            <w:tcW w:type="dxa" w:w="4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Material dependency not present in Dependency Manifest</w:t>
            </w:r>
          </w:p>
        </w:tc>
        <w:tc>
          <w:tcPr>
            <w:tcW w:type="dxa" w:w="2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Major — Remediation Required</w:t>
            </w:r>
          </w:p>
        </w:tc>
      </w:tr>
      <w:tr>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Untested Recovery Procedures</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No documented DR test conducted within required cadence</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Major — Remediation Required at L3</w:t>
            </w:r>
          </w:p>
        </w:tc>
      </w:tr>
      <w:tr>
        <w:tc>
          <w:tcPr>
            <w:tcW w:type="dxa" w:w="2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RTO / RPO Target Breach in Test</w:t>
            </w:r>
          </w:p>
        </w:tc>
        <w:tc>
          <w:tcPr>
            <w:tcW w:type="dxa" w:w="4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Disaster recovery test demonstrates that RTO or RPO targets cannot be met under current architecture</w:t>
            </w:r>
          </w:p>
        </w:tc>
        <w:tc>
          <w:tcPr>
            <w:tcW w:type="dxa" w:w="2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Major — Remediation Plan Required</w:t>
            </w:r>
          </w:p>
        </w:tc>
      </w:tr>
    </w:tbl>
    <w:p>
      <w:pPr>
        <w:pStyle w:val="Heading3"/>
        <w:spacing w:before="240" w:after="80"/>
      </w:pPr>
      <w:r>
        <w:rPr>
          <w:rFonts w:ascii="Arial" w:cs="Arial" w:eastAsia="Arial" w:hAnsi="Arial"/>
          <w:b/>
          <w:bCs/>
          <w:color w:val="4A7DB5"/>
          <w:sz w:val="24"/>
          <w:szCs w:val="24"/>
        </w:rPr>
        <w:t xml:space="preserve">7.6 Audit Evaluation Method</w:t>
      </w:r>
    </w:p>
    <w:p>
      <w:pPr>
        <w:pStyle w:val="ListParagraph"/>
        <w:numPr>
          <w:ilvl w:val="0"/>
          <w:numId w:val="3"/>
        </w:numPr>
        <w:spacing w:before="40" w:after="60"/>
      </w:pPr>
      <w:r>
        <w:rPr>
          <w:rFonts w:ascii="Arial" w:cs="Arial" w:eastAsia="Arial" w:hAnsi="Arial"/>
          <w:color w:val="2C2C3E"/>
          <w:sz w:val="20"/>
          <w:szCs w:val="20"/>
        </w:rPr>
        <w:t xml:space="preserve">Review environment architecture documentation. Confirm that Development, Staging, and Production are structurally separated.</w:t>
      </w:r>
    </w:p>
    <w:p>
      <w:pPr>
        <w:pStyle w:val="ListParagraph"/>
        <w:numPr>
          <w:ilvl w:val="0"/>
          <w:numId w:val="3"/>
        </w:numPr>
        <w:spacing w:before="40" w:after="60"/>
      </w:pPr>
      <w:r>
        <w:rPr>
          <w:rFonts w:ascii="Arial" w:cs="Arial" w:eastAsia="Arial" w:hAnsi="Arial"/>
          <w:color w:val="2C2C3E"/>
          <w:sz w:val="20"/>
          <w:szCs w:val="20"/>
        </w:rPr>
        <w:t xml:space="preserve">Review Dependency Manifest for completeness. Cross-reference with system architecture to identify undocumented dependencies.</w:t>
      </w:r>
    </w:p>
    <w:p>
      <w:pPr>
        <w:pStyle w:val="ListParagraph"/>
        <w:numPr>
          <w:ilvl w:val="0"/>
          <w:numId w:val="3"/>
        </w:numPr>
        <w:spacing w:before="40" w:after="60"/>
      </w:pPr>
      <w:r>
        <w:rPr>
          <w:rFonts w:ascii="Arial" w:cs="Arial" w:eastAsia="Arial" w:hAnsi="Arial"/>
          <w:color w:val="2C2C3E"/>
          <w:sz w:val="20"/>
          <w:szCs w:val="20"/>
        </w:rPr>
        <w:t xml:space="preserve">Review Business Continuity Plan for RTO/RPO definition, backup procedures, and manual workflow documentation.</w:t>
      </w:r>
    </w:p>
    <w:p>
      <w:pPr>
        <w:pStyle w:val="ListParagraph"/>
        <w:numPr>
          <w:ilvl w:val="0"/>
          <w:numId w:val="3"/>
        </w:numPr>
        <w:spacing w:before="40" w:after="60"/>
      </w:pPr>
      <w:r>
        <w:rPr>
          <w:rFonts w:ascii="Arial" w:cs="Arial" w:eastAsia="Arial" w:hAnsi="Arial"/>
          <w:color w:val="2C2C3E"/>
          <w:sz w:val="20"/>
          <w:szCs w:val="20"/>
        </w:rPr>
        <w:t xml:space="preserve">Review DR test records. Confirm that tests were conducted within the required cadence and that documented results demonstrate RTO/RPO target achievement.</w:t>
      </w:r>
    </w:p>
    <w:p>
      <w:pPr>
        <w:spacing w:before="0" w:after="80"/>
      </w:pPr>
      <w:r>
        <w:t xml:space="preserve"/>
      </w:r>
    </w:p>
    <w:p>
      <w:r>
        <w:br w:type="page"/>
      </w:r>
    </w:p>
    <w:p>
      <w:pPr>
        <w:pStyle w:val="Heading2"/>
        <w:spacing w:before="360" w:after="120"/>
      </w:pPr>
      <w:r>
        <w:rPr>
          <w:rFonts w:ascii="Arial" w:cs="Arial" w:eastAsia="Arial" w:hAnsi="Arial"/>
          <w:b/>
          <w:bCs/>
          <w:color w:val="2D5FA0"/>
          <w:sz w:val="28"/>
          <w:szCs w:val="28"/>
        </w:rPr>
        <w:t xml:space="preserve">8. Domain D5 — Audit and Logging</w:t>
      </w:r>
    </w:p>
    <w:p>
      <w:pPr>
        <w:pStyle w:val="Heading3"/>
        <w:spacing w:before="240" w:after="80"/>
      </w:pPr>
      <w:r>
        <w:rPr>
          <w:rFonts w:ascii="Arial" w:cs="Arial" w:eastAsia="Arial" w:hAnsi="Arial"/>
          <w:b/>
          <w:bCs/>
          <w:color w:val="4A7DB5"/>
          <w:sz w:val="24"/>
          <w:szCs w:val="24"/>
        </w:rPr>
        <w:t xml:space="preserve">8.1 Purpose</w:t>
      </w:r>
    </w:p>
    <w:p>
      <w:pPr>
        <w:spacing w:before="60" w:after="100"/>
      </w:pPr>
      <w:r>
        <w:rPr>
          <w:rFonts w:ascii="Arial" w:cs="Arial" w:eastAsia="Arial" w:hAnsi="Arial"/>
          <w:b w:val="false"/>
          <w:bCs w:val="false"/>
          <w:i w:val="false"/>
          <w:iCs w:val="false"/>
          <w:color w:val="2C2C3E"/>
          <w:sz w:val="20"/>
          <w:szCs w:val="20"/>
        </w:rPr>
        <w:t xml:space="preserve">Domain D5 establishes requirements for tamper-evident audit logging, structured record retention, and the production of a complete institutional documentation package enabling qualified reviewers to assess system governance without live system access. Documentation Readiness is a foundational GAI-S principle: governance must be evidenced through documentation, not demonstrated through live system access.</w:t>
      </w:r>
    </w:p>
    <w:p>
      <w:pPr>
        <w:pStyle w:val="Heading3"/>
        <w:spacing w:before="240" w:after="80"/>
      </w:pPr>
      <w:r>
        <w:rPr>
          <w:rFonts w:ascii="Arial" w:cs="Arial" w:eastAsia="Arial" w:hAnsi="Arial"/>
          <w:b/>
          <w:bCs/>
          <w:color w:val="4A7DB5"/>
          <w:sz w:val="24"/>
          <w:szCs w:val="24"/>
        </w:rPr>
        <w:t xml:space="preserve">8.2 Control Objectives</w:t>
      </w:r>
    </w:p>
    <w:p>
      <w:pPr>
        <w:pStyle w:val="ListParagraph"/>
        <w:numPr>
          <w:ilvl w:val="0"/>
          <w:numId w:val="2"/>
        </w:numPr>
        <w:spacing w:before="40" w:after="60"/>
      </w:pPr>
      <w:r>
        <w:rPr>
          <w:rFonts w:ascii="Arial" w:cs="Arial" w:eastAsia="Arial" w:hAnsi="Arial"/>
          <w:color w:val="2C2C3E"/>
          <w:sz w:val="20"/>
          <w:szCs w:val="20"/>
        </w:rPr>
        <w:t xml:space="preserve">CO-D5-01: All governance-relevant system events MUST generate tamper-evident audit log records.</w:t>
      </w:r>
    </w:p>
    <w:p>
      <w:pPr>
        <w:pStyle w:val="ListParagraph"/>
        <w:numPr>
          <w:ilvl w:val="0"/>
          <w:numId w:val="2"/>
        </w:numPr>
        <w:spacing w:before="40" w:after="60"/>
      </w:pPr>
      <w:r>
        <w:rPr>
          <w:rFonts w:ascii="Arial" w:cs="Arial" w:eastAsia="Arial" w:hAnsi="Arial"/>
          <w:color w:val="2C2C3E"/>
          <w:sz w:val="20"/>
          <w:szCs w:val="20"/>
        </w:rPr>
        <w:t xml:space="preserve">CO-D5-02: Audit log records MUST be retained for defined periods commensurate with regulatory and governance requirements.</w:t>
      </w:r>
    </w:p>
    <w:p>
      <w:pPr>
        <w:pStyle w:val="ListParagraph"/>
        <w:numPr>
          <w:ilvl w:val="0"/>
          <w:numId w:val="2"/>
        </w:numPr>
        <w:spacing w:before="40" w:after="60"/>
      </w:pPr>
      <w:r>
        <w:rPr>
          <w:rFonts w:ascii="Arial" w:cs="Arial" w:eastAsia="Arial" w:hAnsi="Arial"/>
          <w:color w:val="2C2C3E"/>
          <w:sz w:val="20"/>
          <w:szCs w:val="20"/>
        </w:rPr>
        <w:t xml:space="preserve">CO-D5-03: The institutional documentation package MUST be sufficient to support independent audit review without live system access.</w:t>
      </w:r>
    </w:p>
    <w:p>
      <w:pPr>
        <w:pStyle w:val="ListParagraph"/>
        <w:numPr>
          <w:ilvl w:val="0"/>
          <w:numId w:val="2"/>
        </w:numPr>
        <w:spacing w:before="40" w:after="60"/>
      </w:pPr>
      <w:r>
        <w:rPr>
          <w:rFonts w:ascii="Arial" w:cs="Arial" w:eastAsia="Arial" w:hAnsi="Arial"/>
          <w:color w:val="2C2C3E"/>
          <w:sz w:val="20"/>
          <w:szCs w:val="20"/>
        </w:rPr>
        <w:t xml:space="preserve">CO-D5-04: Documentation MUST be maintained in a current state, updated within 30 days of material system changes.</w:t>
      </w:r>
    </w:p>
    <w:p>
      <w:pPr>
        <w:pStyle w:val="Heading3"/>
        <w:spacing w:before="240" w:after="80"/>
      </w:pPr>
      <w:r>
        <w:rPr>
          <w:rFonts w:ascii="Arial" w:cs="Arial" w:eastAsia="Arial" w:hAnsi="Arial"/>
          <w:b/>
          <w:bCs/>
          <w:color w:val="4A7DB5"/>
          <w:sz w:val="24"/>
          <w:szCs w:val="24"/>
        </w:rPr>
        <w:t xml:space="preserve">8.3 Mandatory Controls</w:t>
      </w:r>
    </w:p>
    <w:p>
      <w:pPr>
        <w:spacing w:before="200" w:after="60"/>
      </w:pPr>
      <w:r>
        <w:rPr>
          <w:rFonts w:ascii="Arial" w:cs="Arial" w:eastAsia="Arial" w:hAnsi="Arial"/>
          <w:b/>
          <w:bCs/>
          <w:i/>
          <w:iCs/>
          <w:color w:val="2C2C3E"/>
          <w:sz w:val="22"/>
          <w:szCs w:val="22"/>
        </w:rPr>
        <w:t xml:space="preserve">8.3.1 Tamper-Evident Audit Logging — [L1 Mandatory]</w:t>
      </w:r>
    </w:p>
    <w:p>
      <w:pPr>
        <w:pStyle w:val="ListParagraph"/>
        <w:numPr>
          <w:ilvl w:val="0"/>
          <w:numId w:val="2"/>
        </w:numPr>
        <w:spacing w:before="40" w:after="60"/>
      </w:pPr>
      <w:r>
        <w:rPr>
          <w:rFonts w:ascii="Arial" w:cs="Arial" w:eastAsia="Arial" w:hAnsi="Arial"/>
          <w:color w:val="2C2C3E"/>
          <w:sz w:val="20"/>
          <w:szCs w:val="20"/>
        </w:rPr>
        <w:t xml:space="preserve">Audit logs MUST record all governance-relevant events including: AI output generation with risk classification; human review queue entries and dispositions; override actions with actor identity and rationale; escalation events; data access events for Restricted data; and system configuration changes.</w:t>
      </w:r>
    </w:p>
    <w:p>
      <w:pPr>
        <w:pStyle w:val="ListParagraph"/>
        <w:numPr>
          <w:ilvl w:val="0"/>
          <w:numId w:val="2"/>
        </w:numPr>
        <w:spacing w:before="40" w:after="60"/>
      </w:pPr>
      <w:r>
        <w:rPr>
          <w:rFonts w:ascii="Arial" w:cs="Arial" w:eastAsia="Arial" w:hAnsi="Arial"/>
          <w:color w:val="2C2C3E"/>
          <w:sz w:val="20"/>
          <w:szCs w:val="20"/>
        </w:rPr>
        <w:t xml:space="preserve">Audit log records MUST include: event timestamp (UTC), event type, actor identity or system identifier, affected data record identifier, and event outcome.</w:t>
      </w:r>
    </w:p>
    <w:p>
      <w:pPr>
        <w:pStyle w:val="ListParagraph"/>
        <w:numPr>
          <w:ilvl w:val="0"/>
          <w:numId w:val="2"/>
        </w:numPr>
        <w:spacing w:before="40" w:after="60"/>
      </w:pPr>
      <w:r>
        <w:rPr>
          <w:rFonts w:ascii="Arial" w:cs="Arial" w:eastAsia="Arial" w:hAnsi="Arial"/>
          <w:color w:val="2C2C3E"/>
          <w:sz w:val="20"/>
          <w:szCs w:val="20"/>
        </w:rPr>
        <w:t xml:space="preserve">Audit log storage MUST be tamper-evident. Logs MUST NOT be modifiable by application-tier processes or standard operator actions.</w:t>
      </w:r>
    </w:p>
    <w:p>
      <w:pPr>
        <w:pStyle w:val="ListParagraph"/>
        <w:numPr>
          <w:ilvl w:val="0"/>
          <w:numId w:val="2"/>
        </w:numPr>
        <w:spacing w:before="40" w:after="60"/>
      </w:pPr>
      <w:r>
        <w:rPr>
          <w:rFonts w:ascii="Arial" w:cs="Arial" w:eastAsia="Arial" w:hAnsi="Arial"/>
          <w:color w:val="2C2C3E"/>
          <w:sz w:val="20"/>
          <w:szCs w:val="20"/>
        </w:rPr>
        <w:t xml:space="preserve">Log integrity MUST be verifiable through cryptographic mechanisms (e.g., hash chaining or append-only storage).</w:t>
      </w:r>
    </w:p>
    <w:p>
      <w:pPr>
        <w:spacing w:before="200" w:after="60"/>
      </w:pPr>
      <w:r>
        <w:rPr>
          <w:rFonts w:ascii="Arial" w:cs="Arial" w:eastAsia="Arial" w:hAnsi="Arial"/>
          <w:b/>
          <w:bCs/>
          <w:i/>
          <w:iCs/>
          <w:color w:val="2C2C3E"/>
          <w:sz w:val="22"/>
          <w:szCs w:val="22"/>
        </w:rPr>
        <w:t xml:space="preserve">8.3.2 Required Documentation Package — [L1–L3 Phased]</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w:t>
            </w:r>
          </w:p>
        </w:tc>
        <w:tc>
          <w:tcPr>
            <w:tcW w:type="dxa" w:w="4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c>
          <w:tcPr>
            <w:tcW w:type="dxa" w:w="2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 From</w:t>
            </w:r>
          </w:p>
        </w:tc>
      </w:tr>
      <w:tr>
        <w:tc>
          <w:tcPr>
            <w:tcW w:type="dxa" w:w="3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System Architecture Diagram</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Technical overview of all components, data flows, and trust boundaries</w:t>
            </w:r>
          </w:p>
        </w:tc>
        <w:tc>
          <w:tcPr>
            <w:tcW w:type="dxa" w:w="21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L1</w:t>
            </w:r>
          </w:p>
        </w:tc>
      </w:tr>
      <w:tr>
        <w:tc>
          <w:tcPr>
            <w:tcW w:type="dxa" w:w="3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Authority Boundary Document</w:t>
            </w:r>
          </w:p>
        </w:tc>
        <w:tc>
          <w:tcPr>
            <w:tcW w:type="dxa" w:w="4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Defines AI role, prohibited autonomous actions, and escalation pathways</w:t>
            </w:r>
          </w:p>
        </w:tc>
        <w:tc>
          <w:tcPr>
            <w:tcW w:type="dxa" w:w="21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L1</w:t>
            </w:r>
          </w:p>
        </w:tc>
      </w:tr>
      <w:tr>
        <w:tc>
          <w:tcPr>
            <w:tcW w:type="dxa" w:w="3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Responsible AI Statement</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Intended use, limitations, bias mitigation commitments, and transparency disclosures</w:t>
            </w:r>
          </w:p>
        </w:tc>
        <w:tc>
          <w:tcPr>
            <w:tcW w:type="dxa" w:w="21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L1</w:t>
            </w:r>
          </w:p>
        </w:tc>
      </w:tr>
      <w:tr>
        <w:tc>
          <w:tcPr>
            <w:tcW w:type="dxa" w:w="3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Risk Classification Matrix</w:t>
            </w:r>
          </w:p>
        </w:tc>
        <w:tc>
          <w:tcPr>
            <w:tcW w:type="dxa" w:w="4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Tier definitions, CRI scoring methodology, thresholds, and escalation rules</w:t>
            </w:r>
          </w:p>
        </w:tc>
        <w:tc>
          <w:tcPr>
            <w:tcW w:type="dxa" w:w="21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L2</w:t>
            </w:r>
          </w:p>
        </w:tc>
      </w:tr>
      <w:tr>
        <w:tc>
          <w:tcPr>
            <w:tcW w:type="dxa" w:w="3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Data Governance Architecture</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Classification model, residency declaration, inference boundary, encryption, and RBAC documentation</w:t>
            </w:r>
          </w:p>
        </w:tc>
        <w:tc>
          <w:tcPr>
            <w:tcW w:type="dxa" w:w="21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L2</w:t>
            </w:r>
          </w:p>
        </w:tc>
      </w:tr>
      <w:tr>
        <w:tc>
          <w:tcPr>
            <w:tcW w:type="dxa" w:w="3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Deployment Architecture Document</w:t>
            </w:r>
          </w:p>
        </w:tc>
        <w:tc>
          <w:tcPr>
            <w:tcW w:type="dxa" w:w="4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Environment separation, dependency manifest, trust boundary diagram, and fallback mechanisms</w:t>
            </w:r>
          </w:p>
        </w:tc>
        <w:tc>
          <w:tcPr>
            <w:tcW w:type="dxa" w:w="21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L2</w:t>
            </w:r>
          </w:p>
        </w:tc>
      </w:tr>
      <w:tr>
        <w:tc>
          <w:tcPr>
            <w:tcW w:type="dxa" w:w="3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Incident Response Plan</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Incident classification, escalation timelines, breach response procedures, and regulatory notification protocols</w:t>
            </w:r>
          </w:p>
        </w:tc>
        <w:tc>
          <w:tcPr>
            <w:tcW w:type="dxa" w:w="21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L2</w:t>
            </w:r>
          </w:p>
        </w:tc>
      </w:tr>
      <w:tr>
        <w:tc>
          <w:tcPr>
            <w:tcW w:type="dxa" w:w="3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Change Management Log</w:t>
            </w:r>
          </w:p>
        </w:tc>
        <w:tc>
          <w:tcPr>
            <w:tcW w:type="dxa" w:w="4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Record of all material system changes with approval trail and impact assessment</w:t>
            </w:r>
          </w:p>
        </w:tc>
        <w:tc>
          <w:tcPr>
            <w:tcW w:type="dxa" w:w="21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L2</w:t>
            </w:r>
          </w:p>
        </w:tc>
      </w:tr>
      <w:tr>
        <w:tc>
          <w:tcPr>
            <w:tcW w:type="dxa" w:w="3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Governance Board Charter</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Board composition, mandate, meeting cadence, quorum, and decision authority</w:t>
            </w:r>
          </w:p>
        </w:tc>
        <w:tc>
          <w:tcPr>
            <w:tcW w:type="dxa" w:w="21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L3</w:t>
            </w:r>
          </w:p>
        </w:tc>
      </w:tr>
      <w:tr>
        <w:tc>
          <w:tcPr>
            <w:tcW w:type="dxa" w:w="3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Regulatory Alignment Matrix</w:t>
            </w:r>
          </w:p>
        </w:tc>
        <w:tc>
          <w:tcPr>
            <w:tcW w:type="dxa" w:w="4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Cross-mapping of GAI-S controls to applicable regulatory frameworks</w:t>
            </w:r>
          </w:p>
        </w:tc>
        <w:tc>
          <w:tcPr>
            <w:tcW w:type="dxa" w:w="21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L3</w:t>
            </w:r>
          </w:p>
        </w:tc>
      </w:tr>
      <w:tr>
        <w:tc>
          <w:tcPr>
            <w:tcW w:type="dxa" w:w="3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Model Validation Report</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Quarterly performance audit, bias metrics, drift analysis, and recalibration decisions</w:t>
            </w:r>
          </w:p>
        </w:tc>
        <w:tc>
          <w:tcPr>
            <w:tcW w:type="dxa" w:w="21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L3</w:t>
            </w:r>
          </w:p>
        </w:tc>
      </w:tr>
      <w:tr>
        <w:tc>
          <w:tcPr>
            <w:tcW w:type="dxa" w:w="3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Business Continuity Plan</w:t>
            </w:r>
          </w:p>
        </w:tc>
        <w:tc>
          <w:tcPr>
            <w:tcW w:type="dxa" w:w="4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RTO/RPO targets, backup strategy, recovery procedures, and manual workflow procedures</w:t>
            </w:r>
          </w:p>
        </w:tc>
        <w:tc>
          <w:tcPr>
            <w:tcW w:type="dxa" w:w="21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L3</w:t>
            </w:r>
          </w:p>
        </w:tc>
      </w:tr>
      <w:tr>
        <w:tc>
          <w:tcPr>
            <w:tcW w:type="dxa" w:w="3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Annual Attestation Statement</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Signed compliance affirmation by Compliance Officer of Record, reviewed by Governance Board Chair</w:t>
            </w:r>
          </w:p>
        </w:tc>
        <w:tc>
          <w:tcPr>
            <w:tcW w:type="dxa" w:w="21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L3</w:t>
            </w:r>
          </w:p>
        </w:tc>
      </w:tr>
    </w:tbl>
    <w:p>
      <w:pPr>
        <w:pStyle w:val="Heading3"/>
        <w:spacing w:before="240" w:after="80"/>
      </w:pPr>
      <w:r>
        <w:rPr>
          <w:rFonts w:ascii="Arial" w:cs="Arial" w:eastAsia="Arial" w:hAnsi="Arial"/>
          <w:b/>
          <w:bCs/>
          <w:color w:val="4A7DB5"/>
          <w:sz w:val="24"/>
          <w:szCs w:val="24"/>
        </w:rPr>
        <w:t xml:space="preserve">8.4 Evidence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Artifact</w:t>
            </w:r>
          </w:p>
        </w:tc>
        <w:tc>
          <w:tcPr>
            <w:tcW w:type="dxa" w:w="4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2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Retention</w:t>
            </w:r>
          </w:p>
        </w:tc>
      </w:tr>
      <w:tr>
        <w:tc>
          <w:tcPr>
            <w:tcW w:type="dxa" w:w="26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Audit Log Records</w:t>
            </w:r>
          </w:p>
        </w:tc>
        <w:tc>
          <w:tcPr>
            <w:tcW w:type="dxa" w:w="4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Tamper-evident, time-ordered records of all governance-relevant events</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Minimum 3 years; longer where regulatory requirements apply</w:t>
            </w:r>
          </w:p>
        </w:tc>
      </w:tr>
      <w:tr>
        <w:tc>
          <w:tcPr>
            <w:tcW w:type="dxa" w:w="26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Log Integrity Verification Records</w:t>
            </w:r>
          </w:p>
        </w:tc>
        <w:tc>
          <w:tcPr>
            <w:tcW w:type="dxa" w:w="4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Periodic cryptographic integrity checks on audit log storage</w:t>
            </w:r>
          </w:p>
        </w:tc>
        <w:tc>
          <w:tcPr>
            <w:tcW w:type="dxa" w:w="2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Minimum 2 years</w:t>
            </w:r>
          </w:p>
        </w:tc>
      </w:tr>
      <w:tr>
        <w:tc>
          <w:tcPr>
            <w:tcW w:type="dxa" w:w="26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Documentation Package Version History</w:t>
            </w:r>
          </w:p>
        </w:tc>
        <w:tc>
          <w:tcPr>
            <w:tcW w:type="dxa" w:w="4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Record of all documentation updates with change descriptions and approval</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Minimum 5 years</w:t>
            </w:r>
          </w:p>
        </w:tc>
      </w:tr>
    </w:tbl>
    <w:p>
      <w:pPr>
        <w:pStyle w:val="Heading3"/>
        <w:spacing w:before="240" w:after="80"/>
      </w:pPr>
      <w:r>
        <w:rPr>
          <w:rFonts w:ascii="Arial" w:cs="Arial" w:eastAsia="Arial" w:hAnsi="Arial"/>
          <w:b/>
          <w:bCs/>
          <w:color w:val="4A7DB5"/>
          <w:sz w:val="24"/>
          <w:szCs w:val="24"/>
        </w:rPr>
        <w:t xml:space="preserve">8.5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Failure Mode</w:t>
            </w:r>
          </w:p>
        </w:tc>
        <w:tc>
          <w:tcPr>
            <w:tcW w:type="dxa" w:w="4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c>
          <w:tcPr>
            <w:tcW w:type="dxa" w:w="2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r>
      <w:tr>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Audit Log Gap</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Period exists for which governance-relevant events are not captured in audit records</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Critical — Certification Failure</w:t>
            </w:r>
          </w:p>
        </w:tc>
      </w:tr>
      <w:tr>
        <w:tc>
          <w:tcPr>
            <w:tcW w:type="dxa" w:w="2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Tamper-Evident Mechanism Absent</w:t>
            </w:r>
          </w:p>
        </w:tc>
        <w:tc>
          <w:tcPr>
            <w:tcW w:type="dxa" w:w="4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Audit logs stored in mutable storage accessible by application-tier processes</w:t>
            </w:r>
          </w:p>
        </w:tc>
        <w:tc>
          <w:tcPr>
            <w:tcW w:type="dxa" w:w="2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Critical — Certification Failure</w:t>
            </w:r>
          </w:p>
        </w:tc>
      </w:tr>
      <w:tr>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Stale Documentation</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Required documentation has not been updated within 30 days of a material system change</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Major — Remediation Required</w:t>
            </w:r>
          </w:p>
        </w:tc>
      </w:tr>
      <w:tr>
        <w:tc>
          <w:tcPr>
            <w:tcW w:type="dxa" w:w="2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Incomplete Documentation Package</w:t>
            </w:r>
          </w:p>
        </w:tc>
        <w:tc>
          <w:tcPr>
            <w:tcW w:type="dxa" w:w="4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Audit review cannot be completed without live system access due to documentation gaps</w:t>
            </w:r>
          </w:p>
        </w:tc>
        <w:tc>
          <w:tcPr>
            <w:tcW w:type="dxa" w:w="2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Major — Certification Gap</w:t>
            </w:r>
          </w:p>
        </w:tc>
      </w:tr>
    </w:tbl>
    <w:p>
      <w:pPr>
        <w:pStyle w:val="Heading3"/>
        <w:spacing w:before="240" w:after="80"/>
      </w:pPr>
      <w:r>
        <w:rPr>
          <w:rFonts w:ascii="Arial" w:cs="Arial" w:eastAsia="Arial" w:hAnsi="Arial"/>
          <w:b/>
          <w:bCs/>
          <w:color w:val="4A7DB5"/>
          <w:sz w:val="24"/>
          <w:szCs w:val="24"/>
        </w:rPr>
        <w:t xml:space="preserve">8.6 Audit Evaluation Method</w:t>
      </w:r>
    </w:p>
    <w:p>
      <w:pPr>
        <w:pStyle w:val="ListParagraph"/>
        <w:numPr>
          <w:ilvl w:val="0"/>
          <w:numId w:val="3"/>
        </w:numPr>
        <w:spacing w:before="40" w:after="60"/>
      </w:pPr>
      <w:r>
        <w:rPr>
          <w:rFonts w:ascii="Arial" w:cs="Arial" w:eastAsia="Arial" w:hAnsi="Arial"/>
          <w:color w:val="2C2C3E"/>
          <w:sz w:val="20"/>
          <w:szCs w:val="20"/>
        </w:rPr>
        <w:t xml:space="preserve">Review the documentation package index. Confirm that all required documents for the certification tier are present and current.</w:t>
      </w:r>
    </w:p>
    <w:p>
      <w:pPr>
        <w:pStyle w:val="ListParagraph"/>
        <w:numPr>
          <w:ilvl w:val="0"/>
          <w:numId w:val="3"/>
        </w:numPr>
        <w:spacing w:before="40" w:after="60"/>
      </w:pPr>
      <w:r>
        <w:rPr>
          <w:rFonts w:ascii="Arial" w:cs="Arial" w:eastAsia="Arial" w:hAnsi="Arial"/>
          <w:color w:val="2C2C3E"/>
          <w:sz w:val="20"/>
          <w:szCs w:val="20"/>
        </w:rPr>
        <w:t xml:space="preserve">Attempt to conduct a full compliance assessment using only the documentation package. Identify any information gaps that would require live system access.</w:t>
      </w:r>
    </w:p>
    <w:p>
      <w:pPr>
        <w:pStyle w:val="ListParagraph"/>
        <w:numPr>
          <w:ilvl w:val="0"/>
          <w:numId w:val="3"/>
        </w:numPr>
        <w:spacing w:before="40" w:after="60"/>
      </w:pPr>
      <w:r>
        <w:rPr>
          <w:rFonts w:ascii="Arial" w:cs="Arial" w:eastAsia="Arial" w:hAnsi="Arial"/>
          <w:color w:val="2C2C3E"/>
          <w:sz w:val="20"/>
          <w:szCs w:val="20"/>
        </w:rPr>
        <w:t xml:space="preserve">Sample audit log records from the audit period. Verify completeness of required metadata fields and confirm tamper-evident storage mechanism.</w:t>
      </w:r>
    </w:p>
    <w:p>
      <w:pPr>
        <w:pStyle w:val="ListParagraph"/>
        <w:numPr>
          <w:ilvl w:val="0"/>
          <w:numId w:val="3"/>
        </w:numPr>
        <w:spacing w:before="40" w:after="60"/>
      </w:pPr>
      <w:r>
        <w:rPr>
          <w:rFonts w:ascii="Arial" w:cs="Arial" w:eastAsia="Arial" w:hAnsi="Arial"/>
          <w:color w:val="2C2C3E"/>
          <w:sz w:val="20"/>
          <w:szCs w:val="20"/>
        </w:rPr>
        <w:t xml:space="preserve">Review log integrity verification records to confirm periodic integrity checks are occurring.</w:t>
      </w:r>
    </w:p>
    <w:p>
      <w:pPr>
        <w:pStyle w:val="ListParagraph"/>
        <w:numPr>
          <w:ilvl w:val="0"/>
          <w:numId w:val="3"/>
        </w:numPr>
        <w:spacing w:before="40" w:after="60"/>
      </w:pPr>
      <w:r>
        <w:rPr>
          <w:rFonts w:ascii="Arial" w:cs="Arial" w:eastAsia="Arial" w:hAnsi="Arial"/>
          <w:color w:val="2C2C3E"/>
          <w:sz w:val="20"/>
          <w:szCs w:val="20"/>
        </w:rPr>
        <w:t xml:space="preserve">Review Change Management Log and cross-reference with known system changes to confirm documentation was updated within 30-day requirement.</w:t>
      </w:r>
    </w:p>
    <w:p>
      <w:pPr>
        <w:spacing w:before="0" w:after="80"/>
      </w:pPr>
      <w:r>
        <w:t xml:space="preserve"/>
      </w:r>
    </w:p>
    <w:p>
      <w:r>
        <w:br w:type="page"/>
      </w:r>
    </w:p>
    <w:p>
      <w:pPr>
        <w:pStyle w:val="Heading2"/>
        <w:spacing w:before="360" w:after="120"/>
      </w:pPr>
      <w:r>
        <w:rPr>
          <w:rFonts w:ascii="Arial" w:cs="Arial" w:eastAsia="Arial" w:hAnsi="Arial"/>
          <w:b/>
          <w:bCs/>
          <w:color w:val="2D5FA0"/>
          <w:sz w:val="28"/>
          <w:szCs w:val="28"/>
        </w:rPr>
        <w:t xml:space="preserve">9. Domain D6 — Incident Response</w:t>
      </w:r>
    </w:p>
    <w:p>
      <w:pPr>
        <w:pStyle w:val="Heading3"/>
        <w:spacing w:before="240" w:after="80"/>
      </w:pPr>
      <w:r>
        <w:rPr>
          <w:rFonts w:ascii="Arial" w:cs="Arial" w:eastAsia="Arial" w:hAnsi="Arial"/>
          <w:b/>
          <w:bCs/>
          <w:color w:val="4A7DB5"/>
          <w:sz w:val="24"/>
          <w:szCs w:val="24"/>
        </w:rPr>
        <w:t xml:space="preserve">9.1 Purpose</w:t>
      </w:r>
    </w:p>
    <w:p>
      <w:pPr>
        <w:spacing w:before="60" w:after="100"/>
      </w:pPr>
      <w:r>
        <w:rPr>
          <w:rFonts w:ascii="Arial" w:cs="Arial" w:eastAsia="Arial" w:hAnsi="Arial"/>
          <w:b w:val="false"/>
          <w:bCs w:val="false"/>
          <w:i w:val="false"/>
          <w:iCs w:val="false"/>
          <w:color w:val="2C2C3E"/>
          <w:sz w:val="20"/>
          <w:szCs w:val="20"/>
        </w:rPr>
        <w:t xml:space="preserve">Domain D6 establishes requirements for incident classification, escalation protocols, failure response, regulatory notification, and the institutional feedback loop by which critical incidents drive governance-level review and system improvement. Effective incident response is not limited to operational remediation; it requires institutional accountability and documented learning.</w:t>
      </w:r>
    </w:p>
    <w:p>
      <w:pPr>
        <w:pStyle w:val="Heading3"/>
        <w:spacing w:before="240" w:after="80"/>
      </w:pPr>
      <w:r>
        <w:rPr>
          <w:rFonts w:ascii="Arial" w:cs="Arial" w:eastAsia="Arial" w:hAnsi="Arial"/>
          <w:b/>
          <w:bCs/>
          <w:color w:val="4A7DB5"/>
          <w:sz w:val="24"/>
          <w:szCs w:val="24"/>
        </w:rPr>
        <w:t xml:space="preserve">9.2 Control Objectives</w:t>
      </w:r>
    </w:p>
    <w:p>
      <w:pPr>
        <w:pStyle w:val="ListParagraph"/>
        <w:numPr>
          <w:ilvl w:val="0"/>
          <w:numId w:val="2"/>
        </w:numPr>
        <w:spacing w:before="40" w:after="60"/>
      </w:pPr>
      <w:r>
        <w:rPr>
          <w:rFonts w:ascii="Arial" w:cs="Arial" w:eastAsia="Arial" w:hAnsi="Arial"/>
          <w:color w:val="2C2C3E"/>
          <w:sz w:val="20"/>
          <w:szCs w:val="20"/>
        </w:rPr>
        <w:t xml:space="preserve">CO-D6-01: Incident classification taxonomy MUST be formally defined with explicit criteria for each severity level.</w:t>
      </w:r>
    </w:p>
    <w:p>
      <w:pPr>
        <w:pStyle w:val="ListParagraph"/>
        <w:numPr>
          <w:ilvl w:val="0"/>
          <w:numId w:val="2"/>
        </w:numPr>
        <w:spacing w:before="40" w:after="60"/>
      </w:pPr>
      <w:r>
        <w:rPr>
          <w:rFonts w:ascii="Arial" w:cs="Arial" w:eastAsia="Arial" w:hAnsi="Arial"/>
          <w:color w:val="2C2C3E"/>
          <w:sz w:val="20"/>
          <w:szCs w:val="20"/>
        </w:rPr>
        <w:t xml:space="preserve">CO-D6-02: Response timelines MUST be defined for each severity class and operationally enforced.</w:t>
      </w:r>
    </w:p>
    <w:p>
      <w:pPr>
        <w:pStyle w:val="ListParagraph"/>
        <w:numPr>
          <w:ilvl w:val="0"/>
          <w:numId w:val="2"/>
        </w:numPr>
        <w:spacing w:before="40" w:after="60"/>
      </w:pPr>
      <w:r>
        <w:rPr>
          <w:rFonts w:ascii="Arial" w:cs="Arial" w:eastAsia="Arial" w:hAnsi="Arial"/>
          <w:color w:val="2C2C3E"/>
          <w:sz w:val="20"/>
          <w:szCs w:val="20"/>
        </w:rPr>
        <w:t xml:space="preserve">CO-D6-03: Breach response procedures MUST be documented and include regulatory notification protocols where applicable.</w:t>
      </w:r>
    </w:p>
    <w:p>
      <w:pPr>
        <w:pStyle w:val="ListParagraph"/>
        <w:numPr>
          <w:ilvl w:val="0"/>
          <w:numId w:val="2"/>
        </w:numPr>
        <w:spacing w:before="40" w:after="60"/>
      </w:pPr>
      <w:r>
        <w:rPr>
          <w:rFonts w:ascii="Arial" w:cs="Arial" w:eastAsia="Arial" w:hAnsi="Arial"/>
          <w:color w:val="2C2C3E"/>
          <w:sz w:val="20"/>
          <w:szCs w:val="20"/>
        </w:rPr>
        <w:t xml:space="preserve">CO-D6-04: Critical incidents and recurring incident patterns MUST trigger formal governance review. [L3]</w:t>
      </w:r>
    </w:p>
    <w:p>
      <w:pPr>
        <w:pStyle w:val="ListParagraph"/>
        <w:numPr>
          <w:ilvl w:val="0"/>
          <w:numId w:val="2"/>
        </w:numPr>
        <w:spacing w:before="40" w:after="60"/>
      </w:pPr>
      <w:r>
        <w:rPr>
          <w:rFonts w:ascii="Arial" w:cs="Arial" w:eastAsia="Arial" w:hAnsi="Arial"/>
          <w:color w:val="2C2C3E"/>
          <w:sz w:val="20"/>
          <w:szCs w:val="20"/>
        </w:rPr>
        <w:t xml:space="preserve">CO-D6-05: Post-incident reviews MUST produce documented findings and tracked remediation actions.</w:t>
      </w:r>
    </w:p>
    <w:p>
      <w:pPr>
        <w:pStyle w:val="Heading3"/>
        <w:spacing w:before="240" w:after="80"/>
      </w:pPr>
      <w:r>
        <w:rPr>
          <w:rFonts w:ascii="Arial" w:cs="Arial" w:eastAsia="Arial" w:hAnsi="Arial"/>
          <w:b/>
          <w:bCs/>
          <w:color w:val="4A7DB5"/>
          <w:sz w:val="24"/>
          <w:szCs w:val="24"/>
        </w:rPr>
        <w:t xml:space="preserve">9.3 Mandatory Controls</w:t>
      </w:r>
    </w:p>
    <w:p>
      <w:pPr>
        <w:spacing w:before="200" w:after="60"/>
      </w:pPr>
      <w:r>
        <w:rPr>
          <w:rFonts w:ascii="Arial" w:cs="Arial" w:eastAsia="Arial" w:hAnsi="Arial"/>
          <w:b/>
          <w:bCs/>
          <w:i/>
          <w:iCs/>
          <w:color w:val="2C2C3E"/>
          <w:sz w:val="22"/>
          <w:szCs w:val="22"/>
        </w:rPr>
        <w:t xml:space="preserve">9.3.1 Incident Classification Taxonomy — [L2 Mandatory]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600"/>
        <w:gridCol w:w="2000"/>
      </w:tblGrid>
      <w:tr>
        <w:trPr>
          <w:tblHeader/>
        </w:trPr>
        <w:tc>
          <w:tcPr>
            <w:tcW w:type="dxa" w:w="1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Severity</w:t>
            </w:r>
          </w:p>
        </w:tc>
        <w:tc>
          <w:tcPr>
            <w:tcW w:type="dxa" w:w="3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 Initial Response</w:t>
            </w:r>
          </w:p>
        </w:tc>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Max Response Time</w:t>
            </w:r>
          </w:p>
        </w:tc>
      </w:tr>
      <w:tr>
        <w:tc>
          <w:tcPr>
            <w:tcW w:type="dxa" w:w="1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Critical</w:t>
            </w:r>
          </w:p>
        </w:tc>
        <w:tc>
          <w:tcPr>
            <w:tcW w:type="dxa" w:w="3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Actual or potential direct harm to user; safety-critical function failure; data breach of Restricted data; any incident requiring regulatory notification</w:t>
            </w:r>
          </w:p>
        </w:tc>
        <w:tc>
          <w:tcPr>
            <w:tcW w:type="dxa" w:w="26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Immediate escalation to named incident lead; governance notification</w:t>
            </w:r>
          </w:p>
        </w:tc>
        <w:tc>
          <w:tcPr>
            <w:tcW w:type="dxa" w:w="2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15 minutes</w:t>
            </w:r>
          </w:p>
        </w:tc>
      </w:tr>
      <w:tr>
        <w:tc>
          <w:tcPr>
            <w:tcW w:type="dxa" w:w="1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High</w:t>
            </w:r>
          </w:p>
        </w:tc>
        <w:tc>
          <w:tcPr>
            <w:tcW w:type="dxa" w:w="3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Significant system malfunction affecting safety, governance, or data integrity; SLA breach on high-risk review queue</w:t>
            </w:r>
          </w:p>
        </w:tc>
        <w:tc>
          <w:tcPr>
            <w:tcW w:type="dxa" w:w="26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Incident lead notified; impact assessment initiated</w:t>
            </w:r>
          </w:p>
        </w:tc>
        <w:tc>
          <w:tcPr>
            <w:tcW w:type="dxa" w:w="2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2 hours</w:t>
            </w:r>
          </w:p>
        </w:tc>
      </w:tr>
      <w:tr>
        <w:tc>
          <w:tcPr>
            <w:tcW w:type="dxa" w:w="1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Moderate</w:t>
            </w:r>
          </w:p>
        </w:tc>
        <w:tc>
          <w:tcPr>
            <w:tcW w:type="dxa" w:w="3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System degradation affecting non-critical functions; anomalous but non-harmful AI output pattern</w:t>
            </w:r>
          </w:p>
        </w:tc>
        <w:tc>
          <w:tcPr>
            <w:tcW w:type="dxa" w:w="26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Assigned to operations team for assessment</w:t>
            </w:r>
          </w:p>
        </w:tc>
        <w:tc>
          <w:tcPr>
            <w:tcW w:type="dxa" w:w="2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Next business day</w:t>
            </w:r>
          </w:p>
        </w:tc>
      </w:tr>
      <w:tr>
        <w:tc>
          <w:tcPr>
            <w:tcW w:type="dxa" w:w="1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Low</w:t>
            </w:r>
          </w:p>
        </w:tc>
        <w:tc>
          <w:tcPr>
            <w:tcW w:type="dxa" w:w="3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Minor functional issue with no safety, governance, or data integrity impact</w:t>
            </w:r>
          </w:p>
        </w:tc>
        <w:tc>
          <w:tcPr>
            <w:tcW w:type="dxa" w:w="26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Logged and triaged</w:t>
            </w:r>
          </w:p>
        </w:tc>
        <w:tc>
          <w:tcPr>
            <w:tcW w:type="dxa" w:w="2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5 business days</w:t>
            </w:r>
          </w:p>
        </w:tc>
      </w:tr>
    </w:tbl>
    <w:p>
      <w:pPr>
        <w:spacing w:before="200" w:after="60"/>
      </w:pPr>
      <w:r>
        <w:rPr>
          <w:rFonts w:ascii="Arial" w:cs="Arial" w:eastAsia="Arial" w:hAnsi="Arial"/>
          <w:b/>
          <w:bCs/>
          <w:i/>
          <w:iCs/>
          <w:color w:val="2C2C3E"/>
          <w:sz w:val="22"/>
          <w:szCs w:val="22"/>
        </w:rPr>
        <w:t xml:space="preserve">9.3.2 Incident Response Plan — [L2 Mandatory]</w:t>
      </w:r>
    </w:p>
    <w:p>
      <w:pPr>
        <w:pStyle w:val="ListParagraph"/>
        <w:numPr>
          <w:ilvl w:val="0"/>
          <w:numId w:val="2"/>
        </w:numPr>
        <w:spacing w:before="40" w:after="60"/>
      </w:pPr>
      <w:r>
        <w:rPr>
          <w:rFonts w:ascii="Arial" w:cs="Arial" w:eastAsia="Arial" w:hAnsi="Arial"/>
          <w:color w:val="2C2C3E"/>
          <w:sz w:val="20"/>
          <w:szCs w:val="20"/>
        </w:rPr>
        <w:t xml:space="preserve">Implementing organizations MUST maintain a current Incident Response Plan specifying: incident classification procedures, named or role-based response leads, notification chains, response timelines, containment procedures, investigation methodology, and regulatory notification triggers.</w:t>
      </w:r>
    </w:p>
    <w:p>
      <w:pPr>
        <w:pStyle w:val="ListParagraph"/>
        <w:numPr>
          <w:ilvl w:val="0"/>
          <w:numId w:val="2"/>
        </w:numPr>
        <w:spacing w:before="40" w:after="60"/>
      </w:pPr>
      <w:r>
        <w:rPr>
          <w:rFonts w:ascii="Arial" w:cs="Arial" w:eastAsia="Arial" w:hAnsi="Arial"/>
          <w:color w:val="2C2C3E"/>
          <w:sz w:val="20"/>
          <w:szCs w:val="20"/>
        </w:rPr>
        <w:t xml:space="preserve">The Incident Response Plan MUST be tested at minimum annually through tabletop exercise or simulation. Test results MUST be documented.</w:t>
      </w:r>
    </w:p>
    <w:p>
      <w:pPr>
        <w:spacing w:before="200" w:after="60"/>
      </w:pPr>
      <w:r>
        <w:rPr>
          <w:rFonts w:ascii="Arial" w:cs="Arial" w:eastAsia="Arial" w:hAnsi="Arial"/>
          <w:b/>
          <w:bCs/>
          <w:i/>
          <w:iCs/>
          <w:color w:val="2C2C3E"/>
          <w:sz w:val="22"/>
          <w:szCs w:val="22"/>
        </w:rPr>
        <w:t xml:space="preserve">9.3.3 Governance Incident Feedback Loop — [L3 Mandatory]</w:t>
      </w:r>
    </w:p>
    <w:p>
      <w:pPr>
        <w:spacing w:before="60" w:after="100"/>
      </w:pPr>
      <w:r>
        <w:rPr>
          <w:rFonts w:ascii="Arial" w:cs="Arial" w:eastAsia="Arial" w:hAnsi="Arial"/>
          <w:b w:val="false"/>
          <w:bCs w:val="false"/>
          <w:i w:val="false"/>
          <w:iCs w:val="false"/>
          <w:color w:val="2C2C3E"/>
          <w:sz w:val="20"/>
          <w:szCs w:val="20"/>
        </w:rPr>
        <w:t xml:space="preserve">At Level 3, the following governance triggers MUST be operational: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560"/>
        <w:gridCol w:w="2400"/>
      </w:tblGrid>
      <w:tr>
        <w:trPr>
          <w:tblHeader/>
        </w:trPr>
        <w:tc>
          <w:tcPr>
            <w:tcW w:type="dxa" w:w="3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Trigger Condition</w:t>
            </w:r>
          </w:p>
        </w:tc>
        <w:tc>
          <w:tcPr>
            <w:tcW w:type="dxa" w:w="35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 Governance Response</w:t>
            </w:r>
          </w:p>
        </w:tc>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Timeline</w:t>
            </w:r>
          </w:p>
        </w:tc>
      </w:tr>
      <w:tr>
        <w:tc>
          <w:tcPr>
            <w:tcW w:type="dxa" w:w="3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Any Critical-severity incident where model error contributed to root cause</w:t>
            </w:r>
          </w:p>
        </w:tc>
        <w:tc>
          <w:tcPr>
            <w:tcW w:type="dxa" w:w="3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Mandatory Technical Safety Review Board assessment and model retraining evaluation</w:t>
            </w:r>
          </w:p>
        </w:tc>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Within 48 hours of incident closure</w:t>
            </w:r>
          </w:p>
        </w:tc>
      </w:tr>
      <w:tr>
        <w:tc>
          <w:tcPr>
            <w:tcW w:type="dxa" w:w="3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Three or more incidents of similar classification within 90 days</w:t>
            </w:r>
          </w:p>
        </w:tc>
        <w:tc>
          <w:tcPr>
            <w:tcW w:type="dxa" w:w="3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Domain Oversight Board review; documented root cause analysis; pattern remediation plan</w:t>
            </w:r>
          </w:p>
        </w:tc>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Within 30 days of pattern identification</w:t>
            </w:r>
          </w:p>
        </w:tc>
      </w:tr>
      <w:tr>
        <w:tc>
          <w:tcPr>
            <w:tcW w:type="dxa" w:w="3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Estimated FNR exceeds 8% in quarterly validation</w:t>
            </w:r>
          </w:p>
        </w:tc>
        <w:tc>
          <w:tcPr>
            <w:tcW w:type="dxa" w:w="3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Mandatory risk model recalibration; governance approval required for threshold changes</w:t>
            </w:r>
          </w:p>
        </w:tc>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Initiated within 5 business days</w:t>
            </w:r>
          </w:p>
        </w:tc>
      </w:tr>
      <w:tr>
        <w:tc>
          <w:tcPr>
            <w:tcW w:type="dxa" w:w="3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FPR exceeds 25% for two consecutive months</w:t>
            </w:r>
          </w:p>
        </w:tc>
        <w:tc>
          <w:tcPr>
            <w:tcW w:type="dxa" w:w="3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Threshold recalibration review; model assessment</w:t>
            </w:r>
          </w:p>
        </w:tc>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Initiated within 5 business days</w:t>
            </w:r>
          </w:p>
        </w:tc>
      </w:tr>
    </w:tbl>
    <w:p>
      <w:pPr>
        <w:spacing w:before="200" w:after="60"/>
      </w:pPr>
      <w:r>
        <w:rPr>
          <w:rFonts w:ascii="Arial" w:cs="Arial" w:eastAsia="Arial" w:hAnsi="Arial"/>
          <w:b/>
          <w:bCs/>
          <w:i/>
          <w:iCs/>
          <w:color w:val="2C2C3E"/>
          <w:sz w:val="22"/>
          <w:szCs w:val="22"/>
        </w:rPr>
        <w:t xml:space="preserve">9.3.4 Post-Incident Review Requirements — [L2 Mandatory]</w:t>
      </w:r>
    </w:p>
    <w:p>
      <w:pPr>
        <w:pStyle w:val="ListParagraph"/>
        <w:numPr>
          <w:ilvl w:val="0"/>
          <w:numId w:val="2"/>
        </w:numPr>
        <w:spacing w:before="40" w:after="60"/>
      </w:pPr>
      <w:r>
        <w:rPr>
          <w:rFonts w:ascii="Arial" w:cs="Arial" w:eastAsia="Arial" w:hAnsi="Arial"/>
          <w:color w:val="2C2C3E"/>
          <w:sz w:val="20"/>
          <w:szCs w:val="20"/>
        </w:rPr>
        <w:t xml:space="preserve">A post-incident review MUST be conducted for all Critical and High severity incidents.</w:t>
      </w:r>
    </w:p>
    <w:p>
      <w:pPr>
        <w:pStyle w:val="ListParagraph"/>
        <w:numPr>
          <w:ilvl w:val="0"/>
          <w:numId w:val="2"/>
        </w:numPr>
        <w:spacing w:before="40" w:after="60"/>
      </w:pPr>
      <w:r>
        <w:rPr>
          <w:rFonts w:ascii="Arial" w:cs="Arial" w:eastAsia="Arial" w:hAnsi="Arial"/>
          <w:color w:val="2C2C3E"/>
          <w:sz w:val="20"/>
          <w:szCs w:val="20"/>
        </w:rPr>
        <w:t xml:space="preserve">Post-incident reviews MUST produce documented findings including: root cause analysis, contributing factors, timeline of events, remediation actions with owners and target dates, and recurrence prevention measures.</w:t>
      </w:r>
    </w:p>
    <w:p>
      <w:pPr>
        <w:pStyle w:val="ListParagraph"/>
        <w:numPr>
          <w:ilvl w:val="0"/>
          <w:numId w:val="2"/>
        </w:numPr>
        <w:spacing w:before="40" w:after="60"/>
      </w:pPr>
      <w:r>
        <w:rPr>
          <w:rFonts w:ascii="Arial" w:cs="Arial" w:eastAsia="Arial" w:hAnsi="Arial"/>
          <w:color w:val="2C2C3E"/>
          <w:sz w:val="20"/>
          <w:szCs w:val="20"/>
        </w:rPr>
        <w:t xml:space="preserve">Remediation actions MUST be tracked to closure with verification of effectiveness.</w:t>
      </w:r>
    </w:p>
    <w:p>
      <w:pPr>
        <w:pStyle w:val="Heading3"/>
        <w:spacing w:before="240" w:after="80"/>
      </w:pPr>
      <w:r>
        <w:rPr>
          <w:rFonts w:ascii="Arial" w:cs="Arial" w:eastAsia="Arial" w:hAnsi="Arial"/>
          <w:b/>
          <w:bCs/>
          <w:color w:val="4A7DB5"/>
          <w:sz w:val="24"/>
          <w:szCs w:val="24"/>
        </w:rPr>
        <w:t xml:space="preserve">9.4 Evidence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360"/>
        <w:gridCol w:w="2000"/>
      </w:tblGrid>
      <w:tr>
        <w:trPr>
          <w:tblHeader/>
        </w:trPr>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Artifact</w:t>
            </w:r>
          </w:p>
        </w:tc>
        <w:tc>
          <w:tcPr>
            <w:tcW w:type="dxa" w:w="3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1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Retention</w:t>
            </w:r>
          </w:p>
        </w:tc>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 From</w:t>
            </w:r>
          </w:p>
        </w:tc>
      </w:tr>
      <w:tr>
        <w:tc>
          <w:tcPr>
            <w:tcW w:type="dxa" w:w="26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Incident Response Plan</w:t>
            </w:r>
          </w:p>
        </w:tc>
        <w:tc>
          <w:tcPr>
            <w:tcW w:type="dxa" w:w="3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Current plan with classification taxonomy, response timelines, and notification procedures</w:t>
            </w:r>
          </w:p>
        </w:tc>
        <w:tc>
          <w:tcPr>
            <w:tcW w:type="dxa" w:w="1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Current</w:t>
            </w:r>
          </w:p>
        </w:tc>
        <w:tc>
          <w:tcPr>
            <w:tcW w:type="dxa" w:w="2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L2</w:t>
            </w:r>
          </w:p>
        </w:tc>
      </w:tr>
      <w:tr>
        <w:tc>
          <w:tcPr>
            <w:tcW w:type="dxa" w:w="26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Incident Log</w:t>
            </w:r>
          </w:p>
        </w:tc>
        <w:tc>
          <w:tcPr>
            <w:tcW w:type="dxa" w:w="3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Record of all incidents classified at Moderate or above, with severity, response timeline, and status</w:t>
            </w:r>
          </w:p>
        </w:tc>
        <w:tc>
          <w:tcPr>
            <w:tcW w:type="dxa" w:w="1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Minimum 5 years</w:t>
            </w:r>
          </w:p>
        </w:tc>
        <w:tc>
          <w:tcPr>
            <w:tcW w:type="dxa" w:w="2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L2</w:t>
            </w:r>
          </w:p>
        </w:tc>
      </w:tr>
      <w:tr>
        <w:tc>
          <w:tcPr>
            <w:tcW w:type="dxa" w:w="26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Post-Incident Review Reports</w:t>
            </w:r>
          </w:p>
        </w:tc>
        <w:tc>
          <w:tcPr>
            <w:tcW w:type="dxa" w:w="3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Documented findings, root cause analysis, and remediation action records for Critical and High incidents</w:t>
            </w:r>
          </w:p>
        </w:tc>
        <w:tc>
          <w:tcPr>
            <w:tcW w:type="dxa" w:w="1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Minimum 5 years</w:t>
            </w:r>
          </w:p>
        </w:tc>
        <w:tc>
          <w:tcPr>
            <w:tcW w:type="dxa" w:w="2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L2</w:t>
            </w:r>
          </w:p>
        </w:tc>
      </w:tr>
      <w:tr>
        <w:tc>
          <w:tcPr>
            <w:tcW w:type="dxa" w:w="26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IRP Test Records</w:t>
            </w:r>
          </w:p>
        </w:tc>
        <w:tc>
          <w:tcPr>
            <w:tcW w:type="dxa" w:w="3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Results of annual IRP tabletop or simulation exercise</w:t>
            </w:r>
          </w:p>
        </w:tc>
        <w:tc>
          <w:tcPr>
            <w:tcW w:type="dxa" w:w="1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Minimum 3 years</w:t>
            </w:r>
          </w:p>
        </w:tc>
        <w:tc>
          <w:tcPr>
            <w:tcW w:type="dxa" w:w="2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L2</w:t>
            </w:r>
          </w:p>
        </w:tc>
      </w:tr>
      <w:tr>
        <w:tc>
          <w:tcPr>
            <w:tcW w:type="dxa" w:w="26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Governance Review Records</w:t>
            </w:r>
          </w:p>
        </w:tc>
        <w:tc>
          <w:tcPr>
            <w:tcW w:type="dxa" w:w="3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Board review records triggered by governance feedback loop conditions</w:t>
            </w:r>
          </w:p>
        </w:tc>
        <w:tc>
          <w:tcPr>
            <w:tcW w:type="dxa" w:w="1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Minimum 5 years</w:t>
            </w:r>
          </w:p>
        </w:tc>
        <w:tc>
          <w:tcPr>
            <w:tcW w:type="dxa" w:w="2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L3</w:t>
            </w:r>
          </w:p>
        </w:tc>
      </w:tr>
    </w:tbl>
    <w:p>
      <w:pPr>
        <w:pStyle w:val="Heading3"/>
        <w:spacing w:before="240" w:after="80"/>
      </w:pPr>
      <w:r>
        <w:rPr>
          <w:rFonts w:ascii="Arial" w:cs="Arial" w:eastAsia="Arial" w:hAnsi="Arial"/>
          <w:b/>
          <w:bCs/>
          <w:color w:val="4A7DB5"/>
          <w:sz w:val="24"/>
          <w:szCs w:val="24"/>
        </w:rPr>
        <w:t xml:space="preserve">9.5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Failure Mode</w:t>
            </w:r>
          </w:p>
        </w:tc>
        <w:tc>
          <w:tcPr>
            <w:tcW w:type="dxa" w:w="4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c>
          <w:tcPr>
            <w:tcW w:type="dxa" w:w="2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r>
      <w:tr>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Unclassified Incident</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Incident occurs but is not logged or classified in the incident management system</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Critical — Certification Failure</w:t>
            </w:r>
          </w:p>
        </w:tc>
      </w:tr>
      <w:tr>
        <w:tc>
          <w:tcPr>
            <w:tcW w:type="dxa" w:w="2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Missed Regulatory Notification</w:t>
            </w:r>
          </w:p>
        </w:tc>
        <w:tc>
          <w:tcPr>
            <w:tcW w:type="dxa" w:w="4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Incident meeting regulatory notification threshold not reported within required timeframe</w:t>
            </w:r>
          </w:p>
        </w:tc>
        <w:tc>
          <w:tcPr>
            <w:tcW w:type="dxa" w:w="2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Critical — Certification Failure</w:t>
            </w:r>
          </w:p>
        </w:tc>
      </w:tr>
      <w:tr>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No Post-Incident Review</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Critical or High severity incident closed without documented post-incident review</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Major — Remediation Required</w:t>
            </w:r>
          </w:p>
        </w:tc>
      </w:tr>
      <w:tr>
        <w:tc>
          <w:tcPr>
            <w:tcW w:type="dxa" w:w="2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Governance Feedback Loop Inactive</w:t>
            </w:r>
          </w:p>
        </w:tc>
        <w:tc>
          <w:tcPr>
            <w:tcW w:type="dxa" w:w="4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L3 trigger conditions met but governance response not initiated</w:t>
            </w:r>
          </w:p>
        </w:tc>
        <w:tc>
          <w:tcPr>
            <w:tcW w:type="dxa" w:w="2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Major — Non-Compliant at L3</w:t>
            </w:r>
          </w:p>
        </w:tc>
      </w:tr>
    </w:tbl>
    <w:p>
      <w:pPr>
        <w:pStyle w:val="Heading3"/>
        <w:spacing w:before="240" w:after="80"/>
      </w:pPr>
      <w:r>
        <w:rPr>
          <w:rFonts w:ascii="Arial" w:cs="Arial" w:eastAsia="Arial" w:hAnsi="Arial"/>
          <w:b/>
          <w:bCs/>
          <w:color w:val="4A7DB5"/>
          <w:sz w:val="24"/>
          <w:szCs w:val="24"/>
        </w:rPr>
        <w:t xml:space="preserve">9.6 Audit Evaluation Method</w:t>
      </w:r>
    </w:p>
    <w:p>
      <w:pPr>
        <w:pStyle w:val="ListParagraph"/>
        <w:numPr>
          <w:ilvl w:val="0"/>
          <w:numId w:val="3"/>
        </w:numPr>
        <w:spacing w:before="40" w:after="60"/>
      </w:pPr>
      <w:r>
        <w:rPr>
          <w:rFonts w:ascii="Arial" w:cs="Arial" w:eastAsia="Arial" w:hAnsi="Arial"/>
          <w:color w:val="2C2C3E"/>
          <w:sz w:val="20"/>
          <w:szCs w:val="20"/>
        </w:rPr>
        <w:t xml:space="preserve">Review Incident Response Plan for completeness, including classification taxonomy, response timelines, and regulatory notification triggers.</w:t>
      </w:r>
    </w:p>
    <w:p>
      <w:pPr>
        <w:pStyle w:val="ListParagraph"/>
        <w:numPr>
          <w:ilvl w:val="0"/>
          <w:numId w:val="3"/>
        </w:numPr>
        <w:spacing w:before="40" w:after="60"/>
      </w:pPr>
      <w:r>
        <w:rPr>
          <w:rFonts w:ascii="Arial" w:cs="Arial" w:eastAsia="Arial" w:hAnsi="Arial"/>
          <w:color w:val="2C2C3E"/>
          <w:sz w:val="20"/>
          <w:szCs w:val="20"/>
        </w:rPr>
        <w:t xml:space="preserve">Review Incident Log from audit period. Verify all Critical and High incidents have corresponding post-incident review records.</w:t>
      </w:r>
    </w:p>
    <w:p>
      <w:pPr>
        <w:pStyle w:val="ListParagraph"/>
        <w:numPr>
          <w:ilvl w:val="0"/>
          <w:numId w:val="3"/>
        </w:numPr>
        <w:spacing w:before="40" w:after="60"/>
      </w:pPr>
      <w:r>
        <w:rPr>
          <w:rFonts w:ascii="Arial" w:cs="Arial" w:eastAsia="Arial" w:hAnsi="Arial"/>
          <w:color w:val="2C2C3E"/>
          <w:sz w:val="20"/>
          <w:szCs w:val="20"/>
        </w:rPr>
        <w:t xml:space="preserve">Review IRP test records to confirm annual exercise occurred and results were documented.</w:t>
      </w:r>
    </w:p>
    <w:p>
      <w:pPr>
        <w:pStyle w:val="ListParagraph"/>
        <w:numPr>
          <w:ilvl w:val="0"/>
          <w:numId w:val="3"/>
        </w:numPr>
        <w:spacing w:before="40" w:after="60"/>
      </w:pPr>
      <w:r>
        <w:rPr>
          <w:rFonts w:ascii="Arial" w:cs="Arial" w:eastAsia="Arial" w:hAnsi="Arial"/>
          <w:color w:val="2C2C3E"/>
          <w:sz w:val="20"/>
          <w:szCs w:val="20"/>
        </w:rPr>
        <w:t xml:space="preserve">For L3: Review governance feedback loop trigger log. Confirm that each trigger condition was identified and that the required governance response was initiated within the specified timeline.</w:t>
      </w:r>
    </w:p>
    <w:p>
      <w:pPr>
        <w:pStyle w:val="ListParagraph"/>
        <w:numPr>
          <w:ilvl w:val="0"/>
          <w:numId w:val="3"/>
        </w:numPr>
        <w:spacing w:before="40" w:after="60"/>
      </w:pPr>
      <w:r>
        <w:rPr>
          <w:rFonts w:ascii="Arial" w:cs="Arial" w:eastAsia="Arial" w:hAnsi="Arial"/>
          <w:color w:val="2C2C3E"/>
          <w:sz w:val="20"/>
          <w:szCs w:val="20"/>
        </w:rPr>
        <w:t xml:space="preserve">Confirm regulatory notifications were issued within required timeframes for any notifiable incidents in the audit period.</w:t>
      </w:r>
    </w:p>
    <w:p>
      <w:pPr>
        <w:spacing w:before="0" w:after="120"/>
      </w:pPr>
      <w:r>
        <w:t xml:space="preserve"/>
      </w:r>
    </w:p>
    <w:p>
      <w:r>
        <w:br w:type="page"/>
      </w:r>
    </w:p>
    <w:p>
      <w:pPr>
        <w:spacing w:before="0" w:after="40"/>
      </w:pPr>
      <w:r>
        <w:rPr>
          <w:rFonts w:ascii="Arial" w:cs="Arial" w:eastAsia="Arial" w:hAnsi="Arial"/>
          <w:b/>
          <w:bCs/>
          <w:color w:val="C8782A"/>
          <w:sz w:val="18"/>
          <w:szCs w:val="18"/>
        </w:rPr>
        <w:t xml:space="preserve">DOCUMENT 2 OF 2</w:t>
      </w:r>
    </w:p>
    <w:p>
      <w:pPr>
        <w:pStyle w:val="Heading1"/>
        <w:pBdr>
          <w:bottom w:val="single" w:color="1B2A4A" w:sz="8" w:space="6"/>
        </w:pBdr>
        <w:spacing w:before="480" w:after="160"/>
      </w:pPr>
      <w:r>
        <w:rPr>
          <w:rFonts w:ascii="Arial" w:cs="Arial" w:eastAsia="Arial" w:hAnsi="Arial"/>
          <w:b/>
          <w:bCs/>
          <w:color w:val="1B2A4A"/>
          <w:sz w:val="36"/>
          <w:szCs w:val="36"/>
        </w:rPr>
        <w:t xml:space="preserve">GAI-S Certification Tier Specification</w:t>
      </w:r>
    </w:p>
    <w:p>
      <w:pPr>
        <w:spacing w:before="60" w:after="100"/>
        <w:jc w:val="left"/>
      </w:pPr>
      <w:r>
        <w:rPr>
          <w:rFonts w:ascii="Arial" w:cs="Arial" w:eastAsia="Arial" w:hAnsi="Arial"/>
          <w:b/>
          <w:bCs/>
          <w:i w:val="false"/>
          <w:iCs w:val="false"/>
          <w:color w:val="2C2C3E"/>
          <w:sz w:val="20"/>
          <w:szCs w:val="20"/>
        </w:rPr>
        <w:t xml:space="preserve">Document ID: </w:t>
      </w:r>
      <w:r>
        <w:rPr>
          <w:rFonts w:ascii="Arial" w:cs="Arial" w:eastAsia="Arial" w:hAnsi="Arial"/>
          <w:b w:val="false"/>
          <w:bCs w:val="false"/>
          <w:i w:val="false"/>
          <w:iCs w:val="false"/>
          <w:color w:val="2C2C3E"/>
          <w:sz w:val="20"/>
          <w:szCs w:val="20"/>
        </w:rPr>
        <w:t xml:space="preserve">GAIS-STD-002</w:t>
      </w:r>
    </w:p>
    <w:p>
      <w:pPr>
        <w:spacing w:before="60" w:after="100"/>
        <w:jc w:val="left"/>
      </w:pPr>
      <w:r>
        <w:rPr>
          <w:rFonts w:ascii="Arial" w:cs="Arial" w:eastAsia="Arial" w:hAnsi="Arial"/>
          <w:b/>
          <w:bCs/>
          <w:i w:val="false"/>
          <w:iCs w:val="false"/>
          <w:color w:val="2C2C3E"/>
          <w:sz w:val="20"/>
          <w:szCs w:val="20"/>
        </w:rPr>
        <w:t xml:space="preserve">Reference File: </w:t>
      </w:r>
      <w:r>
        <w:rPr>
          <w:rFonts w:ascii="Arial" w:cs="Arial" w:eastAsia="Arial" w:hAnsi="Arial"/>
          <w:b w:val="false"/>
          <w:bCs w:val="false"/>
          <w:i w:val="false"/>
          <w:iCs w:val="false"/>
          <w:color w:val="2C2C3E"/>
          <w:sz w:val="20"/>
          <w:szCs w:val="20"/>
        </w:rPr>
        <w:t xml:space="preserve">standard/certification-tier-specification.md</w:t>
      </w:r>
    </w:p>
    <w:p>
      <w:pPr>
        <w:spacing w:before="60" w:after="100"/>
        <w:jc w:val="left"/>
      </w:pPr>
      <w:r>
        <w:rPr>
          <w:rFonts w:ascii="Arial" w:cs="Arial" w:eastAsia="Arial" w:hAnsi="Arial"/>
          <w:b/>
          <w:bCs/>
          <w:i w:val="false"/>
          <w:iCs w:val="false"/>
          <w:color w:val="2C2C3E"/>
          <w:sz w:val="20"/>
          <w:szCs w:val="20"/>
        </w:rPr>
        <w:t xml:space="preserve">Version: </w:t>
      </w:r>
      <w:r>
        <w:rPr>
          <w:rFonts w:ascii="Arial" w:cs="Arial" w:eastAsia="Arial" w:hAnsi="Arial"/>
          <w:b w:val="false"/>
          <w:bCs w:val="false"/>
          <w:i w:val="false"/>
          <w:iCs w:val="false"/>
          <w:color w:val="2C2C3E"/>
          <w:sz w:val="20"/>
          <w:szCs w:val="20"/>
        </w:rPr>
        <w:t xml:space="preserve">1.0</w:t>
      </w:r>
    </w:p>
    <w:p>
      <w:pPr>
        <w:spacing w:before="60" w:after="100"/>
        <w:jc w:val="left"/>
      </w:pPr>
      <w:r>
        <w:rPr>
          <w:rFonts w:ascii="Arial" w:cs="Arial" w:eastAsia="Arial" w:hAnsi="Arial"/>
          <w:b/>
          <w:bCs/>
          <w:i w:val="false"/>
          <w:iCs w:val="false"/>
          <w:color w:val="2C2C3E"/>
          <w:sz w:val="20"/>
          <w:szCs w:val="20"/>
        </w:rPr>
        <w:t xml:space="preserve">Status: </w:t>
      </w:r>
      <w:r>
        <w:rPr>
          <w:rFonts w:ascii="Arial" w:cs="Arial" w:eastAsia="Arial" w:hAnsi="Arial"/>
          <w:b w:val="false"/>
          <w:bCs w:val="false"/>
          <w:i w:val="false"/>
          <w:iCs w:val="false"/>
          <w:color w:val="2C2C3E"/>
          <w:sz w:val="20"/>
          <w:szCs w:val="20"/>
        </w:rPr>
        <w:t xml:space="preserve">Normative</w:t>
      </w:r>
    </w:p>
    <w:p>
      <w:pPr>
        <w:spacing w:before="0" w:after="80"/>
      </w:pPr>
      <w:r>
        <w:t xml:space="preserve"/>
      </w:r>
    </w:p>
    <w:p>
      <w:pPr>
        <w:pStyle w:val="Heading2"/>
        <w:spacing w:before="360" w:after="120"/>
      </w:pPr>
      <w:r>
        <w:rPr>
          <w:rFonts w:ascii="Arial" w:cs="Arial" w:eastAsia="Arial" w:hAnsi="Arial"/>
          <w:b/>
          <w:bCs/>
          <w:color w:val="2D5FA0"/>
          <w:sz w:val="28"/>
          <w:szCs w:val="28"/>
        </w:rPr>
        <w:t xml:space="preserve">1. Preamble</w:t>
      </w:r>
    </w:p>
    <w:p>
      <w:pPr>
        <w:spacing w:before="60" w:after="100"/>
      </w:pPr>
      <w:r>
        <w:rPr>
          <w:rFonts w:ascii="Arial" w:cs="Arial" w:eastAsia="Arial" w:hAnsi="Arial"/>
          <w:b w:val="false"/>
          <w:bCs w:val="false"/>
          <w:i w:val="false"/>
          <w:iCs w:val="false"/>
          <w:color w:val="2C2C3E"/>
          <w:sz w:val="20"/>
          <w:szCs w:val="20"/>
        </w:rPr>
        <w:t xml:space="preserve">This document formally specifies the three GAI-S certification tiers: Level 1 (Baseline Governance), Level 2 (Regulated Governance), and Level 3 (Critical Governance). Each tier is defined in normative language specifying minimum required artifacts, mandatory enforcement controls, and the conditions under which recertification is required.</w:t>
      </w:r>
    </w:p>
    <w:p>
      <w:pPr>
        <w:spacing w:before="60" w:after="100"/>
      </w:pPr>
      <w:r>
        <w:rPr>
          <w:rFonts w:ascii="Arial" w:cs="Arial" w:eastAsia="Arial" w:hAnsi="Arial"/>
          <w:b w:val="false"/>
          <w:bCs w:val="false"/>
          <w:i w:val="false"/>
          <w:iCs w:val="false"/>
          <w:color w:val="2C2C3E"/>
          <w:sz w:val="20"/>
          <w:szCs w:val="20"/>
        </w:rPr>
        <w:t xml:space="preserve">Certification tiers are cumulative. Level 2 requirements include all Level 1 requirements; Level 3 requirements include all Level 1 and Level 2 requirements. This document specifies additions or modifications at each tier; Level 1 baseline requirements apply unless explicitly superseded.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782A" w:sz="6"/>
              <w:left w:val="single" w:color="C8782A" w:sz="6"/>
              <w:bottom w:val="single" w:color="C8782A" w:sz="6"/>
              <w:right w:val="single" w:color="C8782A" w:sz="6"/>
            </w:tcBorders>
            <w:shd w:fill="FFF8F0" w:val="clear"/>
            <w:tcMar>
              <w:top w:type="dxa" w:w="100"/>
              <w:left w:type="dxa" w:w="160"/>
              <w:bottom w:type="dxa" w:w="100"/>
              <w:right w:type="dxa" w:w="160"/>
            </w:tcMar>
          </w:tcPr>
          <w:p>
            <w:r>
              <w:rPr>
                <w:rFonts w:ascii="Arial" w:cs="Arial" w:eastAsia="Arial" w:hAnsi="Arial"/>
                <w:i/>
                <w:iCs/>
                <w:color w:val="5C3A10"/>
                <w:sz w:val="19"/>
                <w:szCs w:val="19"/>
              </w:rPr>
              <w:t xml:space="preserve">Certification is evidence-based. No certification tier may be claimed on the basis of documentation of intent alone. Each certification level requires demonstrated enforcement controls supported by operational evidence artifacts independently of live system demonstration.</w:t>
            </w:r>
          </w:p>
        </w:tc>
      </w:tr>
    </w:tbl>
    <w:p>
      <w:pPr>
        <w:spacing w:before="0" w:after="80"/>
      </w:pPr>
      <w:r>
        <w:t xml:space="preserve"/>
      </w:r>
    </w:p>
    <w:p>
      <w:pPr>
        <w:pStyle w:val="Heading2"/>
        <w:spacing w:before="360" w:after="120"/>
      </w:pPr>
      <w:r>
        <w:rPr>
          <w:rFonts w:ascii="Arial" w:cs="Arial" w:eastAsia="Arial" w:hAnsi="Arial"/>
          <w:b/>
          <w:bCs/>
          <w:color w:val="2D5FA0"/>
          <w:sz w:val="28"/>
          <w:szCs w:val="28"/>
        </w:rPr>
        <w:t xml:space="preserve">2. Certification Tier Overview</w:t>
      </w:r>
    </w:p>
    <w:p>
      <w:pPr>
        <w:spacing w:before="0" w:after="4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3800"/>
        <w:gridCol w:w="3160"/>
      </w:tblGrid>
      <w:tr>
        <w:trPr>
          <w:tblHeader/>
        </w:trPr>
        <w:tc>
          <w:tcPr>
            <w:tcW w:type="dxa" w:w="9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17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Designation</w:t>
            </w:r>
          </w:p>
        </w:tc>
        <w:tc>
          <w:tcPr>
            <w:tcW w:type="dxa" w:w="3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Applicable Context</w:t>
            </w:r>
          </w:p>
        </w:tc>
        <w:tc>
          <w:tcPr>
            <w:tcW w:type="dxa" w:w="3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Governance Posture</w:t>
            </w:r>
          </w:p>
        </w:tc>
      </w:tr>
      <w:tr>
        <w:tc>
          <w:tcPr>
            <w:tcW w:type="dxa" w:w="9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Level 1</w:t>
            </w:r>
          </w:p>
        </w:tc>
        <w:tc>
          <w:tcPr>
            <w:tcW w:type="dxa" w:w="17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Baseline Governance</w:t>
            </w:r>
          </w:p>
        </w:tc>
        <w:tc>
          <w:tcPr>
            <w:tcW w:type="dxa" w:w="3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Internal tooling; low-stakes automation; informational AI assistants with no consequential output authority</w:t>
            </w:r>
          </w:p>
        </w:tc>
        <w:tc>
          <w:tcPr>
            <w:tcW w:type="dxa" w:w="31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Documented governance with basic enforcement; human oversight by convention with documented pathways</w:t>
            </w:r>
          </w:p>
        </w:tc>
      </w:tr>
      <w:tr>
        <w:tc>
          <w:tcPr>
            <w:tcW w:type="dxa" w:w="9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Level 2</w:t>
            </w:r>
          </w:p>
        </w:tc>
        <w:tc>
          <w:tcPr>
            <w:tcW w:type="dxa" w:w="17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Regulated Governance</w:t>
            </w:r>
          </w:p>
        </w:tc>
        <w:tc>
          <w:tcPr>
            <w:tcW w:type="dxa" w:w="3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Regulated industry deployment; customer-facing systems; AI influencing individual outcomes in healthcare, financial services, legal, or HR contexts</w:t>
            </w:r>
          </w:p>
        </w:tc>
        <w:tc>
          <w:tcPr>
            <w:tcW w:type="dxa" w:w="31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Architecturally enforced human oversight; quantitative risk classification; full documentation readiness</w:t>
            </w:r>
          </w:p>
        </w:tc>
      </w:tr>
      <w:tr>
        <w:tc>
          <w:tcPr>
            <w:tcW w:type="dxa" w:w="9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Level 3</w:t>
            </w:r>
          </w:p>
        </w:tc>
        <w:tc>
          <w:tcPr>
            <w:tcW w:type="dxa" w:w="17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Critical Governance</w:t>
            </w:r>
          </w:p>
        </w:tc>
        <w:tc>
          <w:tcPr>
            <w:tcW w:type="dxa" w:w="3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High-stakes, safety-critical, or rights-affecting systems; any AI operating in continuous-deployment contexts with real-time consequential output authority</w:t>
            </w:r>
          </w:p>
        </w:tc>
        <w:tc>
          <w:tcPr>
            <w:tcW w:type="dxa" w:w="31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Institutional governance board structure; validated performance metrics; external audit capability; formal regulatory alignment</w:t>
            </w:r>
          </w:p>
        </w:tc>
      </w:tr>
    </w:tbl>
    <w:p>
      <w:pPr>
        <w:spacing w:before="0" w:after="120"/>
      </w:pPr>
      <w:r>
        <w:t xml:space="preserve"/>
      </w:r>
    </w:p>
    <w:p>
      <w:r>
        <w:br w:type="page"/>
      </w:r>
    </w:p>
    <w:p>
      <w:pPr>
        <w:pStyle w:val="Heading2"/>
        <w:spacing w:before="360" w:after="120"/>
      </w:pPr>
      <w:r>
        <w:rPr>
          <w:rFonts w:ascii="Arial" w:cs="Arial" w:eastAsia="Arial" w:hAnsi="Arial"/>
          <w:b/>
          <w:bCs/>
          <w:color w:val="2D5FA0"/>
          <w:sz w:val="28"/>
          <w:szCs w:val="28"/>
        </w:rPr>
        <w:t xml:space="preserve">3. Level 1 — Baseline Governance</w:t>
      </w:r>
    </w:p>
    <w:p>
      <w:pPr>
        <w:spacing w:before="0" w:after="80"/>
      </w:pPr>
      <w:r>
        <w:rPr>
          <w:rFonts w:ascii="Arial" w:cs="Arial" w:eastAsia="Arial" w:hAnsi="Arial"/>
          <w:b/>
          <w:bCs/>
          <w:i/>
          <w:iCs/>
          <w:color w:val="4A7DB5"/>
          <w:sz w:val="22"/>
          <w:szCs w:val="22"/>
        </w:rPr>
        <w:t xml:space="preserve">Designation: Structured Advisory</w:t>
      </w:r>
    </w:p>
    <w:p>
      <w:pPr>
        <w:pStyle w:val="Heading3"/>
        <w:spacing w:before="240" w:after="80"/>
      </w:pPr>
      <w:r>
        <w:rPr>
          <w:rFonts w:ascii="Arial" w:cs="Arial" w:eastAsia="Arial" w:hAnsi="Arial"/>
          <w:b/>
          <w:bCs/>
          <w:color w:val="4A7DB5"/>
          <w:sz w:val="24"/>
          <w:szCs w:val="24"/>
        </w:rPr>
        <w:t xml:space="preserve">3.1 Scope and Applicability</w:t>
      </w:r>
    </w:p>
    <w:p>
      <w:pPr>
        <w:spacing w:before="60" w:after="100"/>
      </w:pPr>
      <w:r>
        <w:rPr>
          <w:rFonts w:ascii="Arial" w:cs="Arial" w:eastAsia="Arial" w:hAnsi="Arial"/>
          <w:b w:val="false"/>
          <w:bCs w:val="false"/>
          <w:i w:val="false"/>
          <w:iCs w:val="false"/>
          <w:color w:val="2C2C3E"/>
          <w:sz w:val="20"/>
          <w:szCs w:val="20"/>
        </w:rPr>
        <w:t xml:space="preserve">Level 1 certification is appropriate for AI systems operating in an advisory capacity where:</w:t>
      </w:r>
    </w:p>
    <w:p>
      <w:pPr>
        <w:pStyle w:val="ListParagraph"/>
        <w:numPr>
          <w:ilvl w:val="0"/>
          <w:numId w:val="2"/>
        </w:numPr>
        <w:spacing w:before="40" w:after="60"/>
      </w:pPr>
      <w:r>
        <w:rPr>
          <w:rFonts w:ascii="Arial" w:cs="Arial" w:eastAsia="Arial" w:hAnsi="Arial"/>
          <w:color w:val="2C2C3E"/>
          <w:sz w:val="20"/>
          <w:szCs w:val="20"/>
        </w:rPr>
        <w:t xml:space="preserve">Consequential decisions remain with humans by convention and documented practice.</w:t>
      </w:r>
    </w:p>
    <w:p>
      <w:pPr>
        <w:pStyle w:val="ListParagraph"/>
        <w:numPr>
          <w:ilvl w:val="0"/>
          <w:numId w:val="2"/>
        </w:numPr>
        <w:spacing w:before="40" w:after="60"/>
      </w:pPr>
      <w:r>
        <w:rPr>
          <w:rFonts w:ascii="Arial" w:cs="Arial" w:eastAsia="Arial" w:hAnsi="Arial"/>
          <w:color w:val="2C2C3E"/>
          <w:sz w:val="20"/>
          <w:szCs w:val="20"/>
        </w:rPr>
        <w:t xml:space="preserve">The deployment context does not involve regulated data (PHI, financial account data, legally privileged content) as primary inputs.</w:t>
      </w:r>
    </w:p>
    <w:p>
      <w:pPr>
        <w:pStyle w:val="ListParagraph"/>
        <w:numPr>
          <w:ilvl w:val="0"/>
          <w:numId w:val="2"/>
        </w:numPr>
        <w:spacing w:before="40" w:after="60"/>
      </w:pPr>
      <w:r>
        <w:rPr>
          <w:rFonts w:ascii="Arial" w:cs="Arial" w:eastAsia="Arial" w:hAnsi="Arial"/>
          <w:color w:val="2C2C3E"/>
          <w:sz w:val="20"/>
          <w:szCs w:val="20"/>
        </w:rPr>
        <w:t xml:space="preserve">The AI system does not generate outputs that directly determine individual eligibility, entitlement, or access to services.</w:t>
      </w:r>
    </w:p>
    <w:p>
      <w:pPr>
        <w:pStyle w:val="ListParagraph"/>
        <w:numPr>
          <w:ilvl w:val="0"/>
          <w:numId w:val="2"/>
        </w:numPr>
        <w:spacing w:before="40" w:after="60"/>
      </w:pPr>
      <w:r>
        <w:rPr>
          <w:rFonts w:ascii="Arial" w:cs="Arial" w:eastAsia="Arial" w:hAnsi="Arial"/>
          <w:color w:val="2C2C3E"/>
          <w:sz w:val="20"/>
          <w:szCs w:val="20"/>
        </w:rPr>
        <w:t xml:space="preserve">Human review of AI outputs is accessible and routinely practiced without architectural enforcement.</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782A" w:sz="6"/>
              <w:left w:val="single" w:color="C8782A" w:sz="6"/>
              <w:bottom w:val="single" w:color="C8782A" w:sz="6"/>
              <w:right w:val="single" w:color="C8782A" w:sz="6"/>
            </w:tcBorders>
            <w:shd w:fill="FFF8F0" w:val="clear"/>
            <w:tcMar>
              <w:top w:type="dxa" w:w="100"/>
              <w:left w:type="dxa" w:w="160"/>
              <w:bottom w:type="dxa" w:w="100"/>
              <w:right w:type="dxa" w:w="160"/>
            </w:tcMar>
          </w:tcPr>
          <w:p>
            <w:r>
              <w:rPr>
                <w:rFonts w:ascii="Arial" w:cs="Arial" w:eastAsia="Arial" w:hAnsi="Arial"/>
                <w:i/>
                <w:iCs/>
                <w:color w:val="5C3A10"/>
                <w:sz w:val="19"/>
                <w:szCs w:val="19"/>
              </w:rPr>
              <w:t xml:space="preserve">Level 1 is NOT appropriate for: healthcare AI advising on clinical decisions; financial AI influencing credit or lending outcomes; AI systems generating customer-facing recommendations with material financial or safety implications; or any system where human review bypass is reasonably foreseeable without architectural controls.</w:t>
            </w:r>
          </w:p>
        </w:tc>
      </w:tr>
    </w:tbl>
    <w:p>
      <w:pPr>
        <w:pStyle w:val="Heading3"/>
        <w:spacing w:before="240" w:after="80"/>
      </w:pPr>
      <w:r>
        <w:rPr>
          <w:rFonts w:ascii="Arial" w:cs="Arial" w:eastAsia="Arial" w:hAnsi="Arial"/>
          <w:b/>
          <w:bCs/>
          <w:color w:val="4A7DB5"/>
          <w:sz w:val="24"/>
          <w:szCs w:val="24"/>
        </w:rPr>
        <w:t xml:space="preserve">3.2 Mandatory Enforcement Controls</w:t>
      </w:r>
    </w:p>
    <w:p>
      <w:pPr>
        <w:spacing w:before="60" w:after="100"/>
      </w:pPr>
      <w:r>
        <w:rPr>
          <w:rFonts w:ascii="Arial" w:cs="Arial" w:eastAsia="Arial" w:hAnsi="Arial"/>
          <w:b w:val="false"/>
          <w:bCs w:val="false"/>
          <w:i w:val="false"/>
          <w:iCs w:val="false"/>
          <w:color w:val="2C2C3E"/>
          <w:sz w:val="20"/>
          <w:szCs w:val="20"/>
        </w:rPr>
        <w:t xml:space="preserve">The following controls MUST be technically implemented and operationally verified: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800"/>
      </w:tblGrid>
      <w:tr>
        <w:trPr>
          <w:tblHeader/>
        </w:trPr>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Control</w:t>
            </w:r>
          </w:p>
        </w:tc>
        <w:tc>
          <w:tcPr>
            <w:tcW w:type="dxa" w:w="45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Enforcement Requirement</w:t>
            </w:r>
          </w:p>
        </w:tc>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Domain</w:t>
            </w:r>
          </w:p>
        </w:tc>
      </w:tr>
      <w:tr>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AI Role Definition</w:t>
            </w:r>
          </w:p>
        </w:tc>
        <w:tc>
          <w:tcPr>
            <w:tcW w:type="dxa" w:w="4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AI system role, advisory scope, and prohibited autonomous actions MUST be formally defined in an Authority Boundary Document</w:t>
            </w:r>
          </w:p>
        </w:tc>
        <w:tc>
          <w:tcPr>
            <w:tcW w:type="dxa" w:w="1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D2</w:t>
            </w:r>
          </w:p>
        </w:tc>
      </w:tr>
      <w:tr>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Escalation Pathway</w:t>
            </w:r>
          </w:p>
        </w:tc>
        <w:tc>
          <w:tcPr>
            <w:tcW w:type="dxa" w:w="4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 documented escalation pathway MUST exist for high-risk outputs, linking to an identified human reviewer or review role</w:t>
            </w:r>
          </w:p>
        </w:tc>
        <w:tc>
          <w:tcPr>
            <w:tcW w:type="dxa" w:w="1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D2</w:t>
            </w:r>
          </w:p>
        </w:tc>
      </w:tr>
      <w:tr>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User Disclosure</w:t>
            </w:r>
          </w:p>
        </w:tc>
        <w:tc>
          <w:tcPr>
            <w:tcW w:type="dxa" w:w="4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End users MUST receive mandatory disclosure that they are interacting with an AI system</w:t>
            </w:r>
          </w:p>
        </w:tc>
        <w:tc>
          <w:tcPr>
            <w:tcW w:type="dxa" w:w="1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D2</w:t>
            </w:r>
          </w:p>
        </w:tc>
      </w:tr>
      <w:tr>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Data Classification</w:t>
            </w:r>
          </w:p>
        </w:tc>
        <w:tc>
          <w:tcPr>
            <w:tcW w:type="dxa" w:w="4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All data processed MUST be classified according to a formally defined classification model</w:t>
            </w:r>
          </w:p>
        </w:tc>
        <w:tc>
          <w:tcPr>
            <w:tcW w:type="dxa" w:w="1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D3</w:t>
            </w:r>
          </w:p>
        </w:tc>
      </w:tr>
      <w:tr>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Basic Encryption</w:t>
            </w:r>
          </w:p>
        </w:tc>
        <w:tc>
          <w:tcPr>
            <w:tcW w:type="dxa" w:w="4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Restricted and Sensitive data MUST be encrypted at rest and in transit per documented standards</w:t>
            </w:r>
          </w:p>
        </w:tc>
        <w:tc>
          <w:tcPr>
            <w:tcW w:type="dxa" w:w="1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D3</w:t>
            </w:r>
          </w:p>
        </w:tc>
      </w:tr>
      <w:tr>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Access Control</w:t>
            </w:r>
          </w:p>
        </w:tc>
        <w:tc>
          <w:tcPr>
            <w:tcW w:type="dxa" w:w="4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Access to Restricted and Sensitive data MUST be governed by documented role-based access controls</w:t>
            </w:r>
          </w:p>
        </w:tc>
        <w:tc>
          <w:tcPr>
            <w:tcW w:type="dxa" w:w="1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D3</w:t>
            </w:r>
          </w:p>
        </w:tc>
      </w:tr>
      <w:tr>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Risk Tier Definition</w:t>
            </w:r>
          </w:p>
        </w:tc>
        <w:tc>
          <w:tcPr>
            <w:tcW w:type="dxa" w:w="4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Risk tiers (qualitative permitted at L1) MUST be formally defined with documented action mapping</w:t>
            </w:r>
          </w:p>
        </w:tc>
        <w:tc>
          <w:tcPr>
            <w:tcW w:type="dxa" w:w="1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D1</w:t>
            </w:r>
          </w:p>
        </w:tc>
      </w:tr>
      <w:tr>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Audit Logging</w:t>
            </w:r>
          </w:p>
        </w:tc>
        <w:tc>
          <w:tcPr>
            <w:tcW w:type="dxa" w:w="4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Governance-relevant events MUST be captured in audit logs with tamper-evident storage</w:t>
            </w:r>
          </w:p>
        </w:tc>
        <w:tc>
          <w:tcPr>
            <w:tcW w:type="dxa" w:w="1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D5</w:t>
            </w:r>
          </w:p>
        </w:tc>
      </w:tr>
    </w:tbl>
    <w:p>
      <w:pPr>
        <w:pStyle w:val="Heading3"/>
        <w:spacing w:before="240" w:after="80"/>
      </w:pPr>
      <w:r>
        <w:rPr>
          <w:rFonts w:ascii="Arial" w:cs="Arial" w:eastAsia="Arial" w:hAnsi="Arial"/>
          <w:b/>
          <w:bCs/>
          <w:color w:val="4A7DB5"/>
          <w:sz w:val="24"/>
          <w:szCs w:val="24"/>
        </w:rPr>
        <w:t xml:space="preserve">3.3 Required Documentation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Artifact</w:t>
            </w:r>
          </w:p>
        </w:tc>
        <w:tc>
          <w:tcPr>
            <w:tcW w:type="dxa" w:w="4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2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Mandatory / Recommended</w:t>
            </w:r>
          </w:p>
        </w:tc>
      </w:tr>
      <w:tr>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System Architecture Diagram</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Technical overview of all components and data flows</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MANDATORY</w:t>
            </w:r>
          </w:p>
        </w:tc>
      </w:tr>
      <w:tr>
        <w:tc>
          <w:tcPr>
            <w:tcW w:type="dxa" w:w="2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Authority Boundary Document</w:t>
            </w:r>
          </w:p>
        </w:tc>
        <w:tc>
          <w:tcPr>
            <w:tcW w:type="dxa" w:w="4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AI role, prohibited actions, human authority hierarchy, and escalation pathways</w:t>
            </w:r>
          </w:p>
        </w:tc>
        <w:tc>
          <w:tcPr>
            <w:tcW w:type="dxa" w:w="2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MANDATORY</w:t>
            </w:r>
          </w:p>
        </w:tc>
      </w:tr>
      <w:tr>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Responsible AI Statement</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Intended use, limitations, bias mitigation, and user rights disclosures</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MANDATORY</w:t>
            </w:r>
          </w:p>
        </w:tc>
      </w:tr>
      <w:tr>
        <w:tc>
          <w:tcPr>
            <w:tcW w:type="dxa" w:w="2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Risk Classification Matrix</w:t>
            </w:r>
          </w:p>
        </w:tc>
        <w:tc>
          <w:tcPr>
            <w:tcW w:type="dxa" w:w="4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Qualitative risk tier definitions and action mapping</w:t>
            </w:r>
          </w:p>
        </w:tc>
        <w:tc>
          <w:tcPr>
            <w:tcW w:type="dxa" w:w="2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MANDATORY</w:t>
            </w:r>
          </w:p>
        </w:tc>
      </w:tr>
      <w:tr>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Data Governance Summary</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Classification model, residency, encryption standard, and access control approach</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MANDATORY</w:t>
            </w:r>
          </w:p>
        </w:tc>
      </w:tr>
      <w:tr>
        <w:tc>
          <w:tcPr>
            <w:tcW w:type="dxa" w:w="2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Audit Log Configuration Record</w:t>
            </w:r>
          </w:p>
        </w:tc>
        <w:tc>
          <w:tcPr>
            <w:tcW w:type="dxa" w:w="4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Documentation of logging implementation and tamper-evident storage mechanism</w:t>
            </w:r>
          </w:p>
        </w:tc>
        <w:tc>
          <w:tcPr>
            <w:tcW w:type="dxa" w:w="2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MANDATORY</w:t>
            </w:r>
          </w:p>
        </w:tc>
      </w:tr>
      <w:tr>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Internal Self-Assessment Report</w:t>
            </w:r>
          </w:p>
        </w:tc>
        <w:tc>
          <w:tcPr>
            <w:tcW w:type="dxa" w:w="4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Annual self-assessment against L1 checklist</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MANDATORY</w:t>
            </w:r>
          </w:p>
        </w:tc>
      </w:tr>
    </w:tbl>
    <w:p>
      <w:pPr>
        <w:pStyle w:val="Heading3"/>
        <w:spacing w:before="240" w:after="80"/>
      </w:pPr>
      <w:r>
        <w:rPr>
          <w:rFonts w:ascii="Arial" w:cs="Arial" w:eastAsia="Arial" w:hAnsi="Arial"/>
          <w:b/>
          <w:bCs/>
          <w:color w:val="4A7DB5"/>
          <w:sz w:val="24"/>
          <w:szCs w:val="24"/>
        </w:rPr>
        <w:t xml:space="preserve">3.4 Audit Method</w:t>
      </w:r>
    </w:p>
    <w:p>
      <w:pPr>
        <w:spacing w:before="60" w:after="100"/>
      </w:pPr>
      <w:r>
        <w:rPr>
          <w:rFonts w:ascii="Arial" w:cs="Arial" w:eastAsia="Arial" w:hAnsi="Arial"/>
          <w:b w:val="false"/>
          <w:bCs w:val="false"/>
          <w:i w:val="false"/>
          <w:iCs w:val="false"/>
          <w:color w:val="2C2C3E"/>
          <w:sz w:val="20"/>
          <w:szCs w:val="20"/>
        </w:rPr>
        <w:t xml:space="preserve">Level 1 self-assessment is conducted by the implementing organization using the GAI-S Level 1 checklist. The self-assessment MUST be completed annually and MUST produce a written report documenting evidence reviewed, findings, and any open remediation items.</w:t>
      </w:r>
    </w:p>
    <w:p>
      <w:pPr>
        <w:spacing w:before="60" w:after="100"/>
      </w:pPr>
      <w:r>
        <w:rPr>
          <w:rFonts w:ascii="Arial" w:cs="Arial" w:eastAsia="Arial" w:hAnsi="Arial"/>
          <w:b w:val="false"/>
          <w:bCs w:val="false"/>
          <w:i w:val="false"/>
          <w:iCs w:val="false"/>
          <w:color w:val="2C2C3E"/>
          <w:sz w:val="20"/>
          <w:szCs w:val="20"/>
        </w:rPr>
        <w:t xml:space="preserve">Third-party audit is not required at Level 1 but MAY be engaged voluntarily. Voluntary third-party review findings MUST be addressed or documented as accepted risks.</w:t>
      </w:r>
    </w:p>
    <w:p>
      <w:pPr>
        <w:pStyle w:val="Heading3"/>
        <w:spacing w:before="240" w:after="80"/>
      </w:pPr>
      <w:r>
        <w:rPr>
          <w:rFonts w:ascii="Arial" w:cs="Arial" w:eastAsia="Arial" w:hAnsi="Arial"/>
          <w:b/>
          <w:bCs/>
          <w:color w:val="4A7DB5"/>
          <w:sz w:val="24"/>
          <w:szCs w:val="24"/>
        </w:rPr>
        <w:t xml:space="preserve">3.5 Recertification Triggers</w:t>
      </w:r>
    </w:p>
    <w:p>
      <w:pPr>
        <w:spacing w:before="60" w:after="100"/>
      </w:pPr>
      <w:r>
        <w:rPr>
          <w:rFonts w:ascii="Arial" w:cs="Arial" w:eastAsia="Arial" w:hAnsi="Arial"/>
          <w:b w:val="false"/>
          <w:bCs w:val="false"/>
          <w:i w:val="false"/>
          <w:iCs w:val="false"/>
          <w:color w:val="2C2C3E"/>
          <w:sz w:val="20"/>
          <w:szCs w:val="20"/>
        </w:rPr>
        <w:t xml:space="preserve">Level 1 annual self-assessment MUST be completed within 12 months of the prior assessment. In addition, an out-of-cycle assessment MUST be initiated within 30 days of any of the following events:</w:t>
      </w:r>
    </w:p>
    <w:p>
      <w:pPr>
        <w:pStyle w:val="ListParagraph"/>
        <w:numPr>
          <w:ilvl w:val="0"/>
          <w:numId w:val="2"/>
        </w:numPr>
        <w:spacing w:before="40" w:after="60"/>
      </w:pPr>
      <w:r>
        <w:rPr>
          <w:rFonts w:ascii="Arial" w:cs="Arial" w:eastAsia="Arial" w:hAnsi="Arial"/>
          <w:color w:val="2C2C3E"/>
          <w:sz w:val="20"/>
          <w:szCs w:val="20"/>
        </w:rPr>
        <w:t xml:space="preserve">Material change to the AI system's decision scope or output authority.</w:t>
      </w:r>
    </w:p>
    <w:p>
      <w:pPr>
        <w:pStyle w:val="ListParagraph"/>
        <w:numPr>
          <w:ilvl w:val="0"/>
          <w:numId w:val="2"/>
        </w:numPr>
        <w:spacing w:before="40" w:after="60"/>
      </w:pPr>
      <w:r>
        <w:rPr>
          <w:rFonts w:ascii="Arial" w:cs="Arial" w:eastAsia="Arial" w:hAnsi="Arial"/>
          <w:color w:val="2C2C3E"/>
          <w:sz w:val="20"/>
          <w:szCs w:val="20"/>
        </w:rPr>
        <w:t xml:space="preserve">Introduction of new data categories requiring classification under the Data Governance domain.</w:t>
      </w:r>
    </w:p>
    <w:p>
      <w:pPr>
        <w:pStyle w:val="ListParagraph"/>
        <w:numPr>
          <w:ilvl w:val="0"/>
          <w:numId w:val="2"/>
        </w:numPr>
        <w:spacing w:before="40" w:after="60"/>
      </w:pPr>
      <w:r>
        <w:rPr>
          <w:rFonts w:ascii="Arial" w:cs="Arial" w:eastAsia="Arial" w:hAnsi="Arial"/>
          <w:color w:val="2C2C3E"/>
          <w:sz w:val="20"/>
          <w:szCs w:val="20"/>
        </w:rPr>
        <w:t xml:space="preserve">Deployment of the AI system in a new organizational context or user population.</w:t>
      </w:r>
    </w:p>
    <w:p>
      <w:pPr>
        <w:pStyle w:val="ListParagraph"/>
        <w:numPr>
          <w:ilvl w:val="0"/>
          <w:numId w:val="2"/>
        </w:numPr>
        <w:spacing w:before="40" w:after="60"/>
      </w:pPr>
      <w:r>
        <w:rPr>
          <w:rFonts w:ascii="Arial" w:cs="Arial" w:eastAsia="Arial" w:hAnsi="Arial"/>
          <w:color w:val="2C2C3E"/>
          <w:sz w:val="20"/>
          <w:szCs w:val="20"/>
        </w:rPr>
        <w:t xml:space="preserve">Any security incident affecting audit log integrity or access control enforcement.</w:t>
      </w:r>
    </w:p>
    <w:p>
      <w:pPr>
        <w:pStyle w:val="ListParagraph"/>
        <w:numPr>
          <w:ilvl w:val="0"/>
          <w:numId w:val="2"/>
        </w:numPr>
        <w:spacing w:before="40" w:after="60"/>
      </w:pPr>
      <w:r>
        <w:rPr>
          <w:rFonts w:ascii="Arial" w:cs="Arial" w:eastAsia="Arial" w:hAnsi="Arial"/>
          <w:color w:val="2C2C3E"/>
          <w:sz w:val="20"/>
          <w:szCs w:val="20"/>
        </w:rPr>
        <w:t xml:space="preserve">Regulatory change affecting applicable compliance obligations.</w:t>
      </w:r>
    </w:p>
    <w:p>
      <w:pPr>
        <w:spacing w:before="0" w:after="80"/>
      </w:pPr>
      <w:r>
        <w:t xml:space="preserve"/>
      </w:r>
    </w:p>
    <w:p>
      <w:r>
        <w:br w:type="page"/>
      </w:r>
    </w:p>
    <w:p>
      <w:pPr>
        <w:pStyle w:val="Heading2"/>
        <w:spacing w:before="360" w:after="120"/>
      </w:pPr>
      <w:r>
        <w:rPr>
          <w:rFonts w:ascii="Arial" w:cs="Arial" w:eastAsia="Arial" w:hAnsi="Arial"/>
          <w:b/>
          <w:bCs/>
          <w:color w:val="2D5FA0"/>
          <w:sz w:val="28"/>
          <w:szCs w:val="28"/>
        </w:rPr>
        <w:t xml:space="preserve">4. Level 2 — Regulated Governance</w:t>
      </w:r>
    </w:p>
    <w:p>
      <w:pPr>
        <w:spacing w:before="0" w:after="80"/>
      </w:pPr>
      <w:r>
        <w:rPr>
          <w:rFonts w:ascii="Arial" w:cs="Arial" w:eastAsia="Arial" w:hAnsi="Arial"/>
          <w:b/>
          <w:bCs/>
          <w:i/>
          <w:iCs/>
          <w:color w:val="4A7DB5"/>
          <w:sz w:val="22"/>
          <w:szCs w:val="22"/>
        </w:rPr>
        <w:t xml:space="preserve">Designation: Controlled Operational Deployment</w:t>
      </w:r>
    </w:p>
    <w:p>
      <w:pPr>
        <w:pStyle w:val="Heading3"/>
        <w:spacing w:before="240" w:after="80"/>
      </w:pPr>
      <w:r>
        <w:rPr>
          <w:rFonts w:ascii="Arial" w:cs="Arial" w:eastAsia="Arial" w:hAnsi="Arial"/>
          <w:b/>
          <w:bCs/>
          <w:color w:val="4A7DB5"/>
          <w:sz w:val="24"/>
          <w:szCs w:val="24"/>
        </w:rPr>
        <w:t xml:space="preserve">4.1 Scope and Applicability</w:t>
      </w:r>
    </w:p>
    <w:p>
      <w:pPr>
        <w:spacing w:before="60" w:after="100"/>
      </w:pPr>
      <w:r>
        <w:rPr>
          <w:rFonts w:ascii="Arial" w:cs="Arial" w:eastAsia="Arial" w:hAnsi="Arial"/>
          <w:b w:val="false"/>
          <w:bCs w:val="false"/>
          <w:i w:val="false"/>
          <w:iCs w:val="false"/>
          <w:color w:val="2C2C3E"/>
          <w:sz w:val="20"/>
          <w:szCs w:val="20"/>
        </w:rPr>
        <w:t xml:space="preserve">Level 2 certification is required for AI systems where:</w:t>
      </w:r>
    </w:p>
    <w:p>
      <w:pPr>
        <w:pStyle w:val="ListParagraph"/>
        <w:numPr>
          <w:ilvl w:val="0"/>
          <w:numId w:val="2"/>
        </w:numPr>
        <w:spacing w:before="40" w:after="60"/>
      </w:pPr>
      <w:r>
        <w:rPr>
          <w:rFonts w:ascii="Arial" w:cs="Arial" w:eastAsia="Arial" w:hAnsi="Arial"/>
          <w:color w:val="2C2C3E"/>
          <w:sz w:val="20"/>
          <w:szCs w:val="20"/>
        </w:rPr>
        <w:t xml:space="preserve">The deployment context involves regulated data or regulated decision categories (healthcare, financial services, legal services, HR, or public sector).</w:t>
      </w:r>
    </w:p>
    <w:p>
      <w:pPr>
        <w:pStyle w:val="ListParagraph"/>
        <w:numPr>
          <w:ilvl w:val="0"/>
          <w:numId w:val="2"/>
        </w:numPr>
        <w:spacing w:before="40" w:after="60"/>
      </w:pPr>
      <w:r>
        <w:rPr>
          <w:rFonts w:ascii="Arial" w:cs="Arial" w:eastAsia="Arial" w:hAnsi="Arial"/>
          <w:color w:val="2C2C3E"/>
          <w:sz w:val="20"/>
          <w:szCs w:val="20"/>
        </w:rPr>
        <w:t xml:space="preserve">The AI system is customer-facing or generates outputs that materially influence individual eligibility, entitlement, creditworthiness, or access to services.</w:t>
      </w:r>
    </w:p>
    <w:p>
      <w:pPr>
        <w:pStyle w:val="ListParagraph"/>
        <w:numPr>
          <w:ilvl w:val="0"/>
          <w:numId w:val="2"/>
        </w:numPr>
        <w:spacing w:before="40" w:after="60"/>
      </w:pPr>
      <w:r>
        <w:rPr>
          <w:rFonts w:ascii="Arial" w:cs="Arial" w:eastAsia="Arial" w:hAnsi="Arial"/>
          <w:color w:val="2C2C3E"/>
          <w:sz w:val="20"/>
          <w:szCs w:val="20"/>
        </w:rPr>
        <w:t xml:space="preserve">Human review of high-risk outputs MUST be guaranteed by system architecture, not assumed by policy.</w:t>
      </w:r>
    </w:p>
    <w:p>
      <w:pPr>
        <w:pStyle w:val="ListParagraph"/>
        <w:numPr>
          <w:ilvl w:val="0"/>
          <w:numId w:val="2"/>
        </w:numPr>
        <w:spacing w:before="40" w:after="60"/>
      </w:pPr>
      <w:r>
        <w:rPr>
          <w:rFonts w:ascii="Arial" w:cs="Arial" w:eastAsia="Arial" w:hAnsi="Arial"/>
          <w:color w:val="2C2C3E"/>
          <w:sz w:val="20"/>
          <w:szCs w:val="20"/>
        </w:rPr>
        <w:t xml:space="preserve">The organization is subject to regulatory frameworks requiring documented AI risk management (EU AI Act high-risk classification, HIPAA, FCRA, ECOA, or equivalent).</w:t>
      </w:r>
    </w:p>
    <w:p>
      <w:pPr>
        <w:pStyle w:val="Heading3"/>
        <w:spacing w:before="240" w:after="80"/>
      </w:pPr>
      <w:r>
        <w:rPr>
          <w:rFonts w:ascii="Arial" w:cs="Arial" w:eastAsia="Arial" w:hAnsi="Arial"/>
          <w:b/>
          <w:bCs/>
          <w:color w:val="4A7DB5"/>
          <w:sz w:val="24"/>
          <w:szCs w:val="24"/>
        </w:rPr>
        <w:t xml:space="preserve">4.2 Mandatory Enforcement Controls</w:t>
      </w:r>
    </w:p>
    <w:p>
      <w:pPr>
        <w:spacing w:before="60" w:after="100"/>
      </w:pPr>
      <w:r>
        <w:rPr>
          <w:rFonts w:ascii="Arial" w:cs="Arial" w:eastAsia="Arial" w:hAnsi="Arial"/>
          <w:b w:val="false"/>
          <w:bCs w:val="false"/>
          <w:i w:val="false"/>
          <w:iCs w:val="false"/>
          <w:color w:val="2C2C3E"/>
          <w:sz w:val="20"/>
          <w:szCs w:val="20"/>
        </w:rPr>
        <w:t xml:space="preserve">The following controls MUST be technically implemented in addition to all Level 1 controls: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800"/>
      </w:tblGrid>
      <w:tr>
        <w:trPr>
          <w:tblHeader/>
        </w:trPr>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Control</w:t>
            </w:r>
          </w:p>
        </w:tc>
        <w:tc>
          <w:tcPr>
            <w:tcW w:type="dxa" w:w="45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Enforcement Requirement</w:t>
            </w:r>
          </w:p>
        </w:tc>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Domain</w:t>
            </w:r>
          </w:p>
        </w:tc>
      </w:tr>
      <w:tr>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CRI Scoring Engine</w:t>
            </w:r>
          </w:p>
        </w:tc>
        <w:tc>
          <w:tcPr>
            <w:tcW w:type="dxa" w:w="4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Composite Risk Index MUST be computed for all outputs using documented P × S formula; computation MUST be logged</w:t>
            </w:r>
          </w:p>
        </w:tc>
        <w:tc>
          <w:tcPr>
            <w:tcW w:type="dxa" w:w="1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D1</w:t>
            </w:r>
          </w:p>
        </w:tc>
      </w:tr>
      <w:tr>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Automated Escalation Thresholds</w:t>
            </w:r>
          </w:p>
        </w:tc>
        <w:tc>
          <w:tcPr>
            <w:tcW w:type="dxa" w:w="4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Escalation to human review queue MUST be automatically triggered at CRI ≥ 13; no operator override of automatic escalation without logged exception</w:t>
            </w:r>
          </w:p>
        </w:tc>
        <w:tc>
          <w:tcPr>
            <w:tcW w:type="dxa" w:w="1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D1</w:t>
            </w:r>
          </w:p>
        </w:tc>
      </w:tr>
      <w:tr>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Confidence Score Tracking</w:t>
            </w:r>
          </w:p>
        </w:tc>
        <w:tc>
          <w:tcPr>
            <w:tcW w:type="dxa" w:w="4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Model confidence score MUST be logged with each output; low-confidence + high-CRI automatic escalation MUST be implemented</w:t>
            </w:r>
          </w:p>
        </w:tc>
        <w:tc>
          <w:tcPr>
            <w:tcW w:type="dxa" w:w="1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D1</w:t>
            </w:r>
          </w:p>
        </w:tc>
      </w:tr>
      <w:tr>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Architectural Human Review Gate</w:t>
            </w:r>
          </w:p>
        </w:tc>
        <w:tc>
          <w:tcPr>
            <w:tcW w:type="dxa" w:w="4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System architecture MUST prevent CRI ≥ 13 outputs from reaching users without passing human review gate</w:t>
            </w:r>
          </w:p>
        </w:tc>
        <w:tc>
          <w:tcPr>
            <w:tcW w:type="dxa" w:w="1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D2</w:t>
            </w:r>
          </w:p>
        </w:tc>
      </w:tr>
      <w:tr>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Override Audit Trail</w:t>
            </w:r>
          </w:p>
        </w:tc>
        <w:tc>
          <w:tcPr>
            <w:tcW w:type="dxa" w:w="4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All human overrides MUST be logged with actor identity, timestamp, original output, decision, and documented rationale</w:t>
            </w:r>
          </w:p>
        </w:tc>
        <w:tc>
          <w:tcPr>
            <w:tcW w:type="dxa" w:w="1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D2</w:t>
            </w:r>
          </w:p>
        </w:tc>
      </w:tr>
      <w:tr>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Trust Boundary Architecture</w:t>
            </w:r>
          </w:p>
        </w:tc>
        <w:tc>
          <w:tcPr>
            <w:tcW w:type="dxa" w:w="4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Complete trust boundary diagram MUST be documented and enforced</w:t>
            </w:r>
          </w:p>
        </w:tc>
        <w:tc>
          <w:tcPr>
            <w:tcW w:type="dxa" w:w="1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D4</w:t>
            </w:r>
          </w:p>
        </w:tc>
      </w:tr>
      <w:tr>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Environment Separation</w:t>
            </w:r>
          </w:p>
        </w:tc>
        <w:tc>
          <w:tcPr>
            <w:tcW w:type="dxa" w:w="4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Strict Dev/Stage/Prod separation MUST be implemented and enforced</w:t>
            </w:r>
          </w:p>
        </w:tc>
        <w:tc>
          <w:tcPr>
            <w:tcW w:type="dxa" w:w="1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D4</w:t>
            </w:r>
          </w:p>
        </w:tc>
      </w:tr>
      <w:tr>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Dependency Manifest</w:t>
            </w:r>
          </w:p>
        </w:tc>
        <w:tc>
          <w:tcPr>
            <w:tcW w:type="dxa" w:w="4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Current inventory of all system dependencies MUST be maintained</w:t>
            </w:r>
          </w:p>
        </w:tc>
        <w:tc>
          <w:tcPr>
            <w:tcW w:type="dxa" w:w="1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D4</w:t>
            </w:r>
          </w:p>
        </w:tc>
      </w:tr>
      <w:tr>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Incident Response Plan</w:t>
            </w:r>
          </w:p>
        </w:tc>
        <w:tc>
          <w:tcPr>
            <w:tcW w:type="dxa" w:w="4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Operational IRP with tested classification and response procedures MUST be in force</w:t>
            </w:r>
          </w:p>
        </w:tc>
        <w:tc>
          <w:tcPr>
            <w:tcW w:type="dxa" w:w="1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D6</w:t>
            </w:r>
          </w:p>
        </w:tc>
      </w:tr>
      <w:tr>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Change Management</w:t>
            </w:r>
          </w:p>
        </w:tc>
        <w:tc>
          <w:tcPr>
            <w:tcW w:type="dxa" w:w="4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All material system changes MUST follow documented change control with approval trail</w:t>
            </w:r>
          </w:p>
        </w:tc>
        <w:tc>
          <w:tcPr>
            <w:tcW w:type="dxa" w:w="1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D5</w:t>
            </w:r>
          </w:p>
        </w:tc>
      </w:tr>
    </w:tbl>
    <w:p>
      <w:pPr>
        <w:pStyle w:val="Heading3"/>
        <w:spacing w:before="240" w:after="80"/>
      </w:pPr>
      <w:r>
        <w:rPr>
          <w:rFonts w:ascii="Arial" w:cs="Arial" w:eastAsia="Arial" w:hAnsi="Arial"/>
          <w:b/>
          <w:bCs/>
          <w:color w:val="4A7DB5"/>
          <w:sz w:val="24"/>
          <w:szCs w:val="24"/>
        </w:rPr>
        <w:t xml:space="preserve">4.3 Required Documentation Artifacts</w:t>
      </w:r>
    </w:p>
    <w:p>
      <w:pPr>
        <w:spacing w:before="60" w:after="100"/>
      </w:pPr>
      <w:r>
        <w:rPr>
          <w:rFonts w:ascii="Arial" w:cs="Arial" w:eastAsia="Arial" w:hAnsi="Arial"/>
          <w:b w:val="false"/>
          <w:bCs w:val="false"/>
          <w:i w:val="false"/>
          <w:iCs w:val="false"/>
          <w:color w:val="2C2C3E"/>
          <w:sz w:val="20"/>
          <w:szCs w:val="20"/>
        </w:rPr>
        <w:t xml:space="preserve">All Level 1 artifacts are required, plus: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Artifact</w:t>
            </w:r>
          </w:p>
        </w:tc>
        <w:tc>
          <w:tcPr>
            <w:tcW w:type="dxa" w:w="4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2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Mandatory / Recommended</w:t>
            </w:r>
          </w:p>
        </w:tc>
      </w:tr>
      <w:tr>
        <w:tc>
          <w:tcPr>
            <w:tcW w:type="dxa" w:w="3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Risk Classification Matrix (CRI)</w:t>
            </w:r>
          </w:p>
        </w:tc>
        <w:tc>
          <w:tcPr>
            <w:tcW w:type="dxa" w:w="4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CRI formula, P/S scoring rubrics, threshold values, and automated escalation configuration</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MANDATORY</w:t>
            </w:r>
          </w:p>
        </w:tc>
      </w:tr>
      <w:tr>
        <w:tc>
          <w:tcPr>
            <w:tcW w:type="dxa" w:w="3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CRI Computation Logs (Sample)</w:t>
            </w:r>
          </w:p>
        </w:tc>
        <w:tc>
          <w:tcPr>
            <w:tcW w:type="dxa" w:w="4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Sample of logged CRI computations from the audit period demonstrating completeness</w:t>
            </w:r>
          </w:p>
        </w:tc>
        <w:tc>
          <w:tcPr>
            <w:tcW w:type="dxa" w:w="2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MANDATORY</w:t>
            </w:r>
          </w:p>
        </w:tc>
      </w:tr>
      <w:tr>
        <w:tc>
          <w:tcPr>
            <w:tcW w:type="dxa" w:w="3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Human Review Queue Records (Sample)</w:t>
            </w:r>
          </w:p>
        </w:tc>
        <w:tc>
          <w:tcPr>
            <w:tcW w:type="dxa" w:w="4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Evidence of CRI ≥ 13 routing, reviewer assignment, and SLA compliance</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MANDATORY</w:t>
            </w:r>
          </w:p>
        </w:tc>
      </w:tr>
      <w:tr>
        <w:tc>
          <w:tcPr>
            <w:tcW w:type="dxa" w:w="3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Data Governance Architecture</w:t>
            </w:r>
          </w:p>
        </w:tc>
        <w:tc>
          <w:tcPr>
            <w:tcW w:type="dxa" w:w="4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Classification model, residency declaration, inference boundary document, encryption and RBAC documentation</w:t>
            </w:r>
          </w:p>
        </w:tc>
        <w:tc>
          <w:tcPr>
            <w:tcW w:type="dxa" w:w="2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MANDATORY</w:t>
            </w:r>
          </w:p>
        </w:tc>
      </w:tr>
      <w:tr>
        <w:tc>
          <w:tcPr>
            <w:tcW w:type="dxa" w:w="3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Deployment Architecture Document</w:t>
            </w:r>
          </w:p>
        </w:tc>
        <w:tc>
          <w:tcPr>
            <w:tcW w:type="dxa" w:w="4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Environment separation, dependency manifest, trust boundary diagram</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MANDATORY</w:t>
            </w:r>
          </w:p>
        </w:tc>
      </w:tr>
      <w:tr>
        <w:tc>
          <w:tcPr>
            <w:tcW w:type="dxa" w:w="3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Incident Response Plan</w:t>
            </w:r>
          </w:p>
        </w:tc>
        <w:tc>
          <w:tcPr>
            <w:tcW w:type="dxa" w:w="4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Operational IRP including classification taxonomy and response timelines</w:t>
            </w:r>
          </w:p>
        </w:tc>
        <w:tc>
          <w:tcPr>
            <w:tcW w:type="dxa" w:w="2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MANDATORY</w:t>
            </w:r>
          </w:p>
        </w:tc>
      </w:tr>
      <w:tr>
        <w:tc>
          <w:tcPr>
            <w:tcW w:type="dxa" w:w="3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IRP Test Record</w:t>
            </w:r>
          </w:p>
        </w:tc>
        <w:tc>
          <w:tcPr>
            <w:tcW w:type="dxa" w:w="4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Documentation of most recent annual IRP exercise</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MANDATORY</w:t>
            </w:r>
          </w:p>
        </w:tc>
      </w:tr>
      <w:tr>
        <w:tc>
          <w:tcPr>
            <w:tcW w:type="dxa" w:w="3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Change Management Log</w:t>
            </w:r>
          </w:p>
        </w:tc>
        <w:tc>
          <w:tcPr>
            <w:tcW w:type="dxa" w:w="4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Record of all material system changes during the audit period with approval trail</w:t>
            </w:r>
          </w:p>
        </w:tc>
        <w:tc>
          <w:tcPr>
            <w:tcW w:type="dxa" w:w="2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MANDATORY</w:t>
            </w:r>
          </w:p>
        </w:tc>
      </w:tr>
      <w:tr>
        <w:tc>
          <w:tcPr>
            <w:tcW w:type="dxa" w:w="3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Override Log Sample</w:t>
            </w:r>
          </w:p>
        </w:tc>
        <w:tc>
          <w:tcPr>
            <w:tcW w:type="dxa" w:w="4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Sample of human override records from the audit period</w:t>
            </w:r>
          </w:p>
        </w:tc>
        <w:tc>
          <w:tcPr>
            <w:tcW w:type="dxa" w:w="23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MANDATORY</w:t>
            </w:r>
          </w:p>
        </w:tc>
      </w:tr>
      <w:tr>
        <w:tc>
          <w:tcPr>
            <w:tcW w:type="dxa" w:w="3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Internal Audit Report</w:t>
            </w:r>
          </w:p>
        </w:tc>
        <w:tc>
          <w:tcPr>
            <w:tcW w:type="dxa" w:w="4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Annual audit report with findings and management response</w:t>
            </w:r>
          </w:p>
        </w:tc>
        <w:tc>
          <w:tcPr>
            <w:tcW w:type="dxa" w:w="23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MANDATORY</w:t>
            </w:r>
          </w:p>
        </w:tc>
      </w:tr>
    </w:tbl>
    <w:p>
      <w:pPr>
        <w:pStyle w:val="Heading3"/>
        <w:spacing w:before="240" w:after="80"/>
      </w:pPr>
      <w:r>
        <w:rPr>
          <w:rFonts w:ascii="Arial" w:cs="Arial" w:eastAsia="Arial" w:hAnsi="Arial"/>
          <w:b/>
          <w:bCs/>
          <w:color w:val="4A7DB5"/>
          <w:sz w:val="24"/>
          <w:szCs w:val="24"/>
        </w:rPr>
        <w:t xml:space="preserve">4.4 Audit Method</w:t>
      </w:r>
    </w:p>
    <w:p>
      <w:pPr>
        <w:spacing w:before="60" w:after="100"/>
      </w:pPr>
      <w:r>
        <w:rPr>
          <w:rFonts w:ascii="Arial" w:cs="Arial" w:eastAsia="Arial" w:hAnsi="Arial"/>
          <w:b w:val="false"/>
          <w:bCs w:val="false"/>
          <w:i w:val="false"/>
          <w:iCs w:val="false"/>
          <w:color w:val="2C2C3E"/>
          <w:sz w:val="20"/>
          <w:szCs w:val="20"/>
        </w:rPr>
        <w:t xml:space="preserve">Level 2 requires a formal internal audit conducted by personnel independent of day-to-day system operations, with documented qualifications in AI governance or information technology compliance. The audit MUST be completed annually and MUST produce a written report including:</w:t>
      </w:r>
    </w:p>
    <w:p>
      <w:pPr>
        <w:pStyle w:val="ListParagraph"/>
        <w:numPr>
          <w:ilvl w:val="0"/>
          <w:numId w:val="2"/>
        </w:numPr>
        <w:spacing w:before="40" w:after="60"/>
      </w:pPr>
      <w:r>
        <w:rPr>
          <w:rFonts w:ascii="Arial" w:cs="Arial" w:eastAsia="Arial" w:hAnsi="Arial"/>
          <w:color w:val="2C2C3E"/>
          <w:sz w:val="20"/>
          <w:szCs w:val="20"/>
        </w:rPr>
        <w:t xml:space="preserve">Audit scope and methodology.</w:t>
      </w:r>
    </w:p>
    <w:p>
      <w:pPr>
        <w:pStyle w:val="ListParagraph"/>
        <w:numPr>
          <w:ilvl w:val="0"/>
          <w:numId w:val="2"/>
        </w:numPr>
        <w:spacing w:before="40" w:after="60"/>
      </w:pPr>
      <w:r>
        <w:rPr>
          <w:rFonts w:ascii="Arial" w:cs="Arial" w:eastAsia="Arial" w:hAnsi="Arial"/>
          <w:color w:val="2C2C3E"/>
          <w:sz w:val="20"/>
          <w:szCs w:val="20"/>
        </w:rPr>
        <w:t xml:space="preserve">Evidence reviewed with document references.</w:t>
      </w:r>
    </w:p>
    <w:p>
      <w:pPr>
        <w:pStyle w:val="ListParagraph"/>
        <w:numPr>
          <w:ilvl w:val="0"/>
          <w:numId w:val="2"/>
        </w:numPr>
        <w:spacing w:before="40" w:after="60"/>
      </w:pPr>
      <w:r>
        <w:rPr>
          <w:rFonts w:ascii="Arial" w:cs="Arial" w:eastAsia="Arial" w:hAnsi="Arial"/>
          <w:color w:val="2C2C3E"/>
          <w:sz w:val="20"/>
          <w:szCs w:val="20"/>
        </w:rPr>
        <w:t xml:space="preserve">Control testing procedures and results for each mandatory enforcement control.</w:t>
      </w:r>
    </w:p>
    <w:p>
      <w:pPr>
        <w:pStyle w:val="ListParagraph"/>
        <w:numPr>
          <w:ilvl w:val="0"/>
          <w:numId w:val="2"/>
        </w:numPr>
        <w:spacing w:before="40" w:after="60"/>
      </w:pPr>
      <w:r>
        <w:rPr>
          <w:rFonts w:ascii="Arial" w:cs="Arial" w:eastAsia="Arial" w:hAnsi="Arial"/>
          <w:color w:val="2C2C3E"/>
          <w:sz w:val="20"/>
          <w:szCs w:val="20"/>
        </w:rPr>
        <w:t xml:space="preserve">Findings, classified by severity (Critical / Major / Minor / Observation).</w:t>
      </w:r>
    </w:p>
    <w:p>
      <w:pPr>
        <w:pStyle w:val="ListParagraph"/>
        <w:numPr>
          <w:ilvl w:val="0"/>
          <w:numId w:val="2"/>
        </w:numPr>
        <w:spacing w:before="40" w:after="60"/>
      </w:pPr>
      <w:r>
        <w:rPr>
          <w:rFonts w:ascii="Arial" w:cs="Arial" w:eastAsia="Arial" w:hAnsi="Arial"/>
          <w:color w:val="2C2C3E"/>
          <w:sz w:val="20"/>
          <w:szCs w:val="20"/>
        </w:rPr>
        <w:t xml:space="preserve">Management response and remediation plan for each finding.</w:t>
      </w:r>
    </w:p>
    <w:p>
      <w:pPr>
        <w:pStyle w:val="ListParagraph"/>
        <w:numPr>
          <w:ilvl w:val="0"/>
          <w:numId w:val="2"/>
        </w:numPr>
        <w:spacing w:before="40" w:after="60"/>
      </w:pPr>
      <w:r>
        <w:rPr>
          <w:rFonts w:ascii="Arial" w:cs="Arial" w:eastAsia="Arial" w:hAnsi="Arial"/>
          <w:color w:val="2C2C3E"/>
          <w:sz w:val="20"/>
          <w:szCs w:val="20"/>
        </w:rPr>
        <w:t xml:space="preserve">Auditor conclusion as to Level 2 compliance posture.</w:t>
      </w:r>
    </w:p>
    <w:p>
      <w:pPr>
        <w:pStyle w:val="Heading3"/>
        <w:spacing w:before="240" w:after="80"/>
      </w:pPr>
      <w:r>
        <w:rPr>
          <w:rFonts w:ascii="Arial" w:cs="Arial" w:eastAsia="Arial" w:hAnsi="Arial"/>
          <w:b/>
          <w:bCs/>
          <w:color w:val="4A7DB5"/>
          <w:sz w:val="24"/>
          <w:szCs w:val="24"/>
        </w:rPr>
        <w:t xml:space="preserve">4.5 Recertification Triggers</w:t>
      </w:r>
    </w:p>
    <w:p>
      <w:pPr>
        <w:spacing w:before="60" w:after="100"/>
      </w:pPr>
      <w:r>
        <w:rPr>
          <w:rFonts w:ascii="Arial" w:cs="Arial" w:eastAsia="Arial" w:hAnsi="Arial"/>
          <w:b w:val="false"/>
          <w:bCs w:val="false"/>
          <w:i w:val="false"/>
          <w:iCs w:val="false"/>
          <w:color w:val="2C2C3E"/>
          <w:sz w:val="20"/>
          <w:szCs w:val="20"/>
        </w:rPr>
        <w:t xml:space="preserve">Level 2 annual internal audit MUST be completed within 12 months of the prior audit. Out-of-cycle gap assessment MUST be initiated within 30 days of any of the following:</w:t>
      </w:r>
    </w:p>
    <w:p>
      <w:pPr>
        <w:pStyle w:val="ListParagraph"/>
        <w:numPr>
          <w:ilvl w:val="0"/>
          <w:numId w:val="2"/>
        </w:numPr>
        <w:spacing w:before="40" w:after="60"/>
      </w:pPr>
      <w:r>
        <w:rPr>
          <w:rFonts w:ascii="Arial" w:cs="Arial" w:eastAsia="Arial" w:hAnsi="Arial"/>
          <w:color w:val="2C2C3E"/>
          <w:sz w:val="20"/>
          <w:szCs w:val="20"/>
        </w:rPr>
        <w:t xml:space="preserve">Material change to the AI system's risk classification methodology or threshold values.</w:t>
      </w:r>
    </w:p>
    <w:p>
      <w:pPr>
        <w:pStyle w:val="ListParagraph"/>
        <w:numPr>
          <w:ilvl w:val="0"/>
          <w:numId w:val="2"/>
        </w:numPr>
        <w:spacing w:before="40" w:after="60"/>
      </w:pPr>
      <w:r>
        <w:rPr>
          <w:rFonts w:ascii="Arial" w:cs="Arial" w:eastAsia="Arial" w:hAnsi="Arial"/>
          <w:color w:val="2C2C3E"/>
          <w:sz w:val="20"/>
          <w:szCs w:val="20"/>
        </w:rPr>
        <w:t xml:space="preserve">Deployment of the AI system in a materially new context, sector, or user population.</w:t>
      </w:r>
    </w:p>
    <w:p>
      <w:pPr>
        <w:pStyle w:val="ListParagraph"/>
        <w:numPr>
          <w:ilvl w:val="0"/>
          <w:numId w:val="2"/>
        </w:numPr>
        <w:spacing w:before="40" w:after="60"/>
      </w:pPr>
      <w:r>
        <w:rPr>
          <w:rFonts w:ascii="Arial" w:cs="Arial" w:eastAsia="Arial" w:hAnsi="Arial"/>
          <w:color w:val="2C2C3E"/>
          <w:sz w:val="20"/>
          <w:szCs w:val="20"/>
        </w:rPr>
        <w:t xml:space="preserve">Any Critical-severity incident involving risk classification failure, human review gate bypass, or data boundary violation.</w:t>
      </w:r>
    </w:p>
    <w:p>
      <w:pPr>
        <w:pStyle w:val="ListParagraph"/>
        <w:numPr>
          <w:ilvl w:val="0"/>
          <w:numId w:val="2"/>
        </w:numPr>
        <w:spacing w:before="40" w:after="60"/>
      </w:pPr>
      <w:r>
        <w:rPr>
          <w:rFonts w:ascii="Arial" w:cs="Arial" w:eastAsia="Arial" w:hAnsi="Arial"/>
          <w:color w:val="2C2C3E"/>
          <w:sz w:val="20"/>
          <w:szCs w:val="20"/>
        </w:rPr>
        <w:t xml:space="preserve">Regulatory change creating new compliance obligations not addressed by the current governance architecture.</w:t>
      </w:r>
    </w:p>
    <w:p>
      <w:pPr>
        <w:pStyle w:val="ListParagraph"/>
        <w:numPr>
          <w:ilvl w:val="0"/>
          <w:numId w:val="2"/>
        </w:numPr>
        <w:spacing w:before="40" w:after="60"/>
      </w:pPr>
      <w:r>
        <w:rPr>
          <w:rFonts w:ascii="Arial" w:cs="Arial" w:eastAsia="Arial" w:hAnsi="Arial"/>
          <w:color w:val="2C2C3E"/>
          <w:sz w:val="20"/>
          <w:szCs w:val="20"/>
        </w:rPr>
        <w:t xml:space="preserve">Material change to a foundation model provider or external inference partner.</w:t>
      </w:r>
    </w:p>
    <w:p>
      <w:pPr>
        <w:pStyle w:val="ListParagraph"/>
        <w:numPr>
          <w:ilvl w:val="0"/>
          <w:numId w:val="2"/>
        </w:numPr>
        <w:spacing w:before="40" w:after="60"/>
      </w:pPr>
      <w:r>
        <w:rPr>
          <w:rFonts w:ascii="Arial" w:cs="Arial" w:eastAsia="Arial" w:hAnsi="Arial"/>
          <w:color w:val="2C2C3E"/>
          <w:sz w:val="20"/>
          <w:szCs w:val="20"/>
        </w:rPr>
        <w:t xml:space="preserve">Structural change to the human review gate or escalation pathway architecture.</w:t>
      </w:r>
    </w:p>
    <w:p>
      <w:pPr>
        <w:spacing w:before="0" w:after="80"/>
      </w:pPr>
      <w:r>
        <w:t xml:space="preserve"/>
      </w:r>
    </w:p>
    <w:p>
      <w:r>
        <w:br w:type="page"/>
      </w:r>
    </w:p>
    <w:p>
      <w:pPr>
        <w:pStyle w:val="Heading2"/>
        <w:spacing w:before="360" w:after="120"/>
      </w:pPr>
      <w:r>
        <w:rPr>
          <w:rFonts w:ascii="Arial" w:cs="Arial" w:eastAsia="Arial" w:hAnsi="Arial"/>
          <w:b/>
          <w:bCs/>
          <w:color w:val="2D5FA0"/>
          <w:sz w:val="28"/>
          <w:szCs w:val="28"/>
        </w:rPr>
        <w:t xml:space="preserve">5. Level 3 — Critical Governance</w:t>
      </w:r>
    </w:p>
    <w:p>
      <w:pPr>
        <w:spacing w:before="0" w:after="80"/>
      </w:pPr>
      <w:r>
        <w:rPr>
          <w:rFonts w:ascii="Arial" w:cs="Arial" w:eastAsia="Arial" w:hAnsi="Arial"/>
          <w:b/>
          <w:bCs/>
          <w:i/>
          <w:iCs/>
          <w:color w:val="4A7DB5"/>
          <w:sz w:val="22"/>
          <w:szCs w:val="22"/>
        </w:rPr>
        <w:t xml:space="preserve">Designation: Institutional Grade Deployment</w:t>
      </w:r>
    </w:p>
    <w:p>
      <w:pPr>
        <w:pStyle w:val="Heading3"/>
        <w:spacing w:before="240" w:after="80"/>
      </w:pPr>
      <w:r>
        <w:rPr>
          <w:rFonts w:ascii="Arial" w:cs="Arial" w:eastAsia="Arial" w:hAnsi="Arial"/>
          <w:b/>
          <w:bCs/>
          <w:color w:val="4A7DB5"/>
          <w:sz w:val="24"/>
          <w:szCs w:val="24"/>
        </w:rPr>
        <w:t xml:space="preserve">5.1 Scope and Applicability</w:t>
      </w:r>
    </w:p>
    <w:p>
      <w:pPr>
        <w:spacing w:before="60" w:after="100"/>
      </w:pPr>
      <w:r>
        <w:rPr>
          <w:rFonts w:ascii="Arial" w:cs="Arial" w:eastAsia="Arial" w:hAnsi="Arial"/>
          <w:b w:val="false"/>
          <w:bCs w:val="false"/>
          <w:i w:val="false"/>
          <w:iCs w:val="false"/>
          <w:color w:val="2C2C3E"/>
          <w:sz w:val="20"/>
          <w:szCs w:val="20"/>
        </w:rPr>
        <w:t xml:space="preserve">Level 3 certification is required for AI systems operating in the highest-consequence contexts, including:</w:t>
      </w:r>
    </w:p>
    <w:p>
      <w:pPr>
        <w:pStyle w:val="ListParagraph"/>
        <w:numPr>
          <w:ilvl w:val="0"/>
          <w:numId w:val="2"/>
        </w:numPr>
        <w:spacing w:before="40" w:after="60"/>
      </w:pPr>
      <w:r>
        <w:rPr>
          <w:rFonts w:ascii="Arial" w:cs="Arial" w:eastAsia="Arial" w:hAnsi="Arial"/>
          <w:color w:val="2C2C3E"/>
          <w:sz w:val="20"/>
          <w:szCs w:val="20"/>
        </w:rPr>
        <w:t xml:space="preserve">Healthcare AI systems embedded in clinical workflows with direct influence on care decisions.</w:t>
      </w:r>
    </w:p>
    <w:p>
      <w:pPr>
        <w:pStyle w:val="ListParagraph"/>
        <w:numPr>
          <w:ilvl w:val="0"/>
          <w:numId w:val="2"/>
        </w:numPr>
        <w:spacing w:before="40" w:after="60"/>
      </w:pPr>
      <w:r>
        <w:rPr>
          <w:rFonts w:ascii="Arial" w:cs="Arial" w:eastAsia="Arial" w:hAnsi="Arial"/>
          <w:color w:val="2C2C3E"/>
          <w:sz w:val="20"/>
          <w:szCs w:val="20"/>
        </w:rPr>
        <w:t xml:space="preserve">Financial AI systems influencing individual credit, underwriting, or account-level decisions.</w:t>
      </w:r>
    </w:p>
    <w:p>
      <w:pPr>
        <w:pStyle w:val="ListParagraph"/>
        <w:numPr>
          <w:ilvl w:val="0"/>
          <w:numId w:val="2"/>
        </w:numPr>
        <w:spacing w:before="40" w:after="60"/>
      </w:pPr>
      <w:r>
        <w:rPr>
          <w:rFonts w:ascii="Arial" w:cs="Arial" w:eastAsia="Arial" w:hAnsi="Arial"/>
          <w:color w:val="2C2C3E"/>
          <w:sz w:val="20"/>
          <w:szCs w:val="20"/>
        </w:rPr>
        <w:t xml:space="preserve">AI systems operating in legal, judicial, or rights-determination contexts.</w:t>
      </w:r>
    </w:p>
    <w:p>
      <w:pPr>
        <w:pStyle w:val="ListParagraph"/>
        <w:numPr>
          <w:ilvl w:val="0"/>
          <w:numId w:val="2"/>
        </w:numPr>
        <w:spacing w:before="40" w:after="60"/>
      </w:pPr>
      <w:r>
        <w:rPr>
          <w:rFonts w:ascii="Arial" w:cs="Arial" w:eastAsia="Arial" w:hAnsi="Arial"/>
          <w:color w:val="2C2C3E"/>
          <w:sz w:val="20"/>
          <w:szCs w:val="20"/>
        </w:rPr>
        <w:t xml:space="preserve">Public sector AI systems with authority over benefits, enforcement, or public safety functions.</w:t>
      </w:r>
    </w:p>
    <w:p>
      <w:pPr>
        <w:pStyle w:val="ListParagraph"/>
        <w:numPr>
          <w:ilvl w:val="0"/>
          <w:numId w:val="2"/>
        </w:numPr>
        <w:spacing w:before="40" w:after="60"/>
      </w:pPr>
      <w:r>
        <w:rPr>
          <w:rFonts w:ascii="Arial" w:cs="Arial" w:eastAsia="Arial" w:hAnsi="Arial"/>
          <w:color w:val="2C2C3E"/>
          <w:sz w:val="20"/>
          <w:szCs w:val="20"/>
        </w:rPr>
        <w:t xml:space="preserve">Any AI system operating continuously with real-time consequential output authority and no natural human checkpoint in the operational flow.</w:t>
      </w:r>
    </w:p>
    <w:p>
      <w:pPr>
        <w:pStyle w:val="ListParagraph"/>
        <w:numPr>
          <w:ilvl w:val="0"/>
          <w:numId w:val="2"/>
        </w:numPr>
        <w:spacing w:before="40" w:after="60"/>
      </w:pPr>
      <w:r>
        <w:rPr>
          <w:rFonts w:ascii="Arial" w:cs="Arial" w:eastAsia="Arial" w:hAnsi="Arial"/>
          <w:color w:val="2C2C3E"/>
          <w:sz w:val="20"/>
          <w:szCs w:val="20"/>
        </w:rPr>
        <w:t xml:space="preserve">AI systems subject to EU AI Act high-risk classification under Annex III.</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782A" w:sz="6"/>
              <w:left w:val="single" w:color="C8782A" w:sz="6"/>
              <w:bottom w:val="single" w:color="C8782A" w:sz="6"/>
              <w:right w:val="single" w:color="C8782A" w:sz="6"/>
            </w:tcBorders>
            <w:shd w:fill="FFF8F0" w:val="clear"/>
            <w:tcMar>
              <w:top w:type="dxa" w:w="100"/>
              <w:left w:type="dxa" w:w="160"/>
              <w:bottom w:type="dxa" w:w="100"/>
              <w:right w:type="dxa" w:w="160"/>
            </w:tcMar>
          </w:tcPr>
          <w:p>
            <w:r>
              <w:rPr>
                <w:rFonts w:ascii="Arial" w:cs="Arial" w:eastAsia="Arial" w:hAnsi="Arial"/>
                <w:i/>
                <w:iCs/>
                <w:color w:val="5C3A10"/>
                <w:sz w:val="19"/>
                <w:szCs w:val="19"/>
              </w:rPr>
              <w:t xml:space="preserve">Level 3 certification requires formal governance institutionalization through defined boards with documented membership, mandate, and accountability. Governance board structures are not optional at Level 3; their absence constitutes a certification failure.</w:t>
            </w:r>
          </w:p>
        </w:tc>
      </w:tr>
    </w:tbl>
    <w:p>
      <w:pPr>
        <w:pStyle w:val="Heading3"/>
        <w:spacing w:before="240" w:after="80"/>
      </w:pPr>
      <w:r>
        <w:rPr>
          <w:rFonts w:ascii="Arial" w:cs="Arial" w:eastAsia="Arial" w:hAnsi="Arial"/>
          <w:b/>
          <w:bCs/>
          <w:color w:val="4A7DB5"/>
          <w:sz w:val="24"/>
          <w:szCs w:val="24"/>
        </w:rPr>
        <w:t xml:space="preserve">5.2 Mandatory Enforcement Controls</w:t>
      </w:r>
    </w:p>
    <w:p>
      <w:pPr>
        <w:spacing w:before="60" w:after="100"/>
      </w:pPr>
      <w:r>
        <w:rPr>
          <w:rFonts w:ascii="Arial" w:cs="Arial" w:eastAsia="Arial" w:hAnsi="Arial"/>
          <w:b w:val="false"/>
          <w:bCs w:val="false"/>
          <w:i w:val="false"/>
          <w:iCs w:val="false"/>
          <w:color w:val="2C2C3E"/>
          <w:sz w:val="20"/>
          <w:szCs w:val="20"/>
        </w:rPr>
        <w:t xml:space="preserve">The following controls MUST be technically implemented and institutionally maintained in addition to all Level 1 and Level 2 controls: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180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Control</w:t>
            </w:r>
          </w:p>
        </w:tc>
        <w:tc>
          <w:tcPr>
            <w:tcW w:type="dxa" w:w="4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Enforcement Requirement</w:t>
            </w:r>
          </w:p>
        </w:tc>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Domain</w:t>
            </w:r>
          </w:p>
        </w:tc>
      </w:tr>
      <w:tr>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Domain Oversight Board</w:t>
            </w:r>
          </w:p>
        </w:tc>
        <w:tc>
          <w:tcPr>
            <w:tcW w:type="dxa" w:w="41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Formal governance board with documented membership, mandate, quarterly meeting cadence, and decision authority over major system changes</w:t>
            </w:r>
          </w:p>
        </w:tc>
        <w:tc>
          <w:tcPr>
            <w:tcW w:type="dxa" w:w="1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D2 / D5</w:t>
            </w:r>
          </w:p>
        </w:tc>
      </w:tr>
      <w:tr>
        <w:tc>
          <w:tcPr>
            <w:tcW w:type="dxa" w:w="2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Technical Safety Review Board</w:t>
            </w:r>
          </w:p>
        </w:tc>
        <w:tc>
          <w:tcPr>
            <w:tcW w:type="dxa" w:w="41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Operational review body responsible for risk model performance, model validation, and bias assessment with quarterly meeting cadence</w:t>
            </w:r>
          </w:p>
        </w:tc>
        <w:tc>
          <w:tcPr>
            <w:tcW w:type="dxa" w:w="1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D1 / D5</w:t>
            </w:r>
          </w:p>
        </w:tc>
      </w:tr>
      <w:tr>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Compliance Officer of Record</w:t>
            </w:r>
          </w:p>
        </w:tc>
        <w:tc>
          <w:tcPr>
            <w:tcW w:type="dxa" w:w="41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Named individual with documented qualifications responsible for day-to-day compliance monitoring, regulatory liaison, and audit coordination</w:t>
            </w:r>
          </w:p>
        </w:tc>
        <w:tc>
          <w:tcPr>
            <w:tcW w:type="dxa" w:w="1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D5</w:t>
            </w:r>
          </w:p>
        </w:tc>
      </w:tr>
      <w:tr>
        <w:tc>
          <w:tcPr>
            <w:tcW w:type="dxa" w:w="2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Drift Detection Monitoring</w:t>
            </w:r>
          </w:p>
        </w:tc>
        <w:tc>
          <w:tcPr>
            <w:tcW w:type="dxa" w:w="41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Active, automated monitoring of CRI distribution for statistical drift; weekly minimum cadence; drift alerts with documented response SLA</w:t>
            </w:r>
          </w:p>
        </w:tc>
        <w:tc>
          <w:tcPr>
            <w:tcW w:type="dxa" w:w="1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D1</w:t>
            </w:r>
          </w:p>
        </w:tc>
      </w:tr>
      <w:tr>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Quarterly Model Validation</w:t>
            </w:r>
          </w:p>
        </w:tc>
        <w:tc>
          <w:tcPr>
            <w:tcW w:type="dxa" w:w="41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Formal quarterly model performance audit conducted by Technical Safety Review Board; FPR/FNR metrics reviewed; bias analysis completed</w:t>
            </w:r>
          </w:p>
        </w:tc>
        <w:tc>
          <w:tcPr>
            <w:tcW w:type="dxa" w:w="1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D1</w:t>
            </w:r>
          </w:p>
        </w:tc>
      </w:tr>
      <w:tr>
        <w:tc>
          <w:tcPr>
            <w:tcW w:type="dxa" w:w="2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Threshold Recalibration Governance</w:t>
            </w:r>
          </w:p>
        </w:tc>
        <w:tc>
          <w:tcPr>
            <w:tcW w:type="dxa" w:w="41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Any modification to risk classification thresholds MUST require Technical Safety Review Board approval prior to production deployment</w:t>
            </w:r>
          </w:p>
        </w:tc>
        <w:tc>
          <w:tcPr>
            <w:tcW w:type="dxa" w:w="1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D1</w:t>
            </w:r>
          </w:p>
        </w:tc>
      </w:tr>
      <w:tr>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Business Continuity and DR Plan</w:t>
            </w:r>
          </w:p>
        </w:tc>
        <w:tc>
          <w:tcPr>
            <w:tcW w:type="dxa" w:w="41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Documented BC/DR plan with defined RTO/RPO targets; tested annually; manual escalation workflow documented for pathway failure scenarios</w:t>
            </w:r>
          </w:p>
        </w:tc>
        <w:tc>
          <w:tcPr>
            <w:tcW w:type="dxa" w:w="1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D4</w:t>
            </w:r>
          </w:p>
        </w:tc>
      </w:tr>
      <w:tr>
        <w:tc>
          <w:tcPr>
            <w:tcW w:type="dxa" w:w="2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Regulatory Alignment Matrix</w:t>
            </w:r>
          </w:p>
        </w:tc>
        <w:tc>
          <w:tcPr>
            <w:tcW w:type="dxa" w:w="41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Cross-mapping of GAI-S controls to all applicable regulatory frameworks, maintained current</w:t>
            </w:r>
          </w:p>
        </w:tc>
        <w:tc>
          <w:tcPr>
            <w:tcW w:type="dxa" w:w="1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D5</w:t>
            </w:r>
          </w:p>
        </w:tc>
      </w:tr>
      <w:tr>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Governance Incident Feedback Loop</w:t>
            </w:r>
          </w:p>
        </w:tc>
        <w:tc>
          <w:tcPr>
            <w:tcW w:type="dxa" w:w="41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Institutional response mechanisms for Critical incidents, recurring incident patterns, and sustained performance degradation — see Domain D6</w:t>
            </w:r>
          </w:p>
        </w:tc>
        <w:tc>
          <w:tcPr>
            <w:tcW w:type="dxa" w:w="1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D6</w:t>
            </w:r>
          </w:p>
        </w:tc>
      </w:tr>
      <w:tr>
        <w:tc>
          <w:tcPr>
            <w:tcW w:type="dxa" w:w="2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Annual Internal Audit</w:t>
            </w:r>
          </w:p>
        </w:tc>
        <w:tc>
          <w:tcPr>
            <w:tcW w:type="dxa" w:w="41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Full-scope internal audit with governance board effectiveness assessment and model validation review included in scope</w:t>
            </w:r>
          </w:p>
        </w:tc>
        <w:tc>
          <w:tcPr>
            <w:tcW w:type="dxa" w:w="1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D5</w:t>
            </w:r>
          </w:p>
        </w:tc>
      </w:tr>
      <w:tr>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Annual Signed Attestation</w:t>
            </w:r>
          </w:p>
        </w:tc>
        <w:tc>
          <w:tcPr>
            <w:tcW w:type="dxa" w:w="41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Compliance Officer of Record MUST sign annual attestation; Governance Board Chair MUST review and co-sign</w:t>
            </w:r>
          </w:p>
        </w:tc>
        <w:tc>
          <w:tcPr>
            <w:tcW w:type="dxa" w:w="1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D5</w:t>
            </w:r>
          </w:p>
        </w:tc>
      </w:tr>
    </w:tbl>
    <w:p>
      <w:pPr>
        <w:pStyle w:val="Heading3"/>
        <w:spacing w:before="240" w:after="80"/>
      </w:pPr>
      <w:r>
        <w:rPr>
          <w:rFonts w:ascii="Arial" w:cs="Arial" w:eastAsia="Arial" w:hAnsi="Arial"/>
          <w:b/>
          <w:bCs/>
          <w:color w:val="4A7DB5"/>
          <w:sz w:val="24"/>
          <w:szCs w:val="24"/>
        </w:rPr>
        <w:t xml:space="preserve">5.3 Governance Board Specification</w:t>
      </w:r>
    </w:p>
    <w:p>
      <w:pPr>
        <w:spacing w:before="200" w:after="60"/>
      </w:pPr>
      <w:r>
        <w:rPr>
          <w:rFonts w:ascii="Arial" w:cs="Arial" w:eastAsia="Arial" w:hAnsi="Arial"/>
          <w:b/>
          <w:bCs/>
          <w:i/>
          <w:iCs/>
          <w:color w:val="2C2C3E"/>
          <w:sz w:val="22"/>
          <w:szCs w:val="22"/>
        </w:rPr>
        <w:t xml:space="preserve">5.3.1 Domain Oversight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Attribute</w:t>
            </w:r>
          </w:p>
        </w:tc>
        <w:tc>
          <w:tcPr>
            <w:tcW w:type="dxa" w:w="69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Specification</w:t>
            </w:r>
          </w:p>
        </w:tc>
      </w:tr>
      <w:tr>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Purpose</w:t>
            </w:r>
          </w:p>
        </w:tc>
        <w:tc>
          <w:tcPr>
            <w:tcW w:type="dxa" w:w="69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Strategic oversight of system governance, compliance posture, and institutional accountability</w:t>
            </w:r>
          </w:p>
        </w:tc>
      </w:tr>
      <w:tr>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Minimum Membership</w:t>
            </w:r>
          </w:p>
        </w:tc>
        <w:tc>
          <w:tcPr>
            <w:tcW w:type="dxa" w:w="69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4 members</w:t>
            </w:r>
          </w:p>
        </w:tc>
      </w:tr>
      <w:tr>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Chair</w:t>
            </w:r>
          </w:p>
        </w:tc>
        <w:tc>
          <w:tcPr>
            <w:tcW w:type="dxa" w:w="69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Chief Compliance Officer or organizational equivalent</w:t>
            </w:r>
          </w:p>
        </w:tc>
      </w:tr>
      <w:tr>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Required Members</w:t>
            </w:r>
          </w:p>
        </w:tc>
        <w:tc>
          <w:tcPr>
            <w:tcW w:type="dxa" w:w="69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Information Security Officer; Privacy Officer; Technical Safety Review Board Chair (ex-officio)</w:t>
            </w:r>
          </w:p>
        </w:tc>
      </w:tr>
      <w:tr>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Meeting Cadence</w:t>
            </w:r>
          </w:p>
        </w:tc>
        <w:tc>
          <w:tcPr>
            <w:tcW w:type="dxa" w:w="69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Quarterly minimum; ad hoc for Critical incidents or major system changes</w:t>
            </w:r>
          </w:p>
        </w:tc>
      </w:tr>
      <w:tr>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Quorum</w:t>
            </w:r>
          </w:p>
        </w:tc>
        <w:tc>
          <w:tcPr>
            <w:tcW w:type="dxa" w:w="69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3 members including Chair</w:t>
            </w:r>
          </w:p>
        </w:tc>
      </w:tr>
      <w:tr>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Decision Authority</w:t>
            </w:r>
          </w:p>
        </w:tc>
        <w:tc>
          <w:tcPr>
            <w:tcW w:type="dxa" w:w="69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Major system changes; policy approvals; certification status; governance incident responses; executive escalation</w:t>
            </w:r>
          </w:p>
        </w:tc>
      </w:tr>
    </w:tbl>
    <w:p>
      <w:pPr>
        <w:spacing w:before="0" w:after="80"/>
      </w:pPr>
      <w:r>
        <w:t xml:space="preserve"/>
      </w:r>
    </w:p>
    <w:p>
      <w:pPr>
        <w:spacing w:before="200" w:after="60"/>
      </w:pPr>
      <w:r>
        <w:rPr>
          <w:rFonts w:ascii="Arial" w:cs="Arial" w:eastAsia="Arial" w:hAnsi="Arial"/>
          <w:b/>
          <w:bCs/>
          <w:i/>
          <w:iCs/>
          <w:color w:val="2C2C3E"/>
          <w:sz w:val="22"/>
          <w:szCs w:val="22"/>
        </w:rPr>
        <w:t xml:space="preserve">5.3.2 Technical Safety Review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Attribute</w:t>
            </w:r>
          </w:p>
        </w:tc>
        <w:tc>
          <w:tcPr>
            <w:tcW w:type="dxa" w:w="69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Specification</w:t>
            </w:r>
          </w:p>
        </w:tc>
      </w:tr>
      <w:tr>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Purpose</w:t>
            </w:r>
          </w:p>
        </w:tc>
        <w:tc>
          <w:tcPr>
            <w:tcW w:type="dxa" w:w="69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Operational oversight of risk model performance, model validation, bias assessment, and technical safety matters</w:t>
            </w:r>
          </w:p>
        </w:tc>
      </w:tr>
      <w:tr>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Minimum Membership</w:t>
            </w:r>
          </w:p>
        </w:tc>
        <w:tc>
          <w:tcPr>
            <w:tcW w:type="dxa" w:w="69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4 members</w:t>
            </w:r>
          </w:p>
        </w:tc>
      </w:tr>
      <w:tr>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Chair</w:t>
            </w:r>
          </w:p>
        </w:tc>
        <w:tc>
          <w:tcPr>
            <w:tcW w:type="dxa" w:w="69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Senior domain professional with AI governance expertise (e.g., MD, licensed clinical lead, or equivalent domain authority)</w:t>
            </w:r>
          </w:p>
        </w:tc>
      </w:tr>
      <w:tr>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Required Members</w:t>
            </w:r>
          </w:p>
        </w:tc>
        <w:tc>
          <w:tcPr>
            <w:tcW w:type="dxa" w:w="69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Risk classification lead; data science or model performance representative; domain safety expert</w:t>
            </w:r>
          </w:p>
        </w:tc>
      </w:tr>
      <w:tr>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Meeting Cadence</w:t>
            </w:r>
          </w:p>
        </w:tc>
        <w:tc>
          <w:tcPr>
            <w:tcW w:type="dxa" w:w="69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Quarterly minimum; ad hoc for model retraining, critical incidents, or drift detection alerts</w:t>
            </w:r>
          </w:p>
        </w:tc>
      </w:tr>
      <w:tr>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Quorum</w:t>
            </w:r>
          </w:p>
        </w:tc>
        <w:tc>
          <w:tcPr>
            <w:tcW w:type="dxa" w:w="69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3 members including Chair</w:t>
            </w:r>
          </w:p>
        </w:tc>
      </w:tr>
      <w:tr>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Decision Authority</w:t>
            </w:r>
          </w:p>
        </w:tc>
        <w:tc>
          <w:tcPr>
            <w:tcW w:type="dxa" w:w="69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Risk threshold changes; model retraining approval; bias remediation actions; quarterly model validation conclusions</w:t>
            </w:r>
          </w:p>
        </w:tc>
      </w:tr>
    </w:tbl>
    <w:p>
      <w:pPr>
        <w:spacing w:before="0" w:after="80"/>
      </w:pPr>
      <w:r>
        <w:t xml:space="preserve"/>
      </w:r>
    </w:p>
    <w:p>
      <w:pPr>
        <w:spacing w:before="200" w:after="60"/>
      </w:pPr>
      <w:r>
        <w:rPr>
          <w:rFonts w:ascii="Arial" w:cs="Arial" w:eastAsia="Arial" w:hAnsi="Arial"/>
          <w:b/>
          <w:bCs/>
          <w:i/>
          <w:iCs/>
          <w:color w:val="2C2C3E"/>
          <w:sz w:val="22"/>
          <w:szCs w:val="22"/>
        </w:rPr>
        <w:t xml:space="preserve">5.3.3 Compliance Officer of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Attribute</w:t>
            </w:r>
          </w:p>
        </w:tc>
        <w:tc>
          <w:tcPr>
            <w:tcW w:type="dxa" w:w="65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Specification</w:t>
            </w:r>
          </w:p>
        </w:tc>
      </w:tr>
      <w:tr>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Qualification Requirements</w:t>
            </w:r>
          </w:p>
        </w:tc>
        <w:tc>
          <w:tcPr>
            <w:tcW w:type="dxa" w:w="6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Minimum 3 years compliance experience in the applicable regulated sector; familiarity with AI governance frameworks; understanding of applicable regulatory obligations</w:t>
            </w:r>
          </w:p>
        </w:tc>
      </w:tr>
      <w:tr>
        <w:tc>
          <w:tcPr>
            <w:tcW w:type="dxa" w:w="2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Responsibilities</w:t>
            </w:r>
          </w:p>
        </w:tc>
        <w:tc>
          <w:tcPr>
            <w:tcW w:type="dxa" w:w="6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Day-to-day compliance monitoring; incident classification and reporting; regulatory notification coordination; audit evidence management; governance body liaison</w:t>
            </w:r>
          </w:p>
        </w:tc>
      </w:tr>
      <w:tr>
        <w:tc>
          <w:tcPr>
            <w:tcW w:type="dxa" w:w="2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Reporting Structure</w:t>
            </w:r>
          </w:p>
        </w:tc>
        <w:tc>
          <w:tcPr>
            <w:tcW w:type="dxa" w:w="6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Reports to Domain Oversight Board Chair; dotted-line reporting relationship to Technical Safety Review Board as required</w:t>
            </w:r>
          </w:p>
        </w:tc>
      </w:tr>
      <w:tr>
        <w:tc>
          <w:tcPr>
            <w:tcW w:type="dxa" w:w="2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Accountability</w:t>
            </w:r>
          </w:p>
        </w:tc>
        <w:tc>
          <w:tcPr>
            <w:tcW w:type="dxa" w:w="6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Personally responsible for accuracy of Annual Attestation Statement</w:t>
            </w:r>
          </w:p>
        </w:tc>
      </w:tr>
    </w:tbl>
    <w:p>
      <w:pPr>
        <w:pStyle w:val="Heading3"/>
        <w:spacing w:before="240" w:after="80"/>
      </w:pPr>
      <w:r>
        <w:rPr>
          <w:rFonts w:ascii="Arial" w:cs="Arial" w:eastAsia="Arial" w:hAnsi="Arial"/>
          <w:b/>
          <w:bCs/>
          <w:color w:val="4A7DB5"/>
          <w:sz w:val="24"/>
          <w:szCs w:val="24"/>
        </w:rPr>
        <w:t xml:space="preserve">5.4 Required Documentation Artifacts</w:t>
      </w:r>
    </w:p>
    <w:p>
      <w:pPr>
        <w:spacing w:before="60" w:after="100"/>
      </w:pPr>
      <w:r>
        <w:rPr>
          <w:rFonts w:ascii="Arial" w:cs="Arial" w:eastAsia="Arial" w:hAnsi="Arial"/>
          <w:b w:val="false"/>
          <w:bCs w:val="false"/>
          <w:i w:val="false"/>
          <w:iCs w:val="false"/>
          <w:color w:val="2C2C3E"/>
          <w:sz w:val="20"/>
          <w:szCs w:val="20"/>
        </w:rPr>
        <w:t xml:space="preserve">All Level 1 and Level 2 artifacts are required, plus: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Artifact</w:t>
            </w:r>
          </w:p>
        </w:tc>
        <w:tc>
          <w:tcPr>
            <w:tcW w:type="dxa" w:w="3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25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Mandatory / Recommended</w:t>
            </w:r>
          </w:p>
        </w:tc>
      </w:tr>
      <w:tr>
        <w:tc>
          <w:tcPr>
            <w:tcW w:type="dxa" w:w="3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Governance Board Charter</w:t>
            </w:r>
          </w:p>
        </w:tc>
        <w:tc>
          <w:tcPr>
            <w:tcW w:type="dxa" w:w="3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Board composition, mandate, meeting cadence, quorum requirements, and decision authority for both governance bodies</w:t>
            </w:r>
          </w:p>
        </w:tc>
        <w:tc>
          <w:tcPr>
            <w:tcW w:type="dxa" w:w="2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MANDATORY</w:t>
            </w:r>
          </w:p>
        </w:tc>
      </w:tr>
      <w:tr>
        <w:tc>
          <w:tcPr>
            <w:tcW w:type="dxa" w:w="3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Governance Board Meeting Minutes</w:t>
            </w:r>
          </w:p>
        </w:tc>
        <w:tc>
          <w:tcPr>
            <w:tcW w:type="dxa" w:w="3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Approved minutes from all governance board meetings in the audit period</w:t>
            </w:r>
          </w:p>
        </w:tc>
        <w:tc>
          <w:tcPr>
            <w:tcW w:type="dxa" w:w="2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MANDATORY</w:t>
            </w:r>
          </w:p>
        </w:tc>
      </w:tr>
      <w:tr>
        <w:tc>
          <w:tcPr>
            <w:tcW w:type="dxa" w:w="3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Regulatory Alignment Matrix</w:t>
            </w:r>
          </w:p>
        </w:tc>
        <w:tc>
          <w:tcPr>
            <w:tcW w:type="dxa" w:w="3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Cross-mapping of all GAI-S controls to applicable regulatory frameworks with evidence references</w:t>
            </w:r>
          </w:p>
        </w:tc>
        <w:tc>
          <w:tcPr>
            <w:tcW w:type="dxa" w:w="2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MANDATORY</w:t>
            </w:r>
          </w:p>
        </w:tc>
      </w:tr>
      <w:tr>
        <w:tc>
          <w:tcPr>
            <w:tcW w:type="dxa" w:w="3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Quarterly Model Validation Reports</w:t>
            </w:r>
          </w:p>
        </w:tc>
        <w:tc>
          <w:tcPr>
            <w:tcW w:type="dxa" w:w="3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All quarterly model performance audit reports from the audit period, including FPR/FNR metrics and bias analysis</w:t>
            </w:r>
          </w:p>
        </w:tc>
        <w:tc>
          <w:tcPr>
            <w:tcW w:type="dxa" w:w="2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MANDATORY</w:t>
            </w:r>
          </w:p>
        </w:tc>
      </w:tr>
      <w:tr>
        <w:tc>
          <w:tcPr>
            <w:tcW w:type="dxa" w:w="3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Drift Monitoring Reports</w:t>
            </w:r>
          </w:p>
        </w:tc>
        <w:tc>
          <w:tcPr>
            <w:tcW w:type="dxa" w:w="3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Weekly and monthly statistical summaries of CRI distribution from the audit period</w:t>
            </w:r>
          </w:p>
        </w:tc>
        <w:tc>
          <w:tcPr>
            <w:tcW w:type="dxa" w:w="2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MANDATORY</w:t>
            </w:r>
          </w:p>
        </w:tc>
      </w:tr>
      <w:tr>
        <w:tc>
          <w:tcPr>
            <w:tcW w:type="dxa" w:w="3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Threshold Recalibration Records</w:t>
            </w:r>
          </w:p>
        </w:tc>
        <w:tc>
          <w:tcPr>
            <w:tcW w:type="dxa" w:w="3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All threshold change justifications, approval records, and post-implementation validations</w:t>
            </w:r>
          </w:p>
        </w:tc>
        <w:tc>
          <w:tcPr>
            <w:tcW w:type="dxa" w:w="2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MANDATORY (if applicable)</w:t>
            </w:r>
          </w:p>
        </w:tc>
      </w:tr>
      <w:tr>
        <w:tc>
          <w:tcPr>
            <w:tcW w:type="dxa" w:w="3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Business Continuity Plan</w:t>
            </w:r>
          </w:p>
        </w:tc>
        <w:tc>
          <w:tcPr>
            <w:tcW w:type="dxa" w:w="3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Documented BC/DR plan with RTO/RPO targets, tested procedures, and manual escalation workflows</w:t>
            </w:r>
          </w:p>
        </w:tc>
        <w:tc>
          <w:tcPr>
            <w:tcW w:type="dxa" w:w="2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MANDATORY</w:t>
            </w:r>
          </w:p>
        </w:tc>
      </w:tr>
      <w:tr>
        <w:tc>
          <w:tcPr>
            <w:tcW w:type="dxa" w:w="3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DR Test Records</w:t>
            </w:r>
          </w:p>
        </w:tc>
        <w:tc>
          <w:tcPr>
            <w:tcW w:type="dxa" w:w="3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Documentation of annual disaster recovery test with RTO/RPO results</w:t>
            </w:r>
          </w:p>
        </w:tc>
        <w:tc>
          <w:tcPr>
            <w:tcW w:type="dxa" w:w="2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MANDATORY</w:t>
            </w:r>
          </w:p>
        </w:tc>
      </w:tr>
      <w:tr>
        <w:tc>
          <w:tcPr>
            <w:tcW w:type="dxa" w:w="3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Annual Attestation Statement</w:t>
            </w:r>
          </w:p>
        </w:tc>
        <w:tc>
          <w:tcPr>
            <w:tcW w:type="dxa" w:w="3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Signed attestation by Compliance Officer of Record and co-signed by Domain Oversight Board Chair</w:t>
            </w:r>
          </w:p>
        </w:tc>
        <w:tc>
          <w:tcPr>
            <w:tcW w:type="dxa" w:w="2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MANDATORY</w:t>
            </w:r>
          </w:p>
        </w:tc>
      </w:tr>
      <w:tr>
        <w:tc>
          <w:tcPr>
            <w:tcW w:type="dxa" w:w="3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Internal Audit Report (Full Scope)</w:t>
            </w:r>
          </w:p>
        </w:tc>
        <w:tc>
          <w:tcPr>
            <w:tcW w:type="dxa" w:w="3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Annual audit report covering all domains, governance board effectiveness, model validation, and DR test review</w:t>
            </w:r>
          </w:p>
        </w:tc>
        <w:tc>
          <w:tcPr>
            <w:tcW w:type="dxa" w:w="2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MANDATORY</w:t>
            </w:r>
          </w:p>
        </w:tc>
      </w:tr>
      <w:tr>
        <w:tc>
          <w:tcPr>
            <w:tcW w:type="dxa" w:w="3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Governance Feedback Loop Records</w:t>
            </w:r>
          </w:p>
        </w:tc>
        <w:tc>
          <w:tcPr>
            <w:tcW w:type="dxa" w:w="3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Records of any governance responses triggered by the incident feedback loop during the audit period</w:t>
            </w:r>
          </w:p>
        </w:tc>
        <w:tc>
          <w:tcPr>
            <w:tcW w:type="dxa" w:w="2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MANDATORY (if triggered)</w:t>
            </w:r>
          </w:p>
        </w:tc>
      </w:tr>
      <w:tr>
        <w:tc>
          <w:tcPr>
            <w:tcW w:type="dxa" w:w="3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External Advisor Assessment Report</w:t>
            </w:r>
          </w:p>
        </w:tc>
        <w:tc>
          <w:tcPr>
            <w:tcW w:type="dxa" w:w="3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Assessment by qualified external advisor</w:t>
            </w:r>
          </w:p>
        </w:tc>
        <w:tc>
          <w:tcPr>
            <w:tcW w:type="dxa" w:w="2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RECOMMENDED (every 2–3 years)</w:t>
            </w:r>
          </w:p>
        </w:tc>
      </w:tr>
      <w:tr>
        <w:tc>
          <w:tcPr>
            <w:tcW w:type="dxa" w:w="30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Model Retraining Records</w:t>
            </w:r>
          </w:p>
        </w:tc>
        <w:tc>
          <w:tcPr>
            <w:tcW w:type="dxa" w:w="38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Justification, validation, approval, and post-deployment validation for any model retraining during the audit period</w:t>
            </w:r>
          </w:p>
        </w:tc>
        <w:tc>
          <w:tcPr>
            <w:tcW w:type="dxa" w:w="25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MANDATORY (if applicable)</w:t>
            </w:r>
          </w:p>
        </w:tc>
      </w:tr>
      <w:tr>
        <w:tc>
          <w:tcPr>
            <w:tcW w:type="dxa" w:w="30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Clinical or Domain Validation Study</w:t>
            </w:r>
          </w:p>
        </w:tc>
        <w:tc>
          <w:tcPr>
            <w:tcW w:type="dxa" w:w="38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Prospective study of AI system performance in the deployment context</w:t>
            </w:r>
          </w:p>
        </w:tc>
        <w:tc>
          <w:tcPr>
            <w:tcW w:type="dxa" w:w="25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MANDATORY for clinical deployments</w:t>
            </w:r>
          </w:p>
        </w:tc>
      </w:tr>
    </w:tbl>
    <w:p>
      <w:pPr>
        <w:pStyle w:val="Heading3"/>
        <w:spacing w:before="240" w:after="80"/>
      </w:pPr>
      <w:r>
        <w:rPr>
          <w:rFonts w:ascii="Arial" w:cs="Arial" w:eastAsia="Arial" w:hAnsi="Arial"/>
          <w:b/>
          <w:bCs/>
          <w:color w:val="4A7DB5"/>
          <w:sz w:val="24"/>
          <w:szCs w:val="24"/>
        </w:rPr>
        <w:t xml:space="preserve">5.5 Audit Method</w:t>
      </w:r>
    </w:p>
    <w:p>
      <w:pPr>
        <w:spacing w:before="60" w:after="100"/>
      </w:pPr>
      <w:r>
        <w:rPr>
          <w:rFonts w:ascii="Arial" w:cs="Arial" w:eastAsia="Arial" w:hAnsi="Arial"/>
          <w:b w:val="false"/>
          <w:bCs w:val="false"/>
          <w:i w:val="false"/>
          <w:iCs w:val="false"/>
          <w:color w:val="2C2C3E"/>
          <w:sz w:val="20"/>
          <w:szCs w:val="20"/>
        </w:rPr>
        <w:t xml:space="preserve">Level 3 requires a full-scope internal audit conducted annually by personnel independent of system operations and governance board membership. The audit scope MUST include:</w:t>
      </w:r>
    </w:p>
    <w:p>
      <w:pPr>
        <w:pStyle w:val="ListParagraph"/>
        <w:numPr>
          <w:ilvl w:val="0"/>
          <w:numId w:val="2"/>
        </w:numPr>
        <w:spacing w:before="40" w:after="60"/>
      </w:pPr>
      <w:r>
        <w:rPr>
          <w:rFonts w:ascii="Arial" w:cs="Arial" w:eastAsia="Arial" w:hAnsi="Arial"/>
          <w:color w:val="2C2C3E"/>
          <w:sz w:val="20"/>
          <w:szCs w:val="20"/>
        </w:rPr>
        <w:t xml:space="preserve">All Level 1 and Level 2 control testing procedures.</w:t>
      </w:r>
    </w:p>
    <w:p>
      <w:pPr>
        <w:pStyle w:val="ListParagraph"/>
        <w:numPr>
          <w:ilvl w:val="0"/>
          <w:numId w:val="2"/>
        </w:numPr>
        <w:spacing w:before="40" w:after="60"/>
      </w:pPr>
      <w:r>
        <w:rPr>
          <w:rFonts w:ascii="Arial" w:cs="Arial" w:eastAsia="Arial" w:hAnsi="Arial"/>
          <w:color w:val="2C2C3E"/>
          <w:sz w:val="20"/>
          <w:szCs w:val="20"/>
        </w:rPr>
        <w:t xml:space="preserve">Governance board effectiveness assessment: meeting cadence compliance, quorum achievement, decision documentation.</w:t>
      </w:r>
    </w:p>
    <w:p>
      <w:pPr>
        <w:pStyle w:val="ListParagraph"/>
        <w:numPr>
          <w:ilvl w:val="0"/>
          <w:numId w:val="2"/>
        </w:numPr>
        <w:spacing w:before="40" w:after="60"/>
      </w:pPr>
      <w:r>
        <w:rPr>
          <w:rFonts w:ascii="Arial" w:cs="Arial" w:eastAsia="Arial" w:hAnsi="Arial"/>
          <w:color w:val="2C2C3E"/>
          <w:sz w:val="20"/>
          <w:szCs w:val="20"/>
        </w:rPr>
        <w:t xml:space="preserve">Model validation review: confirmation that quarterly reviews occurred, FPR/FNR targets were tracked, and bias analysis was completed.</w:t>
      </w:r>
    </w:p>
    <w:p>
      <w:pPr>
        <w:pStyle w:val="ListParagraph"/>
        <w:numPr>
          <w:ilvl w:val="0"/>
          <w:numId w:val="2"/>
        </w:numPr>
        <w:spacing w:before="40" w:after="60"/>
      </w:pPr>
      <w:r>
        <w:rPr>
          <w:rFonts w:ascii="Arial" w:cs="Arial" w:eastAsia="Arial" w:hAnsi="Arial"/>
          <w:color w:val="2C2C3E"/>
          <w:sz w:val="20"/>
          <w:szCs w:val="20"/>
        </w:rPr>
        <w:t xml:space="preserve">Incident governance feedback loop review: confirmation that trigger conditions were identified and governance responses were initiated within required timelines.</w:t>
      </w:r>
    </w:p>
    <w:p>
      <w:pPr>
        <w:pStyle w:val="ListParagraph"/>
        <w:numPr>
          <w:ilvl w:val="0"/>
          <w:numId w:val="2"/>
        </w:numPr>
        <w:spacing w:before="40" w:after="60"/>
      </w:pPr>
      <w:r>
        <w:rPr>
          <w:rFonts w:ascii="Arial" w:cs="Arial" w:eastAsia="Arial" w:hAnsi="Arial"/>
          <w:color w:val="2C2C3E"/>
          <w:sz w:val="20"/>
          <w:szCs w:val="20"/>
        </w:rPr>
        <w:t xml:space="preserve">BC/DR plan currency and test record review.</w:t>
      </w:r>
    </w:p>
    <w:p>
      <w:pPr>
        <w:pStyle w:val="ListParagraph"/>
        <w:numPr>
          <w:ilvl w:val="0"/>
          <w:numId w:val="2"/>
        </w:numPr>
        <w:spacing w:before="40" w:after="60"/>
      </w:pPr>
      <w:r>
        <w:rPr>
          <w:rFonts w:ascii="Arial" w:cs="Arial" w:eastAsia="Arial" w:hAnsi="Arial"/>
          <w:color w:val="2C2C3E"/>
          <w:sz w:val="20"/>
          <w:szCs w:val="20"/>
        </w:rPr>
        <w:t xml:space="preserve">Attestation process review: confirmation of proper signing authority and completeness.</w:t>
      </w:r>
    </w:p>
    <w:p>
      <w:pPr>
        <w:spacing w:before="0" w:after="40"/>
      </w:pPr>
      <w:r>
        <w:t xml:space="preserve"/>
      </w:r>
    </w:p>
    <w:p>
      <w:pPr>
        <w:spacing w:before="60" w:after="100"/>
      </w:pPr>
      <w:r>
        <w:rPr>
          <w:rFonts w:ascii="Arial" w:cs="Arial" w:eastAsia="Arial" w:hAnsi="Arial"/>
          <w:b w:val="false"/>
          <w:bCs w:val="false"/>
          <w:i w:val="false"/>
          <w:iCs w:val="false"/>
          <w:color w:val="2C2C3E"/>
          <w:sz w:val="20"/>
          <w:szCs w:val="20"/>
        </w:rPr>
        <w:t xml:space="preserve">External advisor engagement is RECOMMENDED every 2–3 years and is REQUIRED prior to initial Level 3 certification and prior to any material expansion in deployment scope.</w:t>
      </w:r>
    </w:p>
    <w:p>
      <w:pPr>
        <w:pStyle w:val="Heading3"/>
        <w:spacing w:before="240" w:after="80"/>
      </w:pPr>
      <w:r>
        <w:rPr>
          <w:rFonts w:ascii="Arial" w:cs="Arial" w:eastAsia="Arial" w:hAnsi="Arial"/>
          <w:b/>
          <w:bCs/>
          <w:color w:val="4A7DB5"/>
          <w:sz w:val="24"/>
          <w:szCs w:val="24"/>
        </w:rPr>
        <w:t xml:space="preserve">5.6 Annual Attestation Specification</w:t>
      </w:r>
    </w:p>
    <w:p>
      <w:pPr>
        <w:spacing w:before="60" w:after="100"/>
      </w:pPr>
      <w:r>
        <w:rPr>
          <w:rFonts w:ascii="Arial" w:cs="Arial" w:eastAsia="Arial" w:hAnsi="Arial"/>
          <w:b w:val="false"/>
          <w:bCs w:val="false"/>
          <w:i w:val="false"/>
          <w:iCs w:val="false"/>
          <w:color w:val="2C2C3E"/>
          <w:sz w:val="20"/>
          <w:szCs w:val="20"/>
        </w:rPr>
        <w:t xml:space="preserve">The Annual Attestation Statement MUST affirm, at minimum:</w:t>
      </w:r>
    </w:p>
    <w:p>
      <w:pPr>
        <w:pStyle w:val="ListParagraph"/>
        <w:numPr>
          <w:ilvl w:val="0"/>
          <w:numId w:val="3"/>
        </w:numPr>
        <w:spacing w:before="40" w:after="60"/>
      </w:pPr>
      <w:r>
        <w:rPr>
          <w:rFonts w:ascii="Arial" w:cs="Arial" w:eastAsia="Arial" w:hAnsi="Arial"/>
          <w:color w:val="2C2C3E"/>
          <w:sz w:val="20"/>
          <w:szCs w:val="20"/>
        </w:rPr>
        <w:t xml:space="preserve">The AI system operates in accordance with GAI-S Level 3 requirements across all applicable domains.</w:t>
      </w:r>
    </w:p>
    <w:p>
      <w:pPr>
        <w:pStyle w:val="ListParagraph"/>
        <w:numPr>
          <w:ilvl w:val="0"/>
          <w:numId w:val="3"/>
        </w:numPr>
        <w:spacing w:before="40" w:after="60"/>
      </w:pPr>
      <w:r>
        <w:rPr>
          <w:rFonts w:ascii="Arial" w:cs="Arial" w:eastAsia="Arial" w:hAnsi="Arial"/>
          <w:color w:val="2C2C3E"/>
          <w:sz w:val="20"/>
          <w:szCs w:val="20"/>
        </w:rPr>
        <w:t xml:space="preserve">Governance oversight bodies are operational with required meeting cadence maintained.</w:t>
      </w:r>
    </w:p>
    <w:p>
      <w:pPr>
        <w:pStyle w:val="ListParagraph"/>
        <w:numPr>
          <w:ilvl w:val="0"/>
          <w:numId w:val="3"/>
        </w:numPr>
        <w:spacing w:before="40" w:after="60"/>
      </w:pPr>
      <w:r>
        <w:rPr>
          <w:rFonts w:ascii="Arial" w:cs="Arial" w:eastAsia="Arial" w:hAnsi="Arial"/>
          <w:color w:val="2C2C3E"/>
          <w:sz w:val="20"/>
          <w:szCs w:val="20"/>
        </w:rPr>
        <w:t xml:space="preserve">Risk classification and escalation mechanisms function as documented, with performance within accepted thresholds.</w:t>
      </w:r>
    </w:p>
    <w:p>
      <w:pPr>
        <w:pStyle w:val="ListParagraph"/>
        <w:numPr>
          <w:ilvl w:val="0"/>
          <w:numId w:val="3"/>
        </w:numPr>
        <w:spacing w:before="40" w:after="60"/>
      </w:pPr>
      <w:r>
        <w:rPr>
          <w:rFonts w:ascii="Arial" w:cs="Arial" w:eastAsia="Arial" w:hAnsi="Arial"/>
          <w:color w:val="2C2C3E"/>
          <w:sz w:val="20"/>
          <w:szCs w:val="20"/>
        </w:rPr>
        <w:t xml:space="preserve">Data governance controls are operational and effective.</w:t>
      </w:r>
    </w:p>
    <w:p>
      <w:pPr>
        <w:pStyle w:val="ListParagraph"/>
        <w:numPr>
          <w:ilvl w:val="0"/>
          <w:numId w:val="3"/>
        </w:numPr>
        <w:spacing w:before="40" w:after="60"/>
      </w:pPr>
      <w:r>
        <w:rPr>
          <w:rFonts w:ascii="Arial" w:cs="Arial" w:eastAsia="Arial" w:hAnsi="Arial"/>
          <w:color w:val="2C2C3E"/>
          <w:sz w:val="20"/>
          <w:szCs w:val="20"/>
        </w:rPr>
        <w:t xml:space="preserve">Incident response procedures are established and have been tested within the required cadence.</w:t>
      </w:r>
    </w:p>
    <w:p>
      <w:pPr>
        <w:pStyle w:val="ListParagraph"/>
        <w:numPr>
          <w:ilvl w:val="0"/>
          <w:numId w:val="3"/>
        </w:numPr>
        <w:spacing w:before="40" w:after="60"/>
      </w:pPr>
      <w:r>
        <w:rPr>
          <w:rFonts w:ascii="Arial" w:cs="Arial" w:eastAsia="Arial" w:hAnsi="Arial"/>
          <w:color w:val="2C2C3E"/>
          <w:sz w:val="20"/>
          <w:szCs w:val="20"/>
        </w:rPr>
        <w:t xml:space="preserve">All material system changes have been subject to appropriate change control and governance approval.</w:t>
      </w:r>
    </w:p>
    <w:p>
      <w:pPr>
        <w:pStyle w:val="ListParagraph"/>
        <w:numPr>
          <w:ilvl w:val="0"/>
          <w:numId w:val="3"/>
        </w:numPr>
        <w:spacing w:before="40" w:after="60"/>
      </w:pPr>
      <w:r>
        <w:rPr>
          <w:rFonts w:ascii="Arial" w:cs="Arial" w:eastAsia="Arial" w:hAnsi="Arial"/>
          <w:color w:val="2C2C3E"/>
          <w:sz w:val="20"/>
          <w:szCs w:val="20"/>
        </w:rPr>
        <w:t xml:space="preserve">Internal audit has been completed and all Critical and Major findings have been remediated or have documented, approved remediation plans in progress.</w:t>
      </w:r>
    </w:p>
    <w:p>
      <w:pPr>
        <w:pStyle w:val="ListParagraph"/>
        <w:numPr>
          <w:ilvl w:val="0"/>
          <w:numId w:val="3"/>
        </w:numPr>
        <w:spacing w:before="40" w:after="60"/>
      </w:pPr>
      <w:r>
        <w:rPr>
          <w:rFonts w:ascii="Arial" w:cs="Arial" w:eastAsia="Arial" w:hAnsi="Arial"/>
          <w:color w:val="2C2C3E"/>
          <w:sz w:val="20"/>
          <w:szCs w:val="20"/>
        </w:rPr>
        <w:t xml:space="preserve">No outstanding Critical compliance gaps exist that would compromise Level 3 certification status.</w:t>
      </w:r>
    </w:p>
    <w:p>
      <w:pPr>
        <w:spacing w:before="0" w:after="40"/>
      </w:pPr>
      <w:r>
        <w:t xml:space="preserve"/>
      </w:r>
    </w:p>
    <w:p>
      <w:pPr>
        <w:spacing w:before="60" w:after="100"/>
      </w:pPr>
      <w:r>
        <w:rPr>
          <w:rFonts w:ascii="Arial" w:cs="Arial" w:eastAsia="Arial" w:hAnsi="Arial"/>
          <w:b w:val="false"/>
          <w:bCs w:val="false"/>
          <w:i w:val="false"/>
          <w:iCs w:val="false"/>
          <w:color w:val="2C2C3E"/>
          <w:sz w:val="20"/>
          <w:szCs w:val="20"/>
        </w:rPr>
        <w:t xml:space="preserve">The Attestation MUST be signed by the Compliance Officer of Record and reviewed and co-signed by the Domain Oversight Board Chair. The Attestation MUST be completed and filed within 30 days of the anniversary of the prior attestation.</w:t>
      </w:r>
    </w:p>
    <w:p>
      <w:pPr>
        <w:pStyle w:val="Heading3"/>
        <w:spacing w:before="240" w:after="80"/>
      </w:pPr>
      <w:r>
        <w:rPr>
          <w:rFonts w:ascii="Arial" w:cs="Arial" w:eastAsia="Arial" w:hAnsi="Arial"/>
          <w:b/>
          <w:bCs/>
          <w:color w:val="4A7DB5"/>
          <w:sz w:val="24"/>
          <w:szCs w:val="24"/>
        </w:rPr>
        <w:t xml:space="preserve">5.7 Recertification Triggers</w:t>
      </w:r>
    </w:p>
    <w:p>
      <w:pPr>
        <w:spacing w:before="60" w:after="100"/>
      </w:pPr>
      <w:r>
        <w:rPr>
          <w:rFonts w:ascii="Arial" w:cs="Arial" w:eastAsia="Arial" w:hAnsi="Arial"/>
          <w:b w:val="false"/>
          <w:bCs w:val="false"/>
          <w:i w:val="false"/>
          <w:iCs w:val="false"/>
          <w:color w:val="2C2C3E"/>
          <w:sz w:val="20"/>
          <w:szCs w:val="20"/>
        </w:rPr>
        <w:t xml:space="preserve">Level 3 annual full-scope audit MUST be completed within 12 months of the prior audit. Out-of-cycle gap assessment MUST be initiated within 30 days of any of the following:</w:t>
      </w:r>
    </w:p>
    <w:p>
      <w:pPr>
        <w:pStyle w:val="ListParagraph"/>
        <w:numPr>
          <w:ilvl w:val="0"/>
          <w:numId w:val="2"/>
        </w:numPr>
        <w:spacing w:before="40" w:after="60"/>
      </w:pPr>
      <w:r>
        <w:rPr>
          <w:rFonts w:ascii="Arial" w:cs="Arial" w:eastAsia="Arial" w:hAnsi="Arial"/>
          <w:color w:val="2C2C3E"/>
          <w:sz w:val="20"/>
          <w:szCs w:val="20"/>
        </w:rPr>
        <w:t xml:space="preserve">Any Critical-severity incident involving risk classification failure, human review gate bypass, data boundary violation, or regulatory notification obligation.</w:t>
      </w:r>
    </w:p>
    <w:p>
      <w:pPr>
        <w:pStyle w:val="ListParagraph"/>
        <w:numPr>
          <w:ilvl w:val="0"/>
          <w:numId w:val="2"/>
        </w:numPr>
        <w:spacing w:before="40" w:after="60"/>
      </w:pPr>
      <w:r>
        <w:rPr>
          <w:rFonts w:ascii="Arial" w:cs="Arial" w:eastAsia="Arial" w:hAnsi="Arial"/>
          <w:color w:val="2C2C3E"/>
          <w:sz w:val="20"/>
          <w:szCs w:val="20"/>
        </w:rPr>
        <w:t xml:space="preserve">Sustained FNR exceeding 8% or FPR exceeding 25% for two consecutive months, indicating model degradation not addressed by threshold recalibration.</w:t>
      </w:r>
    </w:p>
    <w:p>
      <w:pPr>
        <w:pStyle w:val="ListParagraph"/>
        <w:numPr>
          <w:ilvl w:val="0"/>
          <w:numId w:val="2"/>
        </w:numPr>
        <w:spacing w:before="40" w:after="60"/>
      </w:pPr>
      <w:r>
        <w:rPr>
          <w:rFonts w:ascii="Arial" w:cs="Arial" w:eastAsia="Arial" w:hAnsi="Arial"/>
          <w:color w:val="2C2C3E"/>
          <w:sz w:val="20"/>
          <w:szCs w:val="20"/>
        </w:rPr>
        <w:t xml:space="preserve">Governance board structural change (Chair vacancy, quorum loss, or failure to meet required meeting cadence for two consecutive quarters).</w:t>
      </w:r>
    </w:p>
    <w:p>
      <w:pPr>
        <w:pStyle w:val="ListParagraph"/>
        <w:numPr>
          <w:ilvl w:val="0"/>
          <w:numId w:val="2"/>
        </w:numPr>
        <w:spacing w:before="40" w:after="60"/>
      </w:pPr>
      <w:r>
        <w:rPr>
          <w:rFonts w:ascii="Arial" w:cs="Arial" w:eastAsia="Arial" w:hAnsi="Arial"/>
          <w:color w:val="2C2C3E"/>
          <w:sz w:val="20"/>
          <w:szCs w:val="20"/>
        </w:rPr>
        <w:t xml:space="preserve">Loss of Compliance Officer of Record without documented successor designation.</w:t>
      </w:r>
    </w:p>
    <w:p>
      <w:pPr>
        <w:pStyle w:val="ListParagraph"/>
        <w:numPr>
          <w:ilvl w:val="0"/>
          <w:numId w:val="2"/>
        </w:numPr>
        <w:spacing w:before="40" w:after="60"/>
      </w:pPr>
      <w:r>
        <w:rPr>
          <w:rFonts w:ascii="Arial" w:cs="Arial" w:eastAsia="Arial" w:hAnsi="Arial"/>
          <w:color w:val="2C2C3E"/>
          <w:sz w:val="20"/>
          <w:szCs w:val="20"/>
        </w:rPr>
        <w:t xml:space="preserve">Material change to the AI system's deployment context, including geographic expansion, new user population, or new decision authority scope.</w:t>
      </w:r>
    </w:p>
    <w:p>
      <w:pPr>
        <w:pStyle w:val="ListParagraph"/>
        <w:numPr>
          <w:ilvl w:val="0"/>
          <w:numId w:val="2"/>
        </w:numPr>
        <w:spacing w:before="40" w:after="60"/>
      </w:pPr>
      <w:r>
        <w:rPr>
          <w:rFonts w:ascii="Arial" w:cs="Arial" w:eastAsia="Arial" w:hAnsi="Arial"/>
          <w:color w:val="2C2C3E"/>
          <w:sz w:val="20"/>
          <w:szCs w:val="20"/>
        </w:rPr>
        <w:t xml:space="preserve">Regulatory change creating compliance obligations materially not addressed by the current governance architecture.</w:t>
      </w:r>
    </w:p>
    <w:p>
      <w:pPr>
        <w:pStyle w:val="ListParagraph"/>
        <w:numPr>
          <w:ilvl w:val="0"/>
          <w:numId w:val="2"/>
        </w:numPr>
        <w:spacing w:before="40" w:after="60"/>
      </w:pPr>
      <w:r>
        <w:rPr>
          <w:rFonts w:ascii="Arial" w:cs="Arial" w:eastAsia="Arial" w:hAnsi="Arial"/>
          <w:color w:val="2C2C3E"/>
          <w:sz w:val="20"/>
          <w:szCs w:val="20"/>
        </w:rPr>
        <w:t xml:space="preserve">Material change to a foundation model provider, including model version changes that alter output characteristics.</w:t>
      </w:r>
    </w:p>
    <w:p>
      <w:pPr>
        <w:pStyle w:val="ListParagraph"/>
        <w:numPr>
          <w:ilvl w:val="0"/>
          <w:numId w:val="2"/>
        </w:numPr>
        <w:spacing w:before="40" w:after="60"/>
      </w:pPr>
      <w:r>
        <w:rPr>
          <w:rFonts w:ascii="Arial" w:cs="Arial" w:eastAsia="Arial" w:hAnsi="Arial"/>
          <w:color w:val="2C2C3E"/>
          <w:sz w:val="20"/>
          <w:szCs w:val="20"/>
        </w:rPr>
        <w:t xml:space="preserve">Any finding by an external auditor, regulator, or court that the AI system's governance controls are materially deficient.</w:t>
      </w:r>
    </w:p>
    <w:p>
      <w:pPr>
        <w:spacing w:before="0" w:after="80"/>
      </w:pPr>
      <w:r>
        <w:t xml:space="preserve"/>
      </w:r>
    </w:p>
    <w:p>
      <w:r>
        <w:br w:type="page"/>
      </w:r>
    </w:p>
    <w:p>
      <w:pPr>
        <w:pStyle w:val="Heading2"/>
        <w:spacing w:before="360" w:after="120"/>
      </w:pPr>
      <w:r>
        <w:rPr>
          <w:rFonts w:ascii="Arial" w:cs="Arial" w:eastAsia="Arial" w:hAnsi="Arial"/>
          <w:b/>
          <w:bCs/>
          <w:color w:val="2D5FA0"/>
          <w:sz w:val="28"/>
          <w:szCs w:val="28"/>
        </w:rPr>
        <w:t xml:space="preserve">6. Certification Tier Comparison</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rPr>
          <w:tblHeader/>
        </w:trPr>
        <w:tc>
          <w:tcPr>
            <w:tcW w:type="dxa" w:w="27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Governance Attribute</w:t>
            </w:r>
          </w:p>
        </w:tc>
        <w:tc>
          <w:tcPr>
            <w:tcW w:type="dxa" w:w="222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Level 1 — Baseline</w:t>
            </w:r>
          </w:p>
        </w:tc>
        <w:tc>
          <w:tcPr>
            <w:tcW w:type="dxa" w:w="222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Level 2 — Regulated</w:t>
            </w:r>
          </w:p>
        </w:tc>
        <w:tc>
          <w:tcPr>
            <w:tcW w:type="dxa" w:w="222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Level 3 — Critical</w:t>
            </w:r>
          </w:p>
        </w:tc>
      </w:tr>
      <w:tr>
        <w:tc>
          <w:tcPr>
            <w:tcW w:type="dxa" w:w="27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Risk Classification</w:t>
            </w:r>
          </w:p>
        </w:tc>
        <w:tc>
          <w:tcPr>
            <w:tcW w:type="dxa" w:w="22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Qualitative tiers permitted</w:t>
            </w:r>
          </w:p>
        </w:tc>
        <w:tc>
          <w:tcPr>
            <w:tcW w:type="dxa" w:w="22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CRI required (P × S)</w:t>
            </w:r>
          </w:p>
        </w:tc>
        <w:tc>
          <w:tcPr>
            <w:tcW w:type="dxa" w:w="22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CRI + confidence + drift detection</w:t>
            </w:r>
          </w:p>
        </w:tc>
      </w:tr>
      <w:tr>
        <w:tc>
          <w:tcPr>
            <w:tcW w:type="dxa" w:w="27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Human Review Enforcement</w:t>
            </w:r>
          </w:p>
        </w:tc>
        <w:tc>
          <w:tcPr>
            <w:tcW w:type="dxa" w:w="22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Documented pathway; policy-level enforcement acceptable</w:t>
            </w:r>
          </w:p>
        </w:tc>
        <w:tc>
          <w:tcPr>
            <w:tcW w:type="dxa" w:w="22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Architecturally enforced review gate for CRI ≥ 13</w:t>
            </w:r>
          </w:p>
        </w:tc>
        <w:tc>
          <w:tcPr>
            <w:tcW w:type="dxa" w:w="22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Architecturally enforced + governance oversight of SLA compliance</w:t>
            </w:r>
          </w:p>
        </w:tc>
      </w:tr>
      <w:tr>
        <w:tc>
          <w:tcPr>
            <w:tcW w:type="dxa" w:w="27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Escalation Automation</w:t>
            </w:r>
          </w:p>
        </w:tc>
        <w:tc>
          <w:tcPr>
            <w:tcW w:type="dxa" w:w="22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Manual escalation pathway documented</w:t>
            </w:r>
          </w:p>
        </w:tc>
        <w:tc>
          <w:tcPr>
            <w:tcW w:type="dxa" w:w="22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Automated CRI threshold triggers required</w:t>
            </w:r>
          </w:p>
        </w:tc>
        <w:tc>
          <w:tcPr>
            <w:tcW w:type="dxa" w:w="22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Automated triggers + governance feedback loop for failures</w:t>
            </w:r>
          </w:p>
        </w:tc>
      </w:tr>
      <w:tr>
        <w:tc>
          <w:tcPr>
            <w:tcW w:type="dxa" w:w="27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Governance Structure</w:t>
            </w:r>
          </w:p>
        </w:tc>
        <w:tc>
          <w:tcPr>
            <w:tcW w:type="dxa" w:w="22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No formal governance board required</w:t>
            </w:r>
          </w:p>
        </w:tc>
        <w:tc>
          <w:tcPr>
            <w:tcW w:type="dxa" w:w="22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Compliance officer or designated owner recommended</w:t>
            </w:r>
          </w:p>
        </w:tc>
        <w:tc>
          <w:tcPr>
            <w:tcW w:type="dxa" w:w="22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Formal governance boards MANDATORY with defined membership and cadence</w:t>
            </w:r>
          </w:p>
        </w:tc>
      </w:tr>
      <w:tr>
        <w:tc>
          <w:tcPr>
            <w:tcW w:type="dxa" w:w="27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Audit Requirement</w:t>
            </w:r>
          </w:p>
        </w:tc>
        <w:tc>
          <w:tcPr>
            <w:tcW w:type="dxa" w:w="22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Annual self-assessment</w:t>
            </w:r>
          </w:p>
        </w:tc>
        <w:tc>
          <w:tcPr>
            <w:tcW w:type="dxa" w:w="22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Annual internal audit by independent personnel</w:t>
            </w:r>
          </w:p>
        </w:tc>
        <w:tc>
          <w:tcPr>
            <w:tcW w:type="dxa" w:w="22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Annual full-scope internal audit + external advisor review (2–3 year cycle)</w:t>
            </w:r>
          </w:p>
        </w:tc>
      </w:tr>
      <w:tr>
        <w:tc>
          <w:tcPr>
            <w:tcW w:type="dxa" w:w="27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Attestation</w:t>
            </w:r>
          </w:p>
        </w:tc>
        <w:tc>
          <w:tcPr>
            <w:tcW w:type="dxa" w:w="22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Not required</w:t>
            </w:r>
          </w:p>
        </w:tc>
        <w:tc>
          <w:tcPr>
            <w:tcW w:type="dxa" w:w="22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Not required</w:t>
            </w:r>
          </w:p>
        </w:tc>
        <w:tc>
          <w:tcPr>
            <w:tcW w:type="dxa" w:w="22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Annual signed attestation by Compliance Officer and Board Chair MANDATORY</w:t>
            </w:r>
          </w:p>
        </w:tc>
      </w:tr>
      <w:tr>
        <w:tc>
          <w:tcPr>
            <w:tcW w:type="dxa" w:w="27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Model Performance Monitoring</w:t>
            </w:r>
          </w:p>
        </w:tc>
        <w:tc>
          <w:tcPr>
            <w:tcW w:type="dxa" w:w="22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Not required</w:t>
            </w:r>
          </w:p>
        </w:tc>
        <w:tc>
          <w:tcPr>
            <w:tcW w:type="dxa" w:w="22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FPR/FNR tracking recommended</w:t>
            </w:r>
          </w:p>
        </w:tc>
        <w:tc>
          <w:tcPr>
            <w:tcW w:type="dxa" w:w="22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Quarterly model validation MANDATORY; drift detection MANDATORY</w:t>
            </w:r>
          </w:p>
        </w:tc>
      </w:tr>
      <w:tr>
        <w:tc>
          <w:tcPr>
            <w:tcW w:type="dxa" w:w="27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Business Continuity</w:t>
            </w:r>
          </w:p>
        </w:tc>
        <w:tc>
          <w:tcPr>
            <w:tcW w:type="dxa" w:w="22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Not required</w:t>
            </w:r>
          </w:p>
        </w:tc>
        <w:tc>
          <w:tcPr>
            <w:tcW w:type="dxa" w:w="22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IR plan with tested procedures required</w:t>
            </w:r>
          </w:p>
        </w:tc>
        <w:tc>
          <w:tcPr>
            <w:tcW w:type="dxa" w:w="22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BC/DR plan with RTO/RPO targets and annual DR test MANDATORY</w:t>
            </w:r>
          </w:p>
        </w:tc>
      </w:tr>
      <w:tr>
        <w:tc>
          <w:tcPr>
            <w:tcW w:type="dxa" w:w="27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Regulatory Alignment Mapping</w:t>
            </w:r>
          </w:p>
        </w:tc>
        <w:tc>
          <w:tcPr>
            <w:tcW w:type="dxa" w:w="22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Not required</w:t>
            </w:r>
          </w:p>
        </w:tc>
        <w:tc>
          <w:tcPr>
            <w:tcW w:type="dxa" w:w="22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Recommended</w:t>
            </w:r>
          </w:p>
        </w:tc>
        <w:tc>
          <w:tcPr>
            <w:tcW w:type="dxa" w:w="22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Cross-mapping matrix MANDATORY; maintained current</w:t>
            </w:r>
          </w:p>
        </w:tc>
      </w:tr>
      <w:tr>
        <w:tc>
          <w:tcPr>
            <w:tcW w:type="dxa" w:w="27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Documentation Completeness</w:t>
            </w:r>
          </w:p>
        </w:tc>
        <w:tc>
          <w:tcPr>
            <w:tcW w:type="dxa" w:w="22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Core architecture and governance docs</w:t>
            </w:r>
          </w:p>
        </w:tc>
        <w:tc>
          <w:tcPr>
            <w:tcW w:type="dxa" w:w="22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Full operational documentation package</w:t>
            </w:r>
          </w:p>
        </w:tc>
        <w:tc>
          <w:tcPr>
            <w:tcW w:type="dxa" w:w="22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Full package + governance board records + quarterly validation reports</w:t>
            </w:r>
          </w:p>
        </w:tc>
      </w:tr>
    </w:tbl>
    <w:p>
      <w:pPr>
        <w:spacing w:before="0" w:after="120"/>
      </w:pPr>
      <w:r>
        <w:t xml:space="preserve"/>
      </w:r>
    </w:p>
    <w:p>
      <w:pPr>
        <w:pStyle w:val="Heading2"/>
        <w:spacing w:before="360" w:after="120"/>
      </w:pPr>
      <w:r>
        <w:rPr>
          <w:rFonts w:ascii="Arial" w:cs="Arial" w:eastAsia="Arial" w:hAnsi="Arial"/>
          <w:b/>
          <w:bCs/>
          <w:color w:val="2D5FA0"/>
          <w:sz w:val="28"/>
          <w:szCs w:val="28"/>
        </w:rPr>
        <w:t xml:space="preserve">7. Recertification Trigger Reference</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20"/>
        <w:gridCol w:w="1920"/>
        <w:gridCol w:w="2320"/>
      </w:tblGrid>
      <w:tr>
        <w:trPr>
          <w:tblHeader/>
        </w:trPr>
        <w:tc>
          <w:tcPr>
            <w:tcW w:type="dxa" w:w="3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Trigger Event</w:t>
            </w:r>
          </w:p>
        </w:tc>
        <w:tc>
          <w:tcPr>
            <w:tcW w:type="dxa" w:w="192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L1 Trigger</w:t>
            </w:r>
          </w:p>
        </w:tc>
        <w:tc>
          <w:tcPr>
            <w:tcW w:type="dxa" w:w="192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L2 Trigger</w:t>
            </w:r>
          </w:p>
        </w:tc>
        <w:tc>
          <w:tcPr>
            <w:tcW w:type="dxa" w:w="232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L3 Trigger</w:t>
            </w:r>
          </w:p>
        </w:tc>
      </w:tr>
      <w:tr>
        <w:tc>
          <w:tcPr>
            <w:tcW w:type="dxa" w:w="3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Annual cycle</w:t>
            </w:r>
          </w:p>
        </w:tc>
        <w:tc>
          <w:tcPr>
            <w:tcW w:type="dxa" w:w="19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Self-assessment within 12 months</w:t>
            </w:r>
          </w:p>
        </w:tc>
        <w:tc>
          <w:tcPr>
            <w:tcW w:type="dxa" w:w="19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Internal audit within 12 months</w:t>
            </w:r>
          </w:p>
        </w:tc>
        <w:tc>
          <w:tcPr>
            <w:tcW w:type="dxa" w:w="23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Full-scope audit within 12 months</w:t>
            </w:r>
          </w:p>
        </w:tc>
      </w:tr>
      <w:tr>
        <w:tc>
          <w:tcPr>
            <w:tcW w:type="dxa" w:w="3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Critical incident (classification failure or gate bypass)</w:t>
            </w:r>
          </w:p>
        </w:tc>
        <w:tc>
          <w:tcPr>
            <w:tcW w:type="dxa" w:w="19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Out-of-cycle assessment</w:t>
            </w:r>
          </w:p>
        </w:tc>
        <w:tc>
          <w:tcPr>
            <w:tcW w:type="dxa" w:w="19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Out-of-cycle assessment</w:t>
            </w:r>
          </w:p>
        </w:tc>
        <w:tc>
          <w:tcPr>
            <w:tcW w:type="dxa" w:w="23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Out-of-cycle assessment + mandatory governance response</w:t>
            </w:r>
          </w:p>
        </w:tc>
      </w:tr>
      <w:tr>
        <w:tc>
          <w:tcPr>
            <w:tcW w:type="dxa" w:w="3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Material change to risk thresholds</w:t>
            </w:r>
          </w:p>
        </w:tc>
        <w:tc>
          <w:tcPr>
            <w:tcW w:type="dxa" w:w="19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Update documentation</w:t>
            </w:r>
          </w:p>
        </w:tc>
        <w:tc>
          <w:tcPr>
            <w:tcW w:type="dxa" w:w="19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Out-of-cycle gap assessment</w:t>
            </w:r>
          </w:p>
        </w:tc>
        <w:tc>
          <w:tcPr>
            <w:tcW w:type="dxa" w:w="23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Board approval required + out-of-cycle assessment</w:t>
            </w:r>
          </w:p>
        </w:tc>
      </w:tr>
      <w:tr>
        <w:tc>
          <w:tcPr>
            <w:tcW w:type="dxa" w:w="3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New deployment context or user population</w:t>
            </w:r>
          </w:p>
        </w:tc>
        <w:tc>
          <w:tcPr>
            <w:tcW w:type="dxa" w:w="19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Out-of-cycle assessment</w:t>
            </w:r>
          </w:p>
        </w:tc>
        <w:tc>
          <w:tcPr>
            <w:tcW w:type="dxa" w:w="19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Out-of-cycle assessment</w:t>
            </w:r>
          </w:p>
        </w:tc>
        <w:tc>
          <w:tcPr>
            <w:tcW w:type="dxa" w:w="23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Out-of-cycle assessment</w:t>
            </w:r>
          </w:p>
        </w:tc>
      </w:tr>
      <w:tr>
        <w:tc>
          <w:tcPr>
            <w:tcW w:type="dxa" w:w="3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Governance board structural change</w:t>
            </w:r>
          </w:p>
        </w:tc>
        <w:tc>
          <w:tcPr>
            <w:tcW w:type="dxa" w:w="19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Not applicable</w:t>
            </w:r>
          </w:p>
        </w:tc>
        <w:tc>
          <w:tcPr>
            <w:tcW w:type="dxa" w:w="19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Not applicable</w:t>
            </w:r>
          </w:p>
        </w:tc>
        <w:tc>
          <w:tcPr>
            <w:tcW w:type="dxa" w:w="23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Out-of-cycle assessment within 30 days</w:t>
            </w:r>
          </w:p>
        </w:tc>
      </w:tr>
      <w:tr>
        <w:tc>
          <w:tcPr>
            <w:tcW w:type="dxa" w:w="3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Foundation model provider change</w:t>
            </w:r>
          </w:p>
        </w:tc>
        <w:tc>
          <w:tcPr>
            <w:tcW w:type="dxa" w:w="19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Update dependency manifest</w:t>
            </w:r>
          </w:p>
        </w:tc>
        <w:tc>
          <w:tcPr>
            <w:tcW w:type="dxa" w:w="19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Out-of-cycle gap assessment</w:t>
            </w:r>
          </w:p>
        </w:tc>
        <w:tc>
          <w:tcPr>
            <w:tcW w:type="dxa" w:w="23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Out-of-cycle assessment + board review</w:t>
            </w:r>
          </w:p>
        </w:tc>
      </w:tr>
      <w:tr>
        <w:tc>
          <w:tcPr>
            <w:tcW w:type="dxa" w:w="32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Regulatory change</w:t>
            </w:r>
          </w:p>
        </w:tc>
        <w:tc>
          <w:tcPr>
            <w:tcW w:type="dxa" w:w="19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Out-of-cycle assessment</w:t>
            </w:r>
          </w:p>
        </w:tc>
        <w:tc>
          <w:tcPr>
            <w:tcW w:type="dxa" w:w="19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Out-of-cycle assessment</w:t>
            </w:r>
          </w:p>
        </w:tc>
        <w:tc>
          <w:tcPr>
            <w:tcW w:type="dxa" w:w="232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Out-of-cycle assessment + regulatory alignment matrix update</w:t>
            </w:r>
          </w:p>
        </w:tc>
      </w:tr>
      <w:tr>
        <w:tc>
          <w:tcPr>
            <w:tcW w:type="dxa" w:w="32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Sustained FNR &gt; 8% or FPR &gt; 25%</w:t>
            </w:r>
          </w:p>
        </w:tc>
        <w:tc>
          <w:tcPr>
            <w:tcW w:type="dxa" w:w="19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Not tracked at L1</w:t>
            </w:r>
          </w:p>
        </w:tc>
        <w:tc>
          <w:tcPr>
            <w:tcW w:type="dxa" w:w="19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Threshold recalibration required</w:t>
            </w:r>
          </w:p>
        </w:tc>
        <w:tc>
          <w:tcPr>
            <w:tcW w:type="dxa" w:w="232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Board-mandated recalibration + out-of-cycle assessment</w:t>
            </w:r>
          </w:p>
        </w:tc>
      </w:tr>
    </w:tbl>
    <w:p>
      <w:pPr>
        <w:spacing w:before="0" w:after="120"/>
      </w:pPr>
      <w:r>
        <w:t xml:space="preserve"/>
      </w:r>
    </w:p>
    <w:p>
      <w:pPr>
        <w:pStyle w:val="Heading2"/>
        <w:spacing w:before="360" w:after="120"/>
      </w:pPr>
      <w:r>
        <w:rPr>
          <w:rFonts w:ascii="Arial" w:cs="Arial" w:eastAsia="Arial" w:hAnsi="Arial"/>
          <w:b/>
          <w:bCs/>
          <w:color w:val="2D5FA0"/>
          <w:sz w:val="28"/>
          <w:szCs w:val="28"/>
        </w:rPr>
        <w:t xml:space="preserve">8.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Attribute</w:t>
            </w:r>
          </w:p>
        </w:tc>
        <w:tc>
          <w:tcPr>
            <w:tcW w:type="dxa" w:w="69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r>
      <w:tr>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Document ID</w:t>
            </w:r>
          </w:p>
        </w:tc>
        <w:tc>
          <w:tcPr>
            <w:tcW w:type="dxa" w:w="69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GAIS-STD-002</w:t>
            </w:r>
          </w:p>
        </w:tc>
      </w:tr>
      <w:tr>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Version</w:t>
            </w:r>
          </w:p>
        </w:tc>
        <w:tc>
          <w:tcPr>
            <w:tcW w:type="dxa" w:w="69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1.0</w:t>
            </w:r>
          </w:p>
        </w:tc>
      </w:tr>
      <w:tr>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Effective Date</w:t>
            </w:r>
          </w:p>
        </w:tc>
        <w:tc>
          <w:tcPr>
            <w:tcW w:type="dxa" w:w="69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2025</w:t>
            </w:r>
          </w:p>
        </w:tc>
      </w:tr>
      <w:tr>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Review Cadence</w:t>
            </w:r>
          </w:p>
        </w:tc>
        <w:tc>
          <w:tcPr>
            <w:tcW w:type="dxa" w:w="69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Annual; or upon any material change to GAI-S framework</w:t>
            </w:r>
          </w:p>
        </w:tc>
      </w:tr>
      <w:tr>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Change Authority</w:t>
            </w:r>
          </w:p>
        </w:tc>
        <w:tc>
          <w:tcPr>
            <w:tcW w:type="dxa" w:w="69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GAI-S Governance Board — normative changes require board review</w:t>
            </w:r>
          </w:p>
        </w:tc>
      </w:tr>
      <w:tr>
        <w:tc>
          <w:tcPr>
            <w:tcW w:type="dxa" w:w="2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Companion Document</w:t>
            </w:r>
          </w:p>
        </w:tc>
        <w:tc>
          <w:tcPr>
            <w:tcW w:type="dxa" w:w="696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rFonts w:ascii="Arial" w:cs="Arial" w:eastAsia="Arial" w:hAnsi="Arial"/>
                <w:color w:val="2C2C3E"/>
                <w:sz w:val="18"/>
                <w:szCs w:val="18"/>
              </w:rPr>
              <w:t xml:space="preserve">GAIS-STD-001 (Domain Specifications)</w:t>
            </w:r>
          </w:p>
        </w:tc>
      </w:tr>
      <w:tr>
        <w:tc>
          <w:tcPr>
            <w:tcW w:type="dxa" w:w="240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Supersedes</w:t>
            </w:r>
          </w:p>
        </w:tc>
        <w:tc>
          <w:tcPr>
            <w:tcW w:type="dxa" w:w="6960"/>
            <w:tcBorders>
              <w:top w:val="single" w:color="D0D5DD" w:sz="2"/>
              <w:left w:val="single" w:color="D0D5DD" w:sz="2"/>
              <w:bottom w:val="single" w:color="D0D5DD" w:sz="2"/>
              <w:right w:val="single" w:color="D0D5DD" w:sz="2"/>
            </w:tcBorders>
            <w:shd w:fill="F2F4F7" w:val="clear"/>
            <w:tcMar>
              <w:top w:type="dxa" w:w="80"/>
              <w:left w:type="dxa" w:w="120"/>
              <w:bottom w:type="dxa" w:w="80"/>
              <w:right w:type="dxa" w:w="120"/>
            </w:tcMar>
          </w:tcPr>
          <w:p>
            <w:r>
              <w:rPr>
                <w:rFonts w:ascii="Arial" w:cs="Arial" w:eastAsia="Arial" w:hAnsi="Arial"/>
                <w:color w:val="2C2C3E"/>
                <w:sz w:val="18"/>
                <w:szCs w:val="18"/>
              </w:rPr>
              <w:t xml:space="preserve">None (initial version)</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tabs>
        <w:tab w:val="right" w:pos="9360"/>
      </w:tabs>
      <w:spacing w:before="80" w:after="0"/>
    </w:pPr>
    <w:r>
      <w:rPr>
        <w:rFonts w:ascii="Arial" w:cs="Arial" w:eastAsia="Arial" w:hAnsi="Arial"/>
        <w:color w:val="4A7DB5"/>
        <w:sz w:val="16"/>
        <w:szCs w:val="16"/>
      </w:rPr>
      <w:t xml:space="preserve">Classification: Public — Governance Documentation</w:t>
    </w:r>
    <w:r>
      <w:rPr>
        <w:rFonts w:ascii="Arial" w:cs="Arial" w:eastAsia="Arial" w:hAnsi="Arial"/>
        <w:color w:val="4A7DB5"/>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spacing w:before="0" w:after="80"/>
    </w:pPr>
    <w:r>
      <w:rPr>
        <w:rFonts w:ascii="Arial" w:cs="Arial" w:eastAsia="Arial" w:hAnsi="Arial"/>
        <w:color w:val="4A7DB5"/>
        <w:sz w:val="16"/>
        <w:szCs w:val="16"/>
      </w:rPr>
      <w:t xml:space="preserve">GAI-S Governed AI Infrastructure Standard  |  Standard Documentation v1.0</w:t>
    </w:r>
    <w:r>
      <w:rPr>
        <w:rFonts w:ascii="Arial" w:cs="Arial" w:eastAsia="Arial" w:hAnsi="Arial"/>
        <w:color w:val="D0D5DD"/>
        <w:sz w:val="16"/>
        <w:szCs w:val="16"/>
      </w:rPr>
      <w:t xml:space="preserve">    |  GodsIMiJ AI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2D5FA0"/>
      <w:sz w:val="28"/>
      <w:szCs w:val="28"/>
    </w:rPr>
  </w:style>
  <w:style w:type="paragraph" w:styleId="Heading3">
    <w:name w:val="Heading 3"/>
    <w:basedOn w:val="Normal"/>
    <w:next w:val="Normal"/>
    <w:qFormat/>
    <w:pPr>
      <w:spacing w:before="240" w:after="80"/>
      <w:outlineLvl w:val="2"/>
    </w:pPr>
    <w:rPr>
      <w:rFonts w:ascii="Arial" w:cs="Arial" w:eastAsia="Arial" w:hAnsi="Arial"/>
      <w:b/>
      <w:bCs/>
      <w:color w:val="4A7D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2026-02-18T04:09:43.956Z</dcterms:created>
  <dcterms:modified xsi:type="dcterms:W3CDTF">2026-02-18T04:09:43.957Z</dcterms:modified>
</cp:coreProperties>
</file>

<file path=docProps/custom.xml><?xml version="1.0" encoding="utf-8"?>
<Properties xmlns="http://schemas.openxmlformats.org/officeDocument/2006/custom-properties" xmlns:vt="http://schemas.openxmlformats.org/officeDocument/2006/docPropsVTypes"/>
</file>