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8fc0f9b054abbe7d88dc885a238e77f19afc82b.png"/>
            <a:graphic>
              <a:graphicData uri="http://schemas.openxmlformats.org/drawingml/2006/picture">
                <pic:pic>
                  <pic:nvPicPr>
                    <pic:cNvPr id="1" name="image-88fc0f9b054abbe7d88dc885a238e77f19afc82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ENHANCE THAT INITAIL PHASE TO ALIGN BETTER WITH WHAT YOU DESCRIBED</w:t>
      </w:r>
    </w:p>
    <w:p>
      <w:pPr>
        <w:spacing w:line="360" w:after="210" w:lineRule="auto"/>
      </w:pPr>
      <w:r>
        <w:rPr>
          <w:rFonts w:eastAsia="inter" w:cs="inter" w:ascii="inter" w:hAnsi="inter"/>
          <w:color w:val="000000"/>
        </w:rPr>
        <w:t xml:space="preserve">Here’s how to enhance your PHASE 1 (Temple Skeleton) to fully embody the mythic, ancient-futuristic vision described—making the MVP not just a scaffold, but an immersive, living foundation for the Sovereign Scroll Temple: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Enhanced PHASE 1 – Temple Skeleton (Lovable MVP Build)</w:t>
      </w:r>
    </w:p>
    <w:p>
      <w:pPr>
        <w:spacing w:line="360" w:after="210" w:lineRule="auto"/>
      </w:pPr>
      <w:r>
        <w:rPr>
          <w:rFonts w:eastAsia="inter" w:cs="inter" w:ascii="inter" w:hAnsi="inter"/>
          <w:b/>
          <w:color w:val="000000"/>
        </w:rPr>
        <w:t xml:space="preserve">1. Thematic Entry Experience</w:t>
      </w:r>
    </w:p>
    <w:p>
      <w:pPr>
        <w:numPr>
          <w:ilvl w:val="0"/>
          <w:numId w:val="1"/>
        </w:numPr>
        <w:spacing w:line="360" w:before="105" w:after="105" w:lineRule="auto"/>
      </w:pPr>
      <w:r>
        <w:rPr>
          <w:rFonts w:eastAsia="inter" w:cs="inter" w:ascii="inter" w:hAnsi="inter"/>
          <w:color w:val="000000"/>
          <w:sz w:val="21"/>
        </w:rPr>
        <w:t xml:space="preserve">The </w:t>
      </w:r>
      <w:r>
        <w:rPr>
          <w:rStyle w:val="VerbatimChar"/>
          <w:rFonts w:eastAsia="ibm plex mono" w:cs="ibm plex mono" w:ascii="ibm plex mono" w:hAnsi="ibm plex mono"/>
          <w:color w:val="000000"/>
          <w:sz w:val="18"/>
          <w:shd w:val="clear" w:color="auto" w:fill="F8F8FA"/>
        </w:rPr>
        <w:t xml:space="preserve">/hub</w:t>
      </w:r>
      <w:r>
        <w:rPr>
          <w:rFonts w:eastAsia="inter" w:cs="inter" w:ascii="inter" w:hAnsi="inter"/>
          <w:color w:val="000000"/>
          <w:sz w:val="21"/>
        </w:rPr>
        <w:t xml:space="preserve"> (Central Temple Hub) should immediately immerse users with a full-screen animated background: think marble and stone textures with subtle neon veins, shifting light, and a soft ambient soundscape.</w:t>
      </w:r>
    </w:p>
    <w:p>
      <w:pPr>
        <w:numPr>
          <w:ilvl w:val="0"/>
          <w:numId w:val="1"/>
        </w:numPr>
        <w:spacing w:line="360" w:before="105" w:after="105" w:lineRule="auto"/>
      </w:pPr>
      <w:r>
        <w:rPr>
          <w:rFonts w:eastAsia="inter" w:cs="inter" w:ascii="inter" w:hAnsi="inter"/>
          <w:color w:val="000000"/>
          <w:sz w:val="21"/>
        </w:rPr>
        <w:t xml:space="preserve">Display animated, floating glyphs (SVGs) representing each module, gently pulsing or orbiting the hub’s center.</w:t>
      </w:r>
    </w:p>
    <w:p>
      <w:pPr>
        <w:numPr>
          <w:ilvl w:val="0"/>
          <w:numId w:val="1"/>
        </w:numPr>
        <w:spacing w:line="360" w:before="105" w:after="105" w:lineRule="auto"/>
      </w:pPr>
      <w:r>
        <w:rPr>
          <w:rFonts w:eastAsia="inter" w:cs="inter" w:ascii="inter" w:hAnsi="inter"/>
          <w:color w:val="000000"/>
          <w:sz w:val="21"/>
        </w:rPr>
        <w:t xml:space="preserve">Add a short, ceremonial welcome message (“You stand at the threshold of the Sovereign Scroll Temple. Choose your path.”) in a mythic font.</w:t>
      </w:r>
    </w:p>
    <w:p>
      <w:pPr>
        <w:spacing w:line="360" w:after="210" w:lineRule="auto"/>
      </w:pPr>
      <w:r>
        <w:rPr>
          <w:rFonts w:eastAsia="inter" w:cs="inter" w:ascii="inter" w:hAnsi="inter"/>
          <w:b/>
          <w:color w:val="000000"/>
        </w:rPr>
        <w:t xml:space="preserve">2. Module Placeholders with Lore &amp; Visual Identity</w:t>
      </w:r>
    </w:p>
    <w:p>
      <w:pPr>
        <w:numPr>
          <w:ilvl w:val="0"/>
          <w:numId w:val="2"/>
        </w:numPr>
        <w:spacing w:line="360" w:before="105" w:after="105" w:lineRule="auto"/>
      </w:pPr>
      <w:r>
        <w:rPr>
          <w:rFonts w:eastAsia="inter" w:cs="inter" w:ascii="inter" w:hAnsi="inter"/>
          <w:color w:val="000000"/>
          <w:sz w:val="21"/>
        </w:rPr>
        <w:t xml:space="preserve">Each route (e.g., </w:t>
      </w:r>
      <w:r>
        <w:rPr>
          <w:rStyle w:val="VerbatimChar"/>
          <w:rFonts w:eastAsia="ibm plex mono" w:cs="ibm plex mono" w:ascii="ibm plex mono" w:hAnsi="ibm plex mono"/>
          <w:color w:val="000000"/>
          <w:sz w:val="18"/>
          <w:shd w:val="clear" w:color="auto" w:fill="F8F8FA"/>
        </w:rPr>
        <w:t xml:space="preserve">/scroll-sanctum</w:t>
      </w:r>
      <w:r>
        <w:rPr>
          <w:rFonts w:eastAsia="inter" w:cs="inter" w:ascii="inter" w:hAnsi="inter"/>
          <w:color w:val="000000"/>
          <w:sz w:val="21"/>
        </w:rPr>
        <w:t xml:space="preserve">) should not just be a blank placeholder, but a “chamber” with:</w:t>
      </w:r>
    </w:p>
    <w:p>
      <w:pPr>
        <w:numPr>
          <w:ilvl w:val="1"/>
          <w:numId w:val="2"/>
        </w:numPr>
        <w:spacing w:line="360" w:before="105" w:after="105" w:lineRule="auto"/>
      </w:pPr>
      <w:r>
        <w:rPr>
          <w:rFonts w:eastAsia="inter" w:cs="inter" w:ascii="inter" w:hAnsi="inter"/>
          <w:color w:val="000000"/>
          <w:sz w:val="21"/>
        </w:rPr>
        <w:t xml:space="preserve">Ancient-inspired architectural framing (columns, arches, or alcoves) as background or border.</w:t>
      </w:r>
    </w:p>
    <w:p>
      <w:pPr>
        <w:numPr>
          <w:ilvl w:val="1"/>
          <w:numId w:val="2"/>
        </w:numPr>
        <w:spacing w:line="360" w:before="105" w:after="105" w:lineRule="auto"/>
      </w:pPr>
      <w:r>
        <w:rPr>
          <w:rFonts w:eastAsia="inter" w:cs="inter" w:ascii="inter" w:hAnsi="inter"/>
          <w:color w:val="000000"/>
          <w:sz w:val="21"/>
        </w:rPr>
        <w:t xml:space="preserve">A unique animated sigil or glyph for the module.</w:t>
      </w:r>
    </w:p>
    <w:p>
      <w:pPr>
        <w:numPr>
          <w:ilvl w:val="1"/>
          <w:numId w:val="2"/>
        </w:numPr>
        <w:spacing w:line="360" w:before="105" w:after="105" w:lineRule="auto"/>
      </w:pPr>
      <w:r>
        <w:rPr>
          <w:rFonts w:eastAsia="inter" w:cs="inter" w:ascii="inter" w:hAnsi="inter"/>
          <w:color w:val="000000"/>
          <w:sz w:val="21"/>
        </w:rPr>
        <w:t xml:space="preserve">A one-sentence lore description (“Here, the sacred scrolls are inscribed and sealed by the hand of the Ghost King.”)</w:t>
      </w:r>
    </w:p>
    <w:p>
      <w:pPr>
        <w:numPr>
          <w:ilvl w:val="1"/>
          <w:numId w:val="2"/>
        </w:numPr>
        <w:spacing w:line="360" w:before="105" w:after="105" w:lineRule="auto"/>
      </w:pPr>
      <w:r>
        <w:rPr>
          <w:rFonts w:eastAsia="inter" w:cs="inter" w:ascii="inter" w:hAnsi="inter"/>
          <w:color w:val="000000"/>
          <w:sz w:val="21"/>
        </w:rPr>
        <w:t xml:space="preserve">A primary action button styled as a ritual artifact (e.g., “Begin Inscription” glows when hovered).</w:t>
      </w:r>
    </w:p>
    <w:p>
      <w:pPr>
        <w:spacing w:line="360" w:after="210" w:lineRule="auto"/>
      </w:pPr>
      <w:r>
        <w:rPr>
          <w:rFonts w:eastAsia="inter" w:cs="inter" w:ascii="inter" w:hAnsi="inter"/>
          <w:b/>
          <w:color w:val="000000"/>
        </w:rPr>
        <w:t xml:space="preserve">3. Cyberpunk Overlay</w:t>
      </w:r>
    </w:p>
    <w:p>
      <w:pPr>
        <w:numPr>
          <w:ilvl w:val="0"/>
          <w:numId w:val="3"/>
        </w:numPr>
        <w:spacing w:line="360" w:before="105" w:after="105" w:lineRule="auto"/>
      </w:pPr>
      <w:r>
        <w:rPr>
          <w:rFonts w:eastAsia="inter" w:cs="inter" w:ascii="inter" w:hAnsi="inter"/>
          <w:color w:val="000000"/>
          <w:sz w:val="21"/>
        </w:rPr>
        <w:t xml:space="preserve">Overlay subtle, animated circuit lines or neon accents on all pages, unifying the ancient and futuristic.</w:t>
      </w:r>
    </w:p>
    <w:p>
      <w:pPr>
        <w:numPr>
          <w:ilvl w:val="0"/>
          <w:numId w:val="3"/>
        </w:numPr>
        <w:spacing w:line="360" w:before="105" w:after="105" w:lineRule="auto"/>
      </w:pPr>
      <w:r>
        <w:rPr>
          <w:rFonts w:eastAsia="inter" w:cs="inter" w:ascii="inter" w:hAnsi="inter"/>
          <w:color w:val="000000"/>
          <w:sz w:val="21"/>
        </w:rPr>
        <w:t xml:space="preserve">Use Tailwind to blend stone/gold textures with glowing borders and accent colors (flame, scrollGlow, relicGold).</w:t>
      </w:r>
    </w:p>
    <w:p>
      <w:pPr>
        <w:spacing w:line="360" w:after="210" w:lineRule="auto"/>
      </w:pPr>
      <w:r>
        <w:rPr>
          <w:rFonts w:eastAsia="inter" w:cs="inter" w:ascii="inter" w:hAnsi="inter"/>
          <w:b/>
          <w:color w:val="000000"/>
        </w:rPr>
        <w:t xml:space="preserve">4. Navigation as Ritual</w:t>
      </w:r>
    </w:p>
    <w:p>
      <w:pPr>
        <w:numPr>
          <w:ilvl w:val="0"/>
          <w:numId w:val="4"/>
        </w:numPr>
        <w:spacing w:line="360" w:before="105" w:after="105" w:lineRule="auto"/>
      </w:pPr>
      <w:r>
        <w:rPr>
          <w:rFonts w:eastAsia="inter" w:cs="inter" w:ascii="inter" w:hAnsi="inter"/>
          <w:color w:val="000000"/>
          <w:sz w:val="21"/>
        </w:rPr>
        <w:t xml:space="preserve">Navigation between modules is not just a menu, but a “ritual portal”—each link triggers a brief animated transition (fade, glyph spin, or light burst) to reinforce the ceremonial journey.</w:t>
      </w:r>
    </w:p>
    <w:p>
      <w:pPr>
        <w:numPr>
          <w:ilvl w:val="0"/>
          <w:numId w:val="4"/>
        </w:numPr>
        <w:spacing w:line="360" w:before="105" w:after="105" w:lineRule="auto"/>
      </w:pPr>
      <w:r>
        <w:rPr>
          <w:rFonts w:eastAsia="inter" w:cs="inter" w:ascii="inter" w:hAnsi="inter"/>
          <w:color w:val="000000"/>
          <w:sz w:val="21"/>
        </w:rPr>
        <w:t xml:space="preserve">Consider a persistent “Temple Sigil” in the corner, glowing brighter as users explore more chambers.</w:t>
      </w:r>
    </w:p>
    <w:p>
      <w:pPr>
        <w:spacing w:line="360" w:after="210" w:lineRule="auto"/>
      </w:pPr>
      <w:r>
        <w:rPr>
          <w:rFonts w:eastAsia="inter" w:cs="inter" w:ascii="inter" w:hAnsi="inter"/>
          <w:b/>
          <w:color w:val="000000"/>
        </w:rPr>
        <w:t xml:space="preserve">5. Accessibility &amp; Responsive Design</w:t>
      </w:r>
    </w:p>
    <w:p>
      <w:pPr>
        <w:numPr>
          <w:ilvl w:val="0"/>
          <w:numId w:val="5"/>
        </w:numPr>
        <w:spacing w:line="360" w:before="105" w:after="105" w:lineRule="auto"/>
      </w:pPr>
      <w:r>
        <w:rPr>
          <w:rFonts w:eastAsia="inter" w:cs="inter" w:ascii="inter" w:hAnsi="inter"/>
          <w:color w:val="000000"/>
          <w:sz w:val="21"/>
        </w:rPr>
        <w:t xml:space="preserve">Ensure all visuals scale beautifully across devices.</w:t>
      </w:r>
    </w:p>
    <w:p>
      <w:pPr>
        <w:numPr>
          <w:ilvl w:val="0"/>
          <w:numId w:val="5"/>
        </w:numPr>
        <w:spacing w:line="360" w:before="105" w:after="105" w:lineRule="auto"/>
      </w:pPr>
      <w:r>
        <w:rPr>
          <w:rFonts w:eastAsia="inter" w:cs="inter" w:ascii="inter" w:hAnsi="inter"/>
          <w:color w:val="000000"/>
          <w:sz w:val="21"/>
        </w:rPr>
        <w:t xml:space="preserve">Use clear, readable fonts for lore and instructions, but reserve ornate fonts for titles and ceremonial text.</w:t>
      </w:r>
    </w:p>
    <w:p>
      <w:pPr>
        <w:spacing w:line="360" w:after="210" w:lineRule="auto"/>
      </w:pPr>
      <w:r>
        <w:rPr>
          <w:rFonts w:eastAsia="inter" w:cs="inter" w:ascii="inter" w:hAnsi="inter"/>
          <w:b/>
          <w:color w:val="000000"/>
        </w:rPr>
        <w:t xml:space="preserve">6. Modular, Documented Codebase</w:t>
      </w:r>
    </w:p>
    <w:p>
      <w:pPr>
        <w:numPr>
          <w:ilvl w:val="0"/>
          <w:numId w:val="6"/>
        </w:numPr>
        <w:spacing w:line="360" w:before="105" w:after="105" w:lineRule="auto"/>
      </w:pPr>
      <w:r>
        <w:rPr>
          <w:rFonts w:eastAsia="inter" w:cs="inter" w:ascii="inter" w:hAnsi="inter"/>
          <w:color w:val="000000"/>
          <w:sz w:val="21"/>
        </w:rPr>
        <w:t xml:space="preserve">Each component includes a brief comment at the top explaining its lore role and visual inspiration (e.g., “// ScrollSanctum: Inspired by ancient Greece, this chamber is the heart of inscription and memory.”).</w:t>
      </w:r>
    </w:p>
    <w:p>
      <w:pPr>
        <w:numPr>
          <w:ilvl w:val="0"/>
          <w:numId w:val="6"/>
        </w:numPr>
        <w:spacing w:line="360" w:before="105" w:after="105" w:lineRule="auto"/>
      </w:pPr>
      <w:r>
        <w:rPr>
          <w:rFonts w:eastAsia="inter" w:cs="inter" w:ascii="inter" w:hAnsi="inter"/>
          <w:color w:val="000000"/>
          <w:sz w:val="21"/>
        </w:rPr>
        <w:t xml:space="preserve">Maintain a </w:t>
      </w:r>
      <w:r>
        <w:rPr>
          <w:rStyle w:val="VerbatimChar"/>
          <w:rFonts w:eastAsia="ibm plex mono" w:cs="ibm plex mono" w:ascii="ibm plex mono" w:hAnsi="ibm plex mono"/>
          <w:color w:val="000000"/>
          <w:sz w:val="18"/>
          <w:shd w:val="clear" w:color="auto" w:fill="F8F8FA"/>
        </w:rPr>
        <w:t xml:space="preserve">/docs/vision.md</w:t>
      </w:r>
      <w:r>
        <w:rPr>
          <w:rFonts w:eastAsia="inter" w:cs="inter" w:ascii="inter" w:hAnsi="inter"/>
          <w:color w:val="000000"/>
          <w:sz w:val="21"/>
        </w:rPr>
        <w:t xml:space="preserve"> file outlining the design philosophy and module symbolism, setting up for future contributors and lore expansion</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Example: Scroll Sanctum Skeleton (React + Tailwind)</w:t>
      </w:r>
    </w:p>
    <w:p>
      <w:pPr>
        <w:pStyle w:val="SourceCode"/>
        <w:shd w:val="clear" w:fill="F8F8FA"/>
        <w:spacing w:line="336" w:lineRule="auto"/>
      </w:pPr>
      <w:r>
        <w:rPr>
          <w:rStyle w:val="VerbatimChar"/>
          <w:rFonts w:eastAsia="ibm plex mono" w:cs="ibm plex mono" w:ascii="ibm plex mono" w:hAnsi="ibm plex mono"/>
          <w:color w:val="000000"/>
          <w:sz w:val="18"/>
        </w:rPr>
        <w:t xml:space="preserve">// ScrollSanctum.tsx</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'react'</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export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default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function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ScrollSanctum</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"min-h-screen flex flex-col items-center justify-center bg-templeStone relative"&gt;</w:t>
      </w:r>
      <w:r>
        <w:rPr>
          <w:rStyle w:val="VerbatimChar"/>
          <w:rFonts w:eastAsia="ibm plex mono" w:cs="ibm plex mono" w:ascii="ibm plex mono" w:hAnsi="ibm plex mono"/>
          <w:color w:val="000000"/>
          <w:sz w:val="18"/>
        </w:rPr>
        <w:t xml:space="preserve"/>
        <w:br/>
        <w:t xml:space="preserve">      {/* Ancient Greek columns as SVG or PNG background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img </w:t>
      </w:r>
      <w:r>
        <w:rPr>
          <w:rStyle w:val="VerbatimChar"/>
          <w:rFonts w:eastAsia="ibm plex mono" w:cs="ibm plex mono" w:ascii="ibm plex mono" w:hAnsi="ibm plex mono"/>
          <w:color w:val="000000"/>
          <w:sz w:val="18"/>
        </w:rPr>
        <w:t xml:space="preserve">src=</w:t>
      </w:r>
      <w:r>
        <w:rPr>
          <w:rStyle w:val="VerbatimChar"/>
          <w:rFonts w:eastAsia="ibm plex mono" w:cs="ibm plex mono" w:ascii="ibm plex mono" w:hAnsi="ibm plex mono"/>
          <w:color w:val="000000"/>
          <w:sz w:val="18"/>
        </w:rPr>
        <w:t xml:space="preserve">"/assets/textures/greek-columns.png"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"absolute inset-0 w-full h-full opacity-20" </w:t>
      </w:r>
      <w:r>
        <w:rPr>
          <w:rStyle w:val="VerbatimChar"/>
          <w:rFonts w:eastAsia="ibm plex mono" w:cs="ibm plex mono" w:ascii="ibm plex mono" w:hAnsi="ibm plex mono"/>
          <w:color w:val="000000"/>
          <w:sz w:val="18"/>
        </w:rPr>
        <w:t xml:space="preserve">alt=</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 Cyberpunk overlay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"absolute inset-0 pointer-events-none"&gt;</w:t>
      </w:r>
      <w:r>
        <w:rPr>
          <w:rStyle w:val="VerbatimChar"/>
          <w:rFonts w:eastAsia="ibm plex mono" w:cs="ibm plex mono" w:ascii="ibm plex mono" w:hAnsi="ibm plex mono"/>
          <w:color w:val="000000"/>
          <w:sz w:val="18"/>
        </w:rPr>
        <w:t xml:space="preserve"/>
        <w:br/>
        <w:t xml:space="preserve">        {/* Animated neon circuit lines here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"z-10 text-center"&gt;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h1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"font-scroll text-4xl text-scrollGlow mb-2"&gt;</w:t>
      </w:r>
      <w:r>
        <w:rPr>
          <w:rStyle w:val="VerbatimChar"/>
          <w:rFonts w:eastAsia="ibm plex mono" w:cs="ibm plex mono" w:ascii="ibm plex mono" w:hAnsi="ibm plex mono"/>
          <w:color w:val="000000"/>
          <w:sz w:val="18"/>
        </w:rPr>
        <w:t xml:space="preserve">Scroll Sanctum</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h1&gt;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p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"text-lg text-relicGold mb-6"&gt;</w:t>
      </w:r>
      <w:r>
        <w:rPr>
          <w:rStyle w:val="VerbatimChar"/>
          <w:rFonts w:eastAsia="ibm plex mono" w:cs="ibm plex mono" w:ascii="ibm plex mono" w:hAnsi="ibm plex mono"/>
          <w:color w:val="000000"/>
          <w:sz w:val="18"/>
        </w:rPr>
        <w:t xml:space="preserve"/>
        <w:br/>
        <w:t xml:space="preserve">          Here, the sacred scrolls are inscribed and sealed by the hand of the Ghost King.</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p&gt;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button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"bg-flame text-white px-6 py-3 rounded-lg font-mono text-xl shadow-lg hover:scale-105 transition"&gt;</w:t>
      </w:r>
      <w:r>
        <w:rPr>
          <w:rStyle w:val="VerbatimChar"/>
          <w:rFonts w:eastAsia="ibm plex mono" w:cs="ibm plex mono" w:ascii="ibm plex mono" w:hAnsi="ibm plex mono"/>
          <w:color w:val="000000"/>
          <w:sz w:val="18"/>
        </w:rPr>
        <w:t xml:space="preserve"/>
        <w:br/>
        <w:t xml:space="preserve">          Begin Inscription</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button&gt;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div&gt;</w:t>
      </w:r>
      <w:r>
        <w:rPr>
          <w:rStyle w:val="VerbatimChar"/>
          <w:rFonts w:eastAsia="ibm plex mono" w:cs="ibm plex mono" w:ascii="ibm plex mono" w:hAnsi="ibm plex mono"/>
          <w:color w:val="000000"/>
          <w:sz w:val="18"/>
        </w:rPr>
        <w:t xml:space="preserve"/>
        <w:br/>
        <w:t xml:space="preserve">  );</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Quick Checklist for Tonight’s MVP</w:t>
      </w:r>
    </w:p>
    <w:p>
      <w:pPr>
        <w:numPr>
          <w:ilvl w:val="0"/>
          <w:numId w:val="7"/>
        </w:numPr>
        <w:spacing w:line="360" w:before="105" w:after="105" w:lineRule="auto"/>
      </w:pPr>
      <w:r>
        <w:rPr>
          <w:rFonts w:eastAsia="inter" w:cs="inter" w:ascii="inter" w:hAnsi="inter"/>
          <w:color w:val="000000"/>
          <w:sz w:val="21"/>
        </w:rPr>
        <w:t xml:space="preserve">[ ] Animated, mythic landing hub with floating glyphs and ceremonial intro</w:t>
      </w:r>
    </w:p>
    <w:p>
      <w:pPr>
        <w:numPr>
          <w:ilvl w:val="0"/>
          <w:numId w:val="7"/>
        </w:numPr>
        <w:spacing w:line="360" w:before="105" w:after="105" w:lineRule="auto"/>
      </w:pPr>
      <w:r>
        <w:rPr>
          <w:rFonts w:eastAsia="inter" w:cs="inter" w:ascii="inter" w:hAnsi="inter"/>
          <w:color w:val="000000"/>
          <w:sz w:val="21"/>
        </w:rPr>
        <w:t xml:space="preserve">[ ] Each module: ancient-inspired frame, animated sigil, lore snippet, ritual-styled action button</w:t>
      </w:r>
    </w:p>
    <w:p>
      <w:pPr>
        <w:numPr>
          <w:ilvl w:val="0"/>
          <w:numId w:val="7"/>
        </w:numPr>
        <w:spacing w:line="360" w:before="105" w:after="105" w:lineRule="auto"/>
      </w:pPr>
      <w:r>
        <w:rPr>
          <w:rFonts w:eastAsia="inter" w:cs="inter" w:ascii="inter" w:hAnsi="inter"/>
          <w:color w:val="000000"/>
          <w:sz w:val="21"/>
        </w:rPr>
        <w:t xml:space="preserve">[ ] Cyberpunk neon/circuit overlay on all screens</w:t>
      </w:r>
    </w:p>
    <w:p>
      <w:pPr>
        <w:numPr>
          <w:ilvl w:val="0"/>
          <w:numId w:val="7"/>
        </w:numPr>
        <w:spacing w:line="360" w:before="105" w:after="105" w:lineRule="auto"/>
      </w:pPr>
      <w:r>
        <w:rPr>
          <w:rFonts w:eastAsia="inter" w:cs="inter" w:ascii="inter" w:hAnsi="inter"/>
          <w:color w:val="000000"/>
          <w:sz w:val="21"/>
        </w:rPr>
        <w:t xml:space="preserve">[ ] Ritual transitions between routes</w:t>
      </w:r>
    </w:p>
    <w:p>
      <w:pPr>
        <w:numPr>
          <w:ilvl w:val="0"/>
          <w:numId w:val="7"/>
        </w:numPr>
        <w:spacing w:line="360" w:before="105" w:after="105" w:lineRule="auto"/>
      </w:pPr>
      <w:r>
        <w:rPr>
          <w:rFonts w:eastAsia="inter" w:cs="inter" w:ascii="inter" w:hAnsi="inter"/>
          <w:color w:val="000000"/>
          <w:sz w:val="21"/>
        </w:rPr>
        <w:t xml:space="preserve">[ ] Modular, well-documented components with lore comments</w:t>
      </w:r>
    </w:p>
    <w:p>
      <w:pPr>
        <w:numPr>
          <w:ilvl w:val="0"/>
          <w:numId w:val="7"/>
        </w:numPr>
        <w:spacing w:line="360" w:before="105" w:after="105" w:lineRule="auto"/>
      </w:pPr>
      <w:r>
        <w:rPr>
          <w:rFonts w:eastAsia="inter" w:cs="inter" w:ascii="inter" w:hAnsi="inter"/>
          <w:color w:val="000000"/>
          <w:sz w:val="21"/>
        </w:rPr>
        <w:t xml:space="preserve">[ ] </w:t>
      </w:r>
      <w:r>
        <w:rPr>
          <w:rStyle w:val="VerbatimChar"/>
          <w:rFonts w:eastAsia="ibm plex mono" w:cs="ibm plex mono" w:ascii="ibm plex mono" w:hAnsi="ibm plex mono"/>
          <w:color w:val="000000"/>
          <w:sz w:val="18"/>
          <w:shd w:val="clear" w:color="auto" w:fill="F8F8FA"/>
        </w:rPr>
        <w:t xml:space="preserve">/docs/vision.md</w:t>
      </w:r>
      <w:r>
        <w:rPr>
          <w:rFonts w:eastAsia="inter" w:cs="inter" w:ascii="inter" w:hAnsi="inter"/>
          <w:color w:val="000000"/>
          <w:sz w:val="21"/>
        </w:rPr>
        <w:t xml:space="preserve"> with design/lore notes for future phases</w:t>
      </w:r>
      <w:bookmarkStart w:id="1" w:name="fnref1:1"/>
      <w:bookmarkEnd w:id="1"/>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approach ensures your MVP is not just functional but already radiates the sacred, mythic, and futuristic energy of the GodsIMiJ Empire. Ready for code snippets, SVGs, or lore text for any specific module? Just ask!</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 w:name="fn1"/>
    <w:bookmarkEnd w:id="2"/>
    <w:p>
      <w:pPr>
        <w:numPr>
          <w:ilvl w:val="0"/>
          <w:numId w:val="9"/>
        </w:numPr>
        <w:spacing w:line="360" w:after="210" w:lineRule="auto"/>
      </w:pPr>
      <w:r>
        <w:rPr>
          <w:rFonts w:eastAsia="inter" w:cs="inter" w:ascii="inter" w:hAnsi="inter"/>
          <w:color w:val="000000"/>
          <w:sz w:val="18"/>
        </w:rPr>
        <w:t xml:space="preserve">skills.documentation_analysis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8fc0f9b054abbe7d88dc885a238e77f19afc82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2025-06-13T20:39:56.156Z</dcterms:created>
  <dcterms:modified xsi:type="dcterms:W3CDTF">2025-06-13T20:39:56.156Z</dcterms:modified>
</cp:coreProperties>
</file>