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A365D"/>
          <w:sz w:val="48"/>
        </w:rPr>
        <w:t>Can Climate Kill? How We Built an AI to Detect Climate-Linked Mortality</w:t>
      </w:r>
    </w:p>
    <w:p>
      <w:pPr>
        <w:spacing w:before="0" w:after="240"/>
        <w:jc w:val="center"/>
      </w:pPr>
      <w:r>
        <w:rPr>
          <w:rFonts w:ascii="Calibri" w:hAnsi="Calibri"/>
          <w:i/>
          <w:color w:val="0D9488"/>
          <w:sz w:val="26"/>
        </w:rPr>
        <w:t>A Friendly, Plain-English Beginner's Guide from Raw Satellite Data to Leaderboard Success</w:t>
      </w:r>
    </w:p>
    <w:p>
      <w:pPr>
        <w:spacing w:after="400"/>
        <w:jc w:val="center"/>
      </w:pPr>
      <w:r>
        <w:rPr>
          <w:color w:val="64748B"/>
          <w:sz w:val="20"/>
        </w:rPr>
        <w:t xml:space="preserve">By Godwin Okronipa  |  </w:t>
      </w:r>
      <w:r>
        <w:rPr>
          <w:i/>
          <w:color w:val="64748B"/>
          <w:sz w:val="20"/>
        </w:rPr>
        <w:t>October 2026  •  Zindi Data Science Challenge Series</w:t>
      </w:r>
    </w:p>
    <w:p>
      <w:pPr>
        <w:keepNext/>
        <w:spacing w:before="360" w:after="120"/>
      </w:pPr>
      <w:r>
        <w:rPr>
          <w:rFonts w:ascii="Arial" w:hAnsi="Arial"/>
          <w:b/>
          <w:color w:val="1A365D"/>
          <w:sz w:val="30"/>
        </w:rPr>
        <w:t>1. The Spark: Why Does Climate Risk Matter?</w:t>
      </w:r>
    </w:p>
    <w:p>
      <w:pPr>
        <w:spacing w:before="0" w:after="160" w:line="276" w:lineRule="auto"/>
      </w:pPr>
      <w:r>
        <w:rPr>
          <w:color w:val="2D3748"/>
        </w:rPr>
        <w:t>Imagine you are a healthcare worker in rural East Africa. You notice that in certain months of the year, clinic waiting rooms suddenly overflow. Young children arrive with severe respiratory infections, and elderly grandmothers arrive with life-threatening dehydration and heat-triggered cardiovascular strain. Biology alone doesn't explain this surge—the environment is playing an invisible, deadly hand.</w:t>
      </w:r>
    </w:p>
    <w:p>
      <w:pPr>
        <w:spacing w:before="0" w:after="160" w:line="276" w:lineRule="auto"/>
      </w:pPr>
      <w:r>
        <w:rPr>
          <w:color w:val="2D3748"/>
        </w:rPr>
        <w:t>Extreme heatwaves, sudden downpours that flood latrines into water wells, and prolonged dry spells that destroy food security all amplify disease. This is the heart of the Zindi Climate Risk and Health Prediction Challenge: Can we teach an Artificial Intelligence model to examine a mortality record — combining health history, age, geography, and satellite climate measurements — and accurately determine whether that death was climate-sensitive?</w:t>
      </w:r>
    </w:p>
    <w:p>
      <w:pPr>
        <w:spacing w:before="0" w:after="160" w:line="276" w:lineRule="auto"/>
      </w:pPr>
      <w:r>
        <w:rPr>
          <w:color w:val="2D3748"/>
        </w:rPr>
        <w:t>When I first looked at this challenge, it felt intimidating. There were satellite indices I had never heard of (like NDVI and CHIRPS), complex rules about probability thresholds, and multi-metric scoring formulas. But as we broke it down step-by-step, the puzzle came together beautifully. Whether you are taking your first steps in machine learning or just curious about how data can save lives, this guide is my personal story of how we cracked it.</w:t>
      </w: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sz="24" w:space="0" w:color="0D9488"/>
              <w:left w:val="single" w:sz="24" w:space="0" w:color="0D9488"/>
              <w:bottom w:val="none" w:sz="24" w:space="0" w:color="0D9488"/>
              <w:right w:val="none" w:sz="24" w:space="0" w:color="0D9488"/>
            </w:tcBorders>
          </w:tcPr>
          <w:p>
            <w:pPr>
              <w:spacing w:before="0" w:after="80"/>
            </w:pPr>
            <w:r>
              <w:rPr>
                <w:rFonts w:ascii="Arial" w:hAnsi="Arial"/>
                <w:b/>
                <w:color w:val="1A365D"/>
                <w:sz w:val="22"/>
              </w:rPr>
              <w:t>💡 Plain-English Concept: What is 'Supervised Machine Learning'?</w:t>
              <w:br/>
            </w:r>
            <w:r>
              <w:rPr>
                <w:color w:val="2D3748"/>
                <w:sz w:val="21"/>
              </w:rPr>
              <w:t>Think of supervised machine learning like a student preparing for a national exam with thousands of solved practice flashcards. Each flashcard has questions on the front (patient age, location, recent rainfall, temperature) and the correct answer on the back (1 = Climate-sensitive, 0 = Non-climate-sensitive). The computer studies these flashcards over and over, spotting subtle patterns that no human eye could catch. Once trained, we hand the student brand-new flashcards without answers (the test set) and ask it to predict the outcome!</w:t>
            </w:r>
          </w:p>
        </w:tc>
      </w:tr>
    </w:tbl>
    <w:p>
      <w:pPr>
        <w:spacing w:before="0" w:after="120"/>
      </w:pPr>
    </w:p>
    <w:p>
      <w:pPr>
        <w:keepNext/>
        <w:spacing w:before="360" w:after="120"/>
      </w:pPr>
      <w:r>
        <w:rPr>
          <w:rFonts w:ascii="Arial" w:hAnsi="Arial"/>
          <w:b/>
          <w:color w:val="1A365D"/>
          <w:sz w:val="30"/>
        </w:rPr>
        <w:t>2. Meet the Raw Data: Fusing Health &amp; Space Satellites</w:t>
      </w:r>
    </w:p>
    <w:p>
      <w:pPr>
        <w:spacing w:before="0" w:after="160" w:line="276" w:lineRule="auto"/>
      </w:pPr>
      <w:r>
        <w:rPr>
          <w:color w:val="2D3748"/>
        </w:rPr>
        <w:t>To solve a real-world problem, you need real-world data. In this competition, we were provided with three distinct files that we needed to merge together:</w:t>
      </w:r>
    </w:p>
    <w:p>
      <w:pPr>
        <w:pStyle w:val="ListBullet"/>
        <w:spacing w:before="0" w:after="80" w:line="276" w:lineRule="auto"/>
      </w:pPr>
      <w:r>
        <w:rPr>
          <w:b/>
          <w:color w:val="1A365D"/>
        </w:rPr>
        <w:t xml:space="preserve">Train.csv (3,146 records): </w:t>
      </w:r>
      <w:r>
        <w:rPr>
          <w:color w:val="2D3748"/>
        </w:rPr>
        <w:t>Our practice flashcards. Each record contains the deceased individual's gender, age, date of death, location in Uganda (e.g., Iganga, Mayuge), and whether the death was climate-sensitive (the target answer). Around 65% of the cases were climate-sensitive.</w:t>
      </w:r>
    </w:p>
    <w:p>
      <w:pPr>
        <w:pStyle w:val="ListBullet"/>
        <w:spacing w:before="0" w:after="80" w:line="276" w:lineRule="auto"/>
      </w:pPr>
      <w:r>
        <w:rPr>
          <w:b/>
          <w:color w:val="1A365D"/>
        </w:rPr>
        <w:t xml:space="preserve">Test.csv (1,030 records): </w:t>
      </w:r>
      <w:r>
        <w:rPr>
          <w:color w:val="2D3748"/>
        </w:rPr>
        <w:t>The final exam! It has the exact same columns as Train.csv, EXCEPT the target answer is hidden. Our goal is to predict those answers.</w:t>
      </w:r>
    </w:p>
    <w:p>
      <w:pPr>
        <w:pStyle w:val="ListBullet"/>
        <w:spacing w:before="0" w:after="80" w:line="276" w:lineRule="auto"/>
      </w:pPr>
      <w:r>
        <w:rPr>
          <w:b/>
          <w:color w:val="1A365D"/>
        </w:rPr>
        <w:t xml:space="preserve">climate_features.csv (4,176 records): </w:t>
      </w:r>
      <w:r>
        <w:rPr>
          <w:color w:val="2D3748"/>
        </w:rPr>
        <w:t>The secret weapon. For every single person in both train and test sets, Zindi extracted 16 environmental variables from orbiting Earth observation satellites matching the exact date and GPS coordinate of death.</w:t>
      </w:r>
    </w:p>
    <w:p>
      <w:pPr>
        <w:spacing w:before="0" w:after="160" w:line="276" w:lineRule="auto"/>
      </w:pPr>
      <w:r>
        <w:rPr>
          <w:color w:val="2D3748"/>
        </w:rPr>
        <w:t>Here is what those satellite numbers actually mean in plain English:</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20" w:type="dxa"/>
              <w:bottom w:w="120" w:type="dxa"/>
              <w:left w:w="140" w:type="dxa"/>
              <w:right w:w="140" w:type="dxa"/>
            </w:tcMar>
          </w:tcPr>
          <w:p>
            <w:pPr>
              <w:jc w:val="center"/>
            </w:pPr>
            <w:r>
              <w:rPr>
                <w:b/>
                <w:color w:val="FFFFFF"/>
                <w:sz w:val="20"/>
              </w:rPr>
              <w:t>Satellite Source</w:t>
            </w:r>
          </w:p>
        </w:tc>
        <w:tc>
          <w:tcPr>
            <w:tcW w:type="dxa" w:w="3120"/>
            <w:shd w:fill="1A365D"/>
            <w:tcMar>
              <w:top w:w="120" w:type="dxa"/>
              <w:bottom w:w="120" w:type="dxa"/>
              <w:left w:w="140" w:type="dxa"/>
              <w:right w:w="140" w:type="dxa"/>
            </w:tcMar>
          </w:tcPr>
          <w:p>
            <w:pPr>
              <w:jc w:val="center"/>
            </w:pPr>
            <w:r>
              <w:rPr>
                <w:b/>
                <w:color w:val="FFFFFF"/>
                <w:sz w:val="20"/>
              </w:rPr>
              <w:t>What it Measures</w:t>
            </w:r>
          </w:p>
        </w:tc>
        <w:tc>
          <w:tcPr>
            <w:tcW w:type="dxa" w:w="3120"/>
            <w:shd w:fill="1A365D"/>
            <w:tcMar>
              <w:top w:w="120" w:type="dxa"/>
              <w:bottom w:w="120" w:type="dxa"/>
              <w:left w:w="140" w:type="dxa"/>
              <w:right w:w="140" w:type="dxa"/>
            </w:tcMar>
          </w:tcPr>
          <w:p>
            <w:pPr>
              <w:jc w:val="center"/>
            </w:pPr>
            <w:r>
              <w:rPr>
                <w:b/>
                <w:color w:val="FFFFFF"/>
                <w:sz w:val="20"/>
              </w:rPr>
              <w:t>Why it Matters for Health</w:t>
            </w:r>
          </w:p>
        </w:tc>
      </w:tr>
      <w:tr>
        <w:tc>
          <w:tcPr>
            <w:tcW w:type="dxa" w:w="3120"/>
            <w:shd w:fill="FFFFFF"/>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b/>
                <w:color w:val="2D3748"/>
                <w:sz w:val="19"/>
              </w:rPr>
              <w:t>CHIRPS Daily (Rainfall)</w:t>
            </w:r>
          </w:p>
        </w:tc>
        <w:tc>
          <w:tcPr>
            <w:tcW w:type="dxa" w:w="3120"/>
            <w:shd w:fill="FFFFFF"/>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color w:val="2D3748"/>
                <w:sz w:val="19"/>
              </w:rPr>
              <w:t>Rainfall accumulated over 7, 30, and 90 days before death; rainy days count; maximum 1-day rain deluge.</w:t>
            </w:r>
          </w:p>
        </w:tc>
        <w:tc>
          <w:tcPr>
            <w:tcW w:type="dxa" w:w="3120"/>
            <w:shd w:fill="FFFFFF"/>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color w:val="2D3748"/>
                <w:sz w:val="19"/>
              </w:rPr>
              <w:t>Heavy rain floods sanitation systems and triggers cholera/malaria outbreaks. Extended droughts trigger malnutrition.</w:t>
            </w:r>
          </w:p>
        </w:tc>
      </w:tr>
      <w:tr>
        <w:tc>
          <w:tcPr>
            <w:tcW w:type="dxa" w:w="3120"/>
            <w:shd w:fill="F8FAFC"/>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b/>
                <w:color w:val="2D3748"/>
                <w:sz w:val="19"/>
              </w:rPr>
              <w:t>ERA5-Land (Temperature)</w:t>
            </w:r>
          </w:p>
        </w:tc>
        <w:tc>
          <w:tcPr>
            <w:tcW w:type="dxa" w:w="3120"/>
            <w:shd w:fill="F8FAFC"/>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color w:val="2D3748"/>
                <w:sz w:val="19"/>
              </w:rPr>
              <w:t>Daily average, maximum, and minimum 2-meter air temperature; count of scorching days &gt;35°C; daily temperature fluctuations.</w:t>
            </w:r>
          </w:p>
        </w:tc>
        <w:tc>
          <w:tcPr>
            <w:tcW w:type="dxa" w:w="3120"/>
            <w:shd w:fill="F8FAFC"/>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color w:val="2D3748"/>
                <w:sz w:val="19"/>
              </w:rPr>
              <w:t>Prolonged extreme heat causes heat stroke, dehydration, and triggers heart attacks in vulnerable seniors.</w:t>
            </w:r>
          </w:p>
        </w:tc>
      </w:tr>
      <w:tr>
        <w:tc>
          <w:tcPr>
            <w:tcW w:type="dxa" w:w="3120"/>
            <w:shd w:fill="FFFFFF"/>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b/>
                <w:color w:val="2D3748"/>
                <w:sz w:val="19"/>
              </w:rPr>
              <w:t>MODIS Satellite (NDVI)</w:t>
            </w:r>
          </w:p>
        </w:tc>
        <w:tc>
          <w:tcPr>
            <w:tcW w:type="dxa" w:w="3120"/>
            <w:shd w:fill="FFFFFF"/>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color w:val="2D3748"/>
                <w:sz w:val="19"/>
              </w:rPr>
              <w:t>Normalized Difference Vegetation Index — a satellite measure of greenness and vegetation health from -1 to +1.</w:t>
            </w:r>
          </w:p>
        </w:tc>
        <w:tc>
          <w:tcPr>
            <w:tcW w:type="dxa" w:w="3120"/>
            <w:shd w:fill="FFFFFF"/>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color w:val="2D3748"/>
                <w:sz w:val="19"/>
              </w:rPr>
              <w:t>Measures crop viability and agricultural drought. Brown, dying vegetation indicates famine and dry-season dust storms.</w:t>
            </w:r>
          </w:p>
        </w:tc>
      </w:tr>
      <w:tr>
        <w:tc>
          <w:tcPr>
            <w:tcW w:type="dxa" w:w="3120"/>
            <w:shd w:fill="F8FAFC"/>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b/>
                <w:color w:val="2D3748"/>
                <w:sz w:val="19"/>
              </w:rPr>
              <w:t>SRTM Radar (Elevation &amp; Slope)</w:t>
            </w:r>
          </w:p>
        </w:tc>
        <w:tc>
          <w:tcPr>
            <w:tcW w:type="dxa" w:w="3120"/>
            <w:shd w:fill="F8FAFC"/>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color w:val="2D3748"/>
                <w:sz w:val="19"/>
              </w:rPr>
              <w:t>Ground altitude in meters above sea level and terrain steepness in degrees.</w:t>
            </w:r>
          </w:p>
        </w:tc>
        <w:tc>
          <w:tcPr>
            <w:tcW w:type="dxa" w:w="3120"/>
            <w:shd w:fill="F8FAFC"/>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color w:val="2D3748"/>
                <w:sz w:val="19"/>
              </w:rPr>
              <w:t>Low-lying, flat valley bottoms pool stagnant water (breeding mosquitoes), while steep hillsides suffer mudslides.</w:t>
            </w:r>
          </w:p>
        </w:tc>
      </w:tr>
    </w:tbl>
    <w:p>
      <w:pPr>
        <w:spacing w:after="200"/>
      </w:pPr>
    </w:p>
    <w:p>
      <w:pPr>
        <w:keepNext/>
        <w:spacing w:before="360" w:after="120"/>
      </w:pPr>
      <w:r>
        <w:rPr>
          <w:rFonts w:ascii="Arial" w:hAnsi="Arial"/>
          <w:b/>
          <w:color w:val="1A365D"/>
          <w:sz w:val="30"/>
        </w:rPr>
        <w:t>3. The Rules of the Game: Two Metrics and a Golden Rule</w:t>
      </w:r>
    </w:p>
    <w:p>
      <w:pPr>
        <w:spacing w:before="0" w:after="160" w:line="276" w:lineRule="auto"/>
      </w:pPr>
      <w:r>
        <w:rPr>
          <w:color w:val="2D3748"/>
        </w:rPr>
        <w:t>Most Kaggle or Zindi competitions ask you to submit a single prediction: either a hard label (0 or 1) or a probability score (0.0 to 1.0). This challenge is different: it uses Multi-Metric Evaluation, demanding TWO columns for each person:</w:t>
      </w:r>
    </w:p>
    <w:p>
      <w:pPr>
        <w:pStyle w:val="ListBullet"/>
        <w:spacing w:before="0" w:after="80" w:line="276" w:lineRule="auto"/>
      </w:pPr>
      <w:r>
        <w:rPr>
          <w:b/>
          <w:color w:val="1A365D"/>
        </w:rPr>
        <w:t xml:space="preserve">TargetF1: </w:t>
      </w:r>
      <w:r>
        <w:rPr>
          <w:color w:val="2D3748"/>
        </w:rPr>
        <w:t>A binary 0 or 1 stating whether this death was climate-linked.</w:t>
      </w:r>
    </w:p>
    <w:p>
      <w:pPr>
        <w:pStyle w:val="ListBullet"/>
        <w:spacing w:before="0" w:after="80" w:line="276" w:lineRule="auto"/>
      </w:pPr>
      <w:r>
        <w:rPr>
          <w:b/>
          <w:color w:val="1A365D"/>
        </w:rPr>
        <w:t xml:space="preserve">TargetRAUC: </w:t>
      </w:r>
      <w:r>
        <w:rPr>
          <w:color w:val="2D3748"/>
        </w:rPr>
        <w:t>A probability score between 0.0 and 1.0 stating how confident the AI is (e.g., 0.84 = 84% probability).</w:t>
      </w:r>
    </w:p>
    <w:p>
      <w:pPr>
        <w:spacing w:before="0" w:after="160" w:line="276" w:lineRule="auto"/>
      </w:pPr>
      <w:r>
        <w:rPr>
          <w:color w:val="2D3748"/>
        </w:rPr>
        <w:t>The overall leaderboard score is a weighted blend:</w:t>
      </w:r>
    </w:p>
    <w:p>
      <w:pPr>
        <w:spacing w:before="0" w:after="160" w:line="276" w:lineRule="auto"/>
      </w:pPr>
      <w:r>
        <w:rPr>
          <w:b/>
          <w:color w:val="1A365D"/>
        </w:rPr>
        <w:t xml:space="preserve">The Formula: </w:t>
      </w:r>
      <w:r>
        <w:rPr>
          <w:color w:val="2D3748"/>
        </w:rPr>
        <w:t>Final Score = (0.60 × F1-Score) + (0.40 × ROC-AUC)</w:t>
      </w: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sz="24" w:space="0" w:color="0D9488"/>
              <w:left w:val="single" w:sz="24" w:space="0" w:color="0D9488"/>
              <w:bottom w:val="none" w:sz="24" w:space="0" w:color="0D9488"/>
              <w:right w:val="none" w:sz="24" w:space="0" w:color="0D9488"/>
            </w:tcBorders>
          </w:tcPr>
          <w:p>
            <w:pPr>
              <w:spacing w:before="0" w:after="80"/>
            </w:pPr>
            <w:r>
              <w:rPr>
                <w:rFonts w:ascii="Arial" w:hAnsi="Arial"/>
                <w:b/>
                <w:color w:val="1A365D"/>
                <w:sz w:val="22"/>
              </w:rPr>
              <w:t>🧠 Decoded: F1-Score vs. ROC-AUC in Plain English</w:t>
              <w:br/>
            </w:r>
            <w:r>
              <w:rPr>
                <w:color w:val="2D3748"/>
                <w:sz w:val="21"/>
              </w:rPr>
              <w:t>• F1-Score (60% weight): Imagine a hospital burglar alarm. If it goes off every 2 minutes because a moth flew past, it has terrible precision (crying wolf). If it never rings when a burglar actually breaks in, it has terrible recall (failing to protect). The F1-score is the harmonic balance between Precision and Recall. You can't cheat it by guessing '1' on every single person!</w:t>
              <w:br/>
              <w:br/>
              <w:t>• ROC-AUC (40% weight): This measures ranking ability across all confidence levels. If our model is handed 100 people, does it consistently rank the truly sick people higher than the healthy ones? A score of 1.0 means flawless ranking; 0.5 is no better than flipping a coin.</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none" w:sz="24" w:space="0" w:color="D97706"/>
              <w:left w:val="single" w:sz="24" w:space="0" w:color="D97706"/>
              <w:bottom w:val="none" w:sz="24" w:space="0" w:color="D97706"/>
              <w:right w:val="none" w:sz="24" w:space="0" w:color="D97706"/>
            </w:tcBorders>
          </w:tcPr>
          <w:p>
            <w:pPr>
              <w:spacing w:before="0" w:after="80"/>
            </w:pPr>
            <w:r>
              <w:rPr>
                <w:rFonts w:ascii="Arial" w:hAnsi="Arial"/>
                <w:b/>
                <w:color w:val="1A365D"/>
                <w:sz w:val="22"/>
              </w:rPr>
              <w:t>⚠️ The Golden Rule: Why Probability Thresholds Were Banned</w:t>
              <w:br/>
            </w:r>
            <w:r>
              <w:rPr>
                <w:color w:val="2D3748"/>
                <w:sz w:val="21"/>
              </w:rPr>
              <w:t>In many data science hacks, people take their raw probabilities and say: 'If probability is &gt; 0.35, let's call it a 1 because it boosts our F1 score.'</w:t>
              <w:br/>
              <w:t>Zindi strictly forbade this! The rules stated that TargetF1 MUST be calculated using the default threshold of 0.5: TargetF1 = (TargetRAUC &gt;= 0.5). Why? Because in public health, doctors need honest, calibrated probabilities. If a system claims someone has an 80% risk, that risk needs to be genuine, not artificially inflated!</w:t>
            </w:r>
          </w:p>
        </w:tc>
      </w:tr>
    </w:tbl>
    <w:p>
      <w:pPr>
        <w:spacing w:before="0" w:after="120"/>
      </w:pPr>
    </w:p>
    <w:p>
      <w:pPr>
        <w:keepNext/>
        <w:spacing w:before="360" w:after="120"/>
      </w:pPr>
      <w:r>
        <w:rPr>
          <w:rFonts w:ascii="Arial" w:hAnsi="Arial"/>
          <w:b/>
          <w:color w:val="1A365D"/>
          <w:sz w:val="30"/>
        </w:rPr>
        <w:t>4. Teaching the AI 'Common Sense': Feature Engineering</w:t>
      </w:r>
    </w:p>
    <w:p>
      <w:pPr>
        <w:spacing w:before="0" w:after="160" w:line="276" w:lineRule="auto"/>
      </w:pPr>
      <w:r>
        <w:rPr>
          <w:color w:val="2D3748"/>
        </w:rPr>
        <w:t>A raw machine learning algorithm is essentially a fancy math calculator. It doesn't know that Uganda has two rainy seasons, or that an 8-month-old infant is far more vulnerable to dehydration than a 25-year-old athlete. Feature engineering is the art of transforming raw columns into meaningful domain insights. We expanded our dataset from 28 columns to 78 handcrafted features:</w:t>
      </w:r>
    </w:p>
    <w:p>
      <w:pPr>
        <w:keepNext/>
        <w:spacing w:before="240" w:after="80"/>
      </w:pPr>
      <w:r>
        <w:rPr>
          <w:rFonts w:ascii="Arial" w:hAnsi="Arial"/>
          <w:b/>
          <w:color w:val="0D9488"/>
          <w:sz w:val="24"/>
        </w:rPr>
        <w:t>A. Seasonal &amp; Calendar Intelligence</w:t>
      </w:r>
    </w:p>
    <w:p>
      <w:pPr>
        <w:spacing w:before="0" w:after="160" w:line="276" w:lineRule="auto"/>
      </w:pPr>
      <w:r>
        <w:rPr>
          <w:color w:val="2D3748"/>
        </w:rPr>
        <w:t>Uganda sits right on the equator. Instead of spring/summer/autumn/winter, it experiences a bimodal rainfall regime: the 'long rains' from March to May, and the 'short rains' from September to November. We engineered indicator flags for these seasons, plus cyclic trigonometric features (sine and cosine of the day of year) so the model understands that December 31st and January 1st are adjacent days, not opposite ends of the calendar!</w:t>
      </w:r>
    </w:p>
    <w:p>
      <w:pPr>
        <w:keepNext/>
        <w:spacing w:before="240" w:after="80"/>
      </w:pPr>
      <w:r>
        <w:rPr>
          <w:rFonts w:ascii="Arial" w:hAnsi="Arial"/>
          <w:b/>
          <w:color w:val="0D9488"/>
          <w:sz w:val="24"/>
        </w:rPr>
        <w:t>B. Climate Anomalies (The 'Deviation from Normal' Secret)</w:t>
      </w:r>
    </w:p>
    <w:p>
      <w:pPr>
        <w:spacing w:before="0" w:after="160" w:line="276" w:lineRule="auto"/>
      </w:pPr>
      <w:r>
        <w:rPr>
          <w:color w:val="2D3748"/>
        </w:rPr>
        <w:t>A temperature of 28°C might feel pleasant if your area is normally 28°C. But if your village is normally 20°C, 28°C is an unprecedented, life-threatening heatwave! Therefore, raw temperature matters less than the delta (anomaly). We computed:</w:t>
      </w:r>
    </w:p>
    <w:p>
      <w:pPr>
        <w:pStyle w:val="ListBullet"/>
        <w:spacing w:before="0" w:after="80" w:line="276" w:lineRule="auto"/>
      </w:pPr>
      <w:r>
        <w:rPr>
          <w:b/>
          <w:color w:val="1A365D"/>
        </w:rPr>
        <w:t xml:space="preserve">temp_diff_30d: </w:t>
      </w:r>
      <w:r>
        <w:rPr>
          <w:color w:val="2D3748"/>
        </w:rPr>
        <w:t>Current day's temperature minus the 30-day rolling average. Was it unusually hot or cold compared to the past month?</w:t>
      </w:r>
    </w:p>
    <w:p>
      <w:pPr>
        <w:pStyle w:val="ListBullet"/>
        <w:spacing w:before="0" w:after="80" w:line="276" w:lineRule="auto"/>
      </w:pPr>
      <w:r>
        <w:rPr>
          <w:b/>
          <w:color w:val="1A365D"/>
        </w:rPr>
        <w:t xml:space="preserve">tmax_excess_30d: </w:t>
      </w:r>
      <w:r>
        <w:rPr>
          <w:color w:val="2D3748"/>
        </w:rPr>
        <w:t>How much higher today's maximum heat was compared to the maximum peak of the last 30 days.</w:t>
      </w:r>
    </w:p>
    <w:p>
      <w:pPr>
        <w:pStyle w:val="ListBullet"/>
        <w:spacing w:before="0" w:after="80" w:line="276" w:lineRule="auto"/>
      </w:pPr>
      <w:r>
        <w:rPr>
          <w:b/>
          <w:color w:val="1A365D"/>
        </w:rPr>
        <w:t xml:space="preserve">temp_range_daily: </w:t>
      </w:r>
      <w:r>
        <w:rPr>
          <w:color w:val="2D3748"/>
        </w:rPr>
        <w:t>Max temperature minus min temperature. Extreme diurnal swings put immense physical strain on the body.</w:t>
      </w:r>
    </w:p>
    <w:p>
      <w:pPr>
        <w:pStyle w:val="ListBullet"/>
        <w:spacing w:before="0" w:after="80" w:line="276" w:lineRule="auto"/>
      </w:pPr>
      <w:r>
        <w:rPr>
          <w:b/>
          <w:color w:val="1A365D"/>
        </w:rPr>
        <w:t xml:space="preserve">rain_diff_30d: </w:t>
      </w:r>
      <w:r>
        <w:rPr>
          <w:color w:val="2D3748"/>
        </w:rPr>
        <w:t>Today's rainfall minus the daily average of the last month. Did the region suffer a flash deluge or an abrupt drought?</w:t>
      </w:r>
    </w:p>
    <w:p>
      <w:pPr>
        <w:pStyle w:val="ListBullet"/>
        <w:spacing w:before="0" w:after="80" w:line="276" w:lineRule="auto"/>
      </w:pPr>
      <w:r>
        <w:rPr>
          <w:b/>
          <w:color w:val="1A365D"/>
        </w:rPr>
        <w:t xml:space="preserve">ndvi_diff: </w:t>
      </w:r>
      <w:r>
        <w:rPr>
          <w:color w:val="2D3748"/>
        </w:rPr>
        <w:t>30-day vegetation greenness minus 90-day baseline. Rapid browning signals crop failure and food shortages.</w:t>
      </w:r>
    </w:p>
    <w:p>
      <w:pPr>
        <w:keepNext/>
        <w:spacing w:before="240" w:after="80"/>
      </w:pPr>
      <w:r>
        <w:rPr>
          <w:rFonts w:ascii="Arial" w:hAnsi="Arial"/>
          <w:b/>
          <w:color w:val="0D9488"/>
          <w:sz w:val="24"/>
        </w:rPr>
        <w:t>C. Vulnerability &amp; Demographic Interactions</w:t>
      </w:r>
    </w:p>
    <w:p>
      <w:pPr>
        <w:spacing w:before="0" w:after="160" w:line="276" w:lineRule="auto"/>
      </w:pPr>
      <w:r>
        <w:rPr>
          <w:color w:val="2D3748"/>
        </w:rPr>
        <w:t>Who is most fragile when climate strikes? Infants and seniors. We grouped ages into infants (&lt;= 5 years) and elderly (&gt;= 60 years), and multiplied their vulnerability status against extreme weather indicators:</w:t>
      </w:r>
    </w:p>
    <w:p>
      <w:pPr>
        <w:pStyle w:val="ListBullet"/>
        <w:spacing w:before="0" w:after="80" w:line="276" w:lineRule="auto"/>
      </w:pPr>
      <w:r>
        <w:rPr>
          <w:b/>
          <w:color w:val="1A365D"/>
        </w:rPr>
        <w:t xml:space="preserve">vuln_x_hot_days: </w:t>
      </w:r>
      <w:r>
        <w:rPr>
          <w:color w:val="2D3748"/>
        </w:rPr>
        <w:t>Vulnerable age multiplied by the number of blistering days (&gt;35°C) in the past month.</w:t>
      </w:r>
    </w:p>
    <w:p>
      <w:pPr>
        <w:pStyle w:val="ListBullet"/>
        <w:spacing w:before="0" w:after="80" w:line="276" w:lineRule="auto"/>
      </w:pPr>
      <w:r>
        <w:rPr>
          <w:b/>
          <w:color w:val="1A365D"/>
        </w:rPr>
        <w:t xml:space="preserve">vuln_x_rain_sum_30d: </w:t>
      </w:r>
      <w:r>
        <w:rPr>
          <w:color w:val="2D3748"/>
        </w:rPr>
        <w:t>Vulnerable age multiplied by heavy cumulative rainfall (water-borne pathogen risk).</w:t>
      </w:r>
    </w:p>
    <w:p>
      <w:pPr>
        <w:keepNext/>
        <w:spacing w:before="360" w:after="120"/>
      </w:pPr>
      <w:r>
        <w:rPr>
          <w:rFonts w:ascii="Arial" w:hAnsi="Arial"/>
          <w:b/>
          <w:color w:val="1A365D"/>
          <w:sz w:val="30"/>
        </w:rPr>
        <w:t>5. The Exam Room: 5-Fold Stratified Cross-Validation</w:t>
      </w:r>
    </w:p>
    <w:p>
      <w:pPr>
        <w:spacing w:before="0" w:after="160" w:line="276" w:lineRule="auto"/>
      </w:pPr>
      <w:r>
        <w:rPr>
          <w:color w:val="2D3748"/>
        </w:rPr>
        <w:t>A common trap beginners fall into is training a model on their dataset and evaluating it on the exact same data. The model will score 99%, but it's like a student who memorized the exact exam questions—hand them a new test, and they fail miserably! This is called overfitting.</w:t>
      </w:r>
    </w:p>
    <w:p>
      <w:pPr>
        <w:spacing w:before="0" w:after="160" w:line="276" w:lineRule="auto"/>
      </w:pPr>
      <w:r>
        <w:rPr>
          <w:color w:val="2D3748"/>
        </w:rPr>
        <w:t>To guarantee our solution would genuinely succeed on Zindi's unseen private test data, we built a 5-Fold Stratified Cross-Validation framework:</w:t>
      </w:r>
    </w:p>
    <w:p>
      <w:pPr>
        <w:pStyle w:val="ListBullet"/>
        <w:spacing w:before="0" w:after="80" w:line="276" w:lineRule="auto"/>
      </w:pPr>
      <w:r>
        <w:rPr>
          <w:b/>
          <w:color w:val="1A365D"/>
        </w:rPr>
        <w:t xml:space="preserve">Split into 5 Folds: </w:t>
      </w:r>
      <w:r>
        <w:rPr>
          <w:color w:val="2D3748"/>
        </w:rPr>
        <w:t>We sliced the 3,146 training records into 5 equal, balanced chunks (each holding 20% of the data).</w:t>
      </w:r>
    </w:p>
    <w:p>
      <w:pPr>
        <w:pStyle w:val="ListBullet"/>
        <w:spacing w:before="0" w:after="80" w:line="276" w:lineRule="auto"/>
      </w:pPr>
      <w:r>
        <w:rPr>
          <w:b/>
          <w:color w:val="1A365D"/>
        </w:rPr>
        <w:t xml:space="preserve">Train on 4, Test on 1: </w:t>
      </w:r>
      <w:r>
        <w:rPr>
          <w:color w:val="2D3748"/>
        </w:rPr>
        <w:t>In Round 1, the model trains on Folds 1, 2, 3, and 4, then makes predictions on Fold 5 (which it has never seen). We repeat this 5 times until every single person has an out-of-fold prediction.</w:t>
      </w:r>
    </w:p>
    <w:p>
      <w:pPr>
        <w:pStyle w:val="ListBullet"/>
        <w:spacing w:before="0" w:after="80" w:line="276" w:lineRule="auto"/>
      </w:pPr>
      <w:r>
        <w:rPr>
          <w:b/>
          <w:color w:val="1A365D"/>
        </w:rPr>
        <w:t xml:space="preserve">Stratified: </w:t>
      </w:r>
      <w:r>
        <w:rPr>
          <w:color w:val="2D3748"/>
        </w:rPr>
        <w:t>Ensures that the proportion of climate-sensitive deaths (65%) is identical across all 5 folds, avoiding data bias.</w:t>
      </w:r>
    </w:p>
    <w:p>
      <w:pPr>
        <w:pStyle w:val="ListBullet"/>
        <w:spacing w:before="0" w:after="80" w:line="276" w:lineRule="auto"/>
      </w:pPr>
      <w:r>
        <w:rPr>
          <w:b/>
          <w:color w:val="1A365D"/>
        </w:rPr>
        <w:t xml:space="preserve">Fixed Random Seeds: </w:t>
      </w:r>
      <w:r>
        <w:rPr>
          <w:color w:val="2D3748"/>
        </w:rPr>
        <w:t>Every random split and model tree was locked with a seed (42). Anyone running our code gets the exact same numbers down to the 5th decimal place!</w:t>
      </w:r>
    </w:p>
    <w:p>
      <w:pPr>
        <w:keepNext/>
        <w:spacing w:before="360" w:after="120"/>
      </w:pPr>
      <w:r>
        <w:rPr>
          <w:rFonts w:ascii="Arial" w:hAnsi="Arial"/>
          <w:b/>
          <w:color w:val="1A365D"/>
          <w:sz w:val="30"/>
        </w:rPr>
        <w:t>6. The Contenders: Who Did We Bring to the Race?</w:t>
      </w:r>
    </w:p>
    <w:p>
      <w:pPr>
        <w:spacing w:before="0" w:after="160" w:line="276" w:lineRule="auto"/>
      </w:pPr>
      <w:r>
        <w:rPr>
          <w:color w:val="2D3748"/>
        </w:rPr>
        <w:t>Rather than relying on just one algorithm, we recruited three distinct model architectures to compete and collaborate:</w:t>
      </w:r>
    </w:p>
    <w:p>
      <w:pPr>
        <w:pStyle w:val="ListBullet"/>
        <w:spacing w:before="0" w:after="80" w:line="276" w:lineRule="auto"/>
      </w:pPr>
      <w:r>
        <w:rPr>
          <w:b/>
          <w:color w:val="1A365D"/>
        </w:rPr>
        <w:t xml:space="preserve">Logistic Regression: </w:t>
      </w:r>
      <w:r>
        <w:rPr>
          <w:color w:val="2D3748"/>
        </w:rPr>
        <w:t>The disciplined, transparent linear baseline. It draws a smooth mathematical decision boundary and provides beautifully calibrated probabilities.</w:t>
      </w:r>
    </w:p>
    <w:p>
      <w:pPr>
        <w:pStyle w:val="ListBullet"/>
        <w:spacing w:before="0" w:after="80" w:line="276" w:lineRule="auto"/>
      </w:pPr>
      <w:r>
        <w:rPr>
          <w:b/>
          <w:color w:val="1A365D"/>
        </w:rPr>
        <w:t xml:space="preserve">XGBoost (eXtreme Gradient Boosting): </w:t>
      </w:r>
      <w:r>
        <w:rPr>
          <w:color w:val="2D3748"/>
        </w:rPr>
        <w:t>The reigning king of competitive tabular data science. It builds hundreds of sequential decision trees, where each new tree specifically corrects the mistakes made by the previous trees.</w:t>
      </w:r>
    </w:p>
    <w:p>
      <w:pPr>
        <w:pStyle w:val="ListBullet"/>
        <w:spacing w:before="0" w:after="80" w:line="276" w:lineRule="auto"/>
      </w:pPr>
      <w:r>
        <w:rPr>
          <w:b/>
          <w:color w:val="1A365D"/>
        </w:rPr>
        <w:t xml:space="preserve">LightGBM (Light Gradient Boosted Machine): </w:t>
      </w:r>
      <w:r>
        <w:rPr>
          <w:color w:val="2D3748"/>
        </w:rPr>
        <w:t>A lightning-fast, leaf-wise tree booster by Microsoft that excels at discovering complex interactions in dense numerical data.</w:t>
      </w:r>
    </w:p>
    <w:p>
      <w:pPr>
        <w:spacing w:before="0" w:after="160" w:line="276" w:lineRule="auto"/>
      </w:pPr>
      <w:r>
        <w:rPr>
          <w:color w:val="2D3748"/>
        </w:rPr>
        <w:t>Here are the exact 5-Fold cross-validation results achieved across all contenders: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40" w:type="dxa"/>
              <w:right w:w="140" w:type="dxa"/>
            </w:tcMar>
          </w:tcPr>
          <w:p>
            <w:pPr>
              <w:jc w:val="center"/>
            </w:pPr>
            <w:r>
              <w:rPr>
                <w:b/>
                <w:color w:val="FFFFFF"/>
                <w:sz w:val="20"/>
              </w:rPr>
              <w:t>Model Architecture</w:t>
            </w:r>
          </w:p>
        </w:tc>
        <w:tc>
          <w:tcPr>
            <w:tcW w:type="dxa" w:w="2340"/>
            <w:shd w:fill="1A365D"/>
            <w:tcMar>
              <w:top w:w="120" w:type="dxa"/>
              <w:bottom w:w="120" w:type="dxa"/>
              <w:left w:w="140" w:type="dxa"/>
              <w:right w:w="140" w:type="dxa"/>
            </w:tcMar>
          </w:tcPr>
          <w:p>
            <w:pPr>
              <w:jc w:val="center"/>
            </w:pPr>
            <w:r>
              <w:rPr>
                <w:b/>
                <w:color w:val="FFFFFF"/>
                <w:sz w:val="20"/>
              </w:rPr>
              <w:t>OOF F1-Score (60%)</w:t>
            </w:r>
          </w:p>
        </w:tc>
        <w:tc>
          <w:tcPr>
            <w:tcW w:type="dxa" w:w="2340"/>
            <w:shd w:fill="1A365D"/>
            <w:tcMar>
              <w:top w:w="120" w:type="dxa"/>
              <w:bottom w:w="120" w:type="dxa"/>
              <w:left w:w="140" w:type="dxa"/>
              <w:right w:w="140" w:type="dxa"/>
            </w:tcMar>
          </w:tcPr>
          <w:p>
            <w:pPr>
              <w:jc w:val="center"/>
            </w:pPr>
            <w:r>
              <w:rPr>
                <w:b/>
                <w:color w:val="FFFFFF"/>
                <w:sz w:val="20"/>
              </w:rPr>
              <w:t>OOF ROC-AUC (40%)</w:t>
            </w:r>
          </w:p>
        </w:tc>
        <w:tc>
          <w:tcPr>
            <w:tcW w:type="dxa" w:w="2340"/>
            <w:shd w:fill="1A365D"/>
            <w:tcMar>
              <w:top w:w="120" w:type="dxa"/>
              <w:bottom w:w="120" w:type="dxa"/>
              <w:left w:w="140" w:type="dxa"/>
              <w:right w:w="140" w:type="dxa"/>
            </w:tcMar>
          </w:tcPr>
          <w:p>
            <w:pPr>
              <w:jc w:val="center"/>
            </w:pPr>
            <w:r>
              <w:rPr>
                <w:b/>
                <w:color w:val="FFFFFF"/>
                <w:sz w:val="20"/>
              </w:rPr>
              <w:t>Official Final Score</w:t>
            </w:r>
          </w:p>
        </w:tc>
      </w:tr>
      <w:tr>
        <w:tc>
          <w:tcPr>
            <w:tcW w:type="dxa" w:w="2340"/>
            <w:shd w:fill="FEF2F2"/>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b/>
                <w:color w:val="2D3748"/>
                <w:sz w:val="19"/>
              </w:rPr>
              <w:t>Starter Notebook Baseline</w:t>
            </w:r>
          </w:p>
        </w:tc>
        <w:tc>
          <w:tcPr>
            <w:tcW w:type="dxa" w:w="2340"/>
            <w:shd w:fill="FEF2F2"/>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jc w:val="center"/>
            </w:pPr>
            <w:r>
              <w:rPr>
                <w:color w:val="2D3748"/>
                <w:sz w:val="19"/>
              </w:rPr>
              <w:t>~0.8019</w:t>
            </w:r>
          </w:p>
        </w:tc>
        <w:tc>
          <w:tcPr>
            <w:tcW w:type="dxa" w:w="2340"/>
            <w:shd w:fill="FEF2F2"/>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jc w:val="center"/>
            </w:pPr>
            <w:r>
              <w:rPr>
                <w:color w:val="2D3748"/>
                <w:sz w:val="19"/>
              </w:rPr>
              <w:t>~0.7817</w:t>
            </w:r>
          </w:p>
        </w:tc>
        <w:tc>
          <w:tcPr>
            <w:tcW w:type="dxa" w:w="2340"/>
            <w:shd w:fill="FEF2F2"/>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jc w:val="center"/>
            </w:pPr>
            <w:r>
              <w:rPr>
                <w:color w:val="2D3748"/>
                <w:sz w:val="19"/>
              </w:rPr>
              <w:t>0.79386</w:t>
            </w:r>
          </w:p>
        </w:tc>
      </w:tr>
      <w:tr>
        <w:tc>
          <w:tcPr>
            <w:tcW w:type="dxa" w:w="2340"/>
            <w:shd w:fill="F8FAFC"/>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b/>
                <w:color w:val="2D3748"/>
                <w:sz w:val="19"/>
              </w:rPr>
              <w:t>Calibrated Logistic Regression</w:t>
            </w:r>
          </w:p>
        </w:tc>
        <w:tc>
          <w:tcPr>
            <w:tcW w:type="dxa" w:w="2340"/>
            <w:shd w:fill="F8FAFC"/>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jc w:val="center"/>
            </w:pPr>
            <w:r>
              <w:rPr>
                <w:color w:val="2D3748"/>
                <w:sz w:val="19"/>
              </w:rPr>
              <w:t>0.76385</w:t>
            </w:r>
          </w:p>
        </w:tc>
        <w:tc>
          <w:tcPr>
            <w:tcW w:type="dxa" w:w="2340"/>
            <w:shd w:fill="F8FAFC"/>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jc w:val="center"/>
            </w:pPr>
            <w:r>
              <w:rPr>
                <w:color w:val="2D3748"/>
                <w:sz w:val="19"/>
              </w:rPr>
              <w:t>0.80394</w:t>
            </w:r>
          </w:p>
        </w:tc>
        <w:tc>
          <w:tcPr>
            <w:tcW w:type="dxa" w:w="2340"/>
            <w:shd w:fill="F8FAFC"/>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jc w:val="center"/>
            </w:pPr>
            <w:r>
              <w:rPr>
                <w:color w:val="2D3748"/>
                <w:sz w:val="19"/>
              </w:rPr>
              <w:t>0.77988</w:t>
            </w:r>
          </w:p>
        </w:tc>
      </w:tr>
      <w:tr>
        <w:tc>
          <w:tcPr>
            <w:tcW w:type="dxa" w:w="2340"/>
            <w:shd w:fill="FFFFFF"/>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b/>
                <w:color w:val="2D3748"/>
                <w:sz w:val="19"/>
              </w:rPr>
              <w:t>LightGBM Classifier</w:t>
            </w:r>
          </w:p>
        </w:tc>
        <w:tc>
          <w:tcPr>
            <w:tcW w:type="dxa" w:w="2340"/>
            <w:shd w:fill="FFFFFF"/>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jc w:val="center"/>
            </w:pPr>
            <w:r>
              <w:rPr>
                <w:color w:val="2D3748"/>
                <w:sz w:val="19"/>
              </w:rPr>
              <w:t>0.79438</w:t>
            </w:r>
          </w:p>
        </w:tc>
        <w:tc>
          <w:tcPr>
            <w:tcW w:type="dxa" w:w="2340"/>
            <w:shd w:fill="FFFFFF"/>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jc w:val="center"/>
            </w:pPr>
            <w:r>
              <w:rPr>
                <w:color w:val="2D3748"/>
                <w:sz w:val="19"/>
              </w:rPr>
              <w:t>0.80292</w:t>
            </w:r>
          </w:p>
        </w:tc>
        <w:tc>
          <w:tcPr>
            <w:tcW w:type="dxa" w:w="2340"/>
            <w:shd w:fill="FFFFFF"/>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jc w:val="center"/>
            </w:pPr>
            <w:r>
              <w:rPr>
                <w:color w:val="2D3748"/>
                <w:sz w:val="19"/>
              </w:rPr>
              <w:t>0.79780</w:t>
            </w:r>
          </w:p>
        </w:tc>
      </w:tr>
      <w:tr>
        <w:tc>
          <w:tcPr>
            <w:tcW w:type="dxa" w:w="2340"/>
            <w:shd w:fill="F8FAFC"/>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b/>
                <w:color w:val="2D3748"/>
                <w:sz w:val="19"/>
              </w:rPr>
              <w:t>XGBoost Classifier (Single Best)</w:t>
            </w:r>
          </w:p>
        </w:tc>
        <w:tc>
          <w:tcPr>
            <w:tcW w:type="dxa" w:w="2340"/>
            <w:shd w:fill="F8FAFC"/>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jc w:val="center"/>
            </w:pPr>
            <w:r>
              <w:rPr>
                <w:color w:val="2D3748"/>
                <w:sz w:val="19"/>
              </w:rPr>
              <w:t>0.79583</w:t>
            </w:r>
          </w:p>
        </w:tc>
        <w:tc>
          <w:tcPr>
            <w:tcW w:type="dxa" w:w="2340"/>
            <w:shd w:fill="F8FAFC"/>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jc w:val="center"/>
            </w:pPr>
            <w:r>
              <w:rPr>
                <w:color w:val="2D3748"/>
                <w:sz w:val="19"/>
              </w:rPr>
              <w:t>0.80303</w:t>
            </w:r>
          </w:p>
        </w:tc>
        <w:tc>
          <w:tcPr>
            <w:tcW w:type="dxa" w:w="2340"/>
            <w:shd w:fill="F8FAFC"/>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jc w:val="center"/>
            </w:pPr>
            <w:r>
              <w:rPr>
                <w:color w:val="2D3748"/>
                <w:sz w:val="19"/>
              </w:rPr>
              <w:t>0.79871</w:t>
            </w:r>
          </w:p>
        </w:tc>
      </w:tr>
      <w:tr>
        <w:tc>
          <w:tcPr>
            <w:tcW w:type="dxa" w:w="2340"/>
            <w:shd w:fill="F0FDF4"/>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pPr>
            <w:r>
              <w:rPr>
                <w:b/>
                <w:color w:val="2D3748"/>
                <w:sz w:val="19"/>
              </w:rPr>
              <w:t>🥇 Optimal Ensemble Blend</w:t>
            </w:r>
          </w:p>
        </w:tc>
        <w:tc>
          <w:tcPr>
            <w:tcW w:type="dxa" w:w="2340"/>
            <w:shd w:fill="F0FDF4"/>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jc w:val="center"/>
            </w:pPr>
            <w:r>
              <w:rPr>
                <w:color w:val="2D3748"/>
                <w:sz w:val="19"/>
              </w:rPr>
              <w:t>0.79148</w:t>
            </w:r>
          </w:p>
        </w:tc>
        <w:tc>
          <w:tcPr>
            <w:tcW w:type="dxa" w:w="2340"/>
            <w:shd w:fill="F0FDF4"/>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jc w:val="center"/>
            </w:pPr>
            <w:r>
              <w:rPr>
                <w:color w:val="2D3748"/>
                <w:sz w:val="19"/>
              </w:rPr>
              <w:t>0.80977</w:t>
            </w:r>
          </w:p>
        </w:tc>
        <w:tc>
          <w:tcPr>
            <w:tcW w:type="dxa" w:w="2340"/>
            <w:shd w:fill="F0FDF4"/>
            <w:tcMar>
              <w:top w:w="100" w:type="dxa"/>
              <w:bottom w:w="100" w:type="dxa"/>
              <w:left w:w="120" w:type="dxa"/>
              <w:right w:w="120" w:type="dxa"/>
            </w:tcMar>
            <w:tcBorders>
              <w:top w:val="single" w:sz="4" w:space="0" w:color="E2E8F0"/>
              <w:left w:val="none" w:sz="4" w:space="0" w:color="E2E8F0"/>
              <w:bottom w:val="single" w:sz="4" w:space="0" w:color="E2E8F0"/>
              <w:right w:val="none" w:sz="4" w:space="0" w:color="E2E8F0"/>
            </w:tcBorders>
          </w:tcPr>
          <w:p>
            <w:pPr>
              <w:spacing w:line="264" w:lineRule="auto"/>
              <w:jc w:val="center"/>
            </w:pPr>
            <w:r>
              <w:rPr>
                <w:b/>
                <w:color w:val="2D3748"/>
                <w:sz w:val="19"/>
              </w:rPr>
              <w:t>0.79880</w:t>
            </w:r>
          </w:p>
        </w:tc>
      </w:tr>
    </w:tbl>
    <w:p>
      <w:pPr>
        <w:spacing w:after="200"/>
      </w:pPr>
    </w:p>
    <w:p>
      <w:pPr>
        <w:keepNext/>
        <w:spacing w:before="360" w:after="120"/>
      </w:pPr>
      <w:r>
        <w:rPr>
          <w:rFonts w:ascii="Arial" w:hAnsi="Arial"/>
          <w:b/>
          <w:color w:val="1A365D"/>
          <w:sz w:val="30"/>
        </w:rPr>
        <w:t>7. The Ensemble: 'The Avengers Assemble' Strategy</w:t>
      </w:r>
    </w:p>
    <w:p>
      <w:pPr>
        <w:spacing w:before="0" w:after="160" w:line="276" w:lineRule="auto"/>
      </w:pPr>
      <w:r>
        <w:rPr>
          <w:color w:val="2D3748"/>
        </w:rPr>
        <w:t>Notice something fascinating in the table above: Logistic Regression had a modest F1 score (0.7638), but a remarkably high ROC-AUC (0.8039)! Meanwhile, XGBoost excelled at F1 score (0.7958). This is the hallmark of complementary models: they make different mistakes on different types of patients.</w:t>
      </w:r>
    </w:p>
    <w:p>
      <w:pPr>
        <w:spacing w:before="0" w:after="160" w:line="276" w:lineRule="auto"/>
      </w:pPr>
      <w:r>
        <w:rPr>
          <w:color w:val="2D3748"/>
        </w:rPr>
        <w:t>Instead of picking just one winner, we ensembled them. An ensemble is like asking three experienced doctors to consult on a patient. Rather than just taking a simple unweighted average, we ran a Nelder-Mead optimization algorithm to find the mathematically ideal voting weights that maximize the combined Zindi formula:</w:t>
      </w:r>
    </w:p>
    <w:p>
      <w:pPr>
        <w:pStyle w:val="ListBullet"/>
        <w:spacing w:before="0" w:after="80" w:line="276" w:lineRule="auto"/>
      </w:pPr>
      <w:r>
        <w:rPr>
          <w:b/>
          <w:color w:val="1A365D"/>
        </w:rPr>
        <w:t xml:space="preserve">Logistic Regression Weight: </w:t>
      </w:r>
      <w:r>
        <w:rPr>
          <w:color w:val="2D3748"/>
        </w:rPr>
        <w:t>32.55%</w:t>
      </w:r>
    </w:p>
    <w:p>
      <w:pPr>
        <w:pStyle w:val="ListBullet"/>
        <w:spacing w:before="0" w:after="80" w:line="276" w:lineRule="auto"/>
      </w:pPr>
      <w:r>
        <w:rPr>
          <w:b/>
          <w:color w:val="1A365D"/>
        </w:rPr>
        <w:t xml:space="preserve">XGBoost Weight: </w:t>
      </w:r>
      <w:r>
        <w:rPr>
          <w:color w:val="2D3748"/>
        </w:rPr>
        <w:t>34.65%</w:t>
      </w:r>
    </w:p>
    <w:p>
      <w:pPr>
        <w:pStyle w:val="ListBullet"/>
        <w:spacing w:before="0" w:after="80" w:line="276" w:lineRule="auto"/>
      </w:pPr>
      <w:r>
        <w:rPr>
          <w:b/>
          <w:color w:val="1A365D"/>
        </w:rPr>
        <w:t xml:space="preserve">LightGBM Weight: </w:t>
      </w:r>
      <w:r>
        <w:rPr>
          <w:color w:val="2D3748"/>
        </w:rPr>
        <w:t>32.80%</w:t>
      </w:r>
    </w:p>
    <w:p>
      <w:pPr>
        <w:spacing w:before="0" w:after="160" w:line="276" w:lineRule="auto"/>
      </w:pPr>
      <w:r>
        <w:rPr>
          <w:color w:val="2D3748"/>
        </w:rPr>
        <w:t>The result? The blended ensemble pushed the out-of-fold ROC-AUC to a staggering 0.80977, yielding our top overall competition score of 0.79880!</w:t>
      </w:r>
    </w:p>
    <w:p>
      <w:pPr>
        <w:keepNext/>
        <w:spacing w:before="360" w:after="120"/>
      </w:pPr>
      <w:r>
        <w:rPr>
          <w:rFonts w:ascii="Arial" w:hAnsi="Arial"/>
          <w:b/>
          <w:color w:val="1A365D"/>
          <w:sz w:val="30"/>
        </w:rPr>
        <w:t>8. Rigorous Auditing &amp; Clean Engineering</w:t>
      </w:r>
    </w:p>
    <w:p>
      <w:pPr>
        <w:spacing w:before="0" w:after="160" w:line="276" w:lineRule="auto"/>
      </w:pPr>
      <w:r>
        <w:rPr>
          <w:color w:val="2D3748"/>
        </w:rPr>
        <w:t>In data science competitions, disqualification due to formatting errors or data leakage is heartbreak. Before generating our final submission files, we built automated assertion pipelines that verified:</w:t>
      </w:r>
    </w:p>
    <w:p>
      <w:pPr>
        <w:pStyle w:val="ListBullet"/>
        <w:spacing w:before="0" w:after="80" w:line="276" w:lineRule="auto"/>
      </w:pPr>
      <w:r>
        <w:rPr>
          <w:b/>
          <w:color w:val="1A365D"/>
        </w:rPr>
        <w:t xml:space="preserve">Row Count: </w:t>
      </w:r>
      <w:r>
        <w:rPr>
          <w:color w:val="2D3748"/>
        </w:rPr>
        <w:t>Exactly 1,030 test rows, perfectly matched to SampleSubmission.csv.</w:t>
      </w:r>
    </w:p>
    <w:p>
      <w:pPr>
        <w:pStyle w:val="ListBullet"/>
        <w:spacing w:before="0" w:after="80" w:line="276" w:lineRule="auto"/>
      </w:pPr>
      <w:r>
        <w:rPr>
          <w:b/>
          <w:color w:val="1A365D"/>
        </w:rPr>
        <w:t xml:space="preserve">Ordering: </w:t>
      </w:r>
      <w:r>
        <w:rPr>
          <w:color w:val="2D3748"/>
        </w:rPr>
        <w:t>Every ID matches the test file row-for-row.</w:t>
      </w:r>
    </w:p>
    <w:p>
      <w:pPr>
        <w:pStyle w:val="ListBullet"/>
        <w:spacing w:before="0" w:after="80" w:line="276" w:lineRule="auto"/>
      </w:pPr>
      <w:r>
        <w:rPr>
          <w:b/>
          <w:color w:val="1A365D"/>
        </w:rPr>
        <w:t xml:space="preserve">Zero NaNs &amp; Finite Bounds: </w:t>
      </w:r>
      <w:r>
        <w:rPr>
          <w:color w:val="2D3748"/>
        </w:rPr>
        <w:t>All probability predictions are strictly continuous between 0.05 and 0.99.</w:t>
      </w:r>
    </w:p>
    <w:p>
      <w:pPr>
        <w:pStyle w:val="ListBullet"/>
        <w:spacing w:before="0" w:after="80" w:line="276" w:lineRule="auto"/>
      </w:pPr>
      <w:r>
        <w:rPr>
          <w:b/>
          <w:color w:val="1A365D"/>
        </w:rPr>
        <w:t xml:space="preserve">100% Threshold Compliance: </w:t>
      </w:r>
      <w:r>
        <w:rPr>
          <w:color w:val="2D3748"/>
        </w:rPr>
        <w:t>TargetF1 is mathematically identical to (TargetRAUC &gt;= 0.5) across every single record.</w:t>
      </w:r>
    </w:p>
    <w:p>
      <w:pPr>
        <w:spacing w:before="0" w:after="160" w:line="276" w:lineRule="auto"/>
      </w:pPr>
      <w:r>
        <w:rPr>
          <w:color w:val="2D3748"/>
        </w:rPr>
        <w:t>All code was organized into a production-grade, modular Python architecture in src/ (utils.py, features.py, models.py, train.py, ensemble.py, run_pipeline.py) and pushed to our open-source GitHub portfolio repository at: https://github.com/GodwinOkronipa/ai-projects/tree/main/climate-risk-health-prediction</w:t>
      </w:r>
    </w:p>
    <w:p>
      <w:pPr>
        <w:keepNext/>
        <w:spacing w:before="360" w:after="120"/>
      </w:pPr>
      <w:r>
        <w:rPr>
          <w:rFonts w:ascii="Arial" w:hAnsi="Arial"/>
          <w:b/>
          <w:color w:val="1A365D"/>
          <w:sz w:val="30"/>
        </w:rPr>
        <w:t>9. Five Big Lessons Every Beginner Can Learn From This</w:t>
      </w:r>
    </w:p>
    <w:p>
      <w:pPr>
        <w:pStyle w:val="ListBullet"/>
        <w:spacing w:before="0" w:after="80" w:line="276" w:lineRule="auto"/>
      </w:pPr>
      <w:r>
        <w:rPr>
          <w:b/>
          <w:color w:val="1A365D"/>
        </w:rPr>
        <w:t xml:space="preserve">1. Domain Knowledge Beats Blind Algorithms: </w:t>
      </w:r>
      <w:r>
        <w:rPr>
          <w:color w:val="2D3748"/>
        </w:rPr>
        <w:t>Feeding raw temperatures into an AI gives mediocre results. Teaching it climate anomalies (deviations from 30-day norms) and vulnerable age interactions transformed our model into a top competitor.</w:t>
      </w:r>
    </w:p>
    <w:p>
      <w:pPr>
        <w:pStyle w:val="ListBullet"/>
        <w:spacing w:before="0" w:after="80" w:line="276" w:lineRule="auto"/>
      </w:pPr>
      <w:r>
        <w:rPr>
          <w:b/>
          <w:color w:val="1A365D"/>
        </w:rPr>
        <w:t xml:space="preserve">2. Respect the Evaluation Metric: </w:t>
      </w:r>
      <w:r>
        <w:rPr>
          <w:color w:val="2D3748"/>
        </w:rPr>
        <w:t>When a competition uses a multi-metric (F1 + ROC-AUC), optimize for both. Calibrating your probabilities around 0.5 is essential.</w:t>
      </w:r>
    </w:p>
    <w:p>
      <w:pPr>
        <w:pStyle w:val="ListBullet"/>
        <w:spacing w:before="0" w:after="80" w:line="276" w:lineRule="auto"/>
      </w:pPr>
      <w:r>
        <w:rPr>
          <w:b/>
          <w:color w:val="1A365D"/>
        </w:rPr>
        <w:t xml:space="preserve">3. Trust Your Cross-Validation: </w:t>
      </w:r>
      <w:r>
        <w:rPr>
          <w:color w:val="2D3748"/>
        </w:rPr>
        <w:t>Never make decisions based on a single train/test split. A 5-fold stratified cross-validation setup is your true compass.</w:t>
      </w:r>
    </w:p>
    <w:p>
      <w:pPr>
        <w:pStyle w:val="ListBullet"/>
        <w:spacing w:before="0" w:after="80" w:line="276" w:lineRule="auto"/>
      </w:pPr>
      <w:r>
        <w:rPr>
          <w:b/>
          <w:color w:val="1A365D"/>
        </w:rPr>
        <w:t xml:space="preserve">4. Diversity Makes Strong Ensembles: </w:t>
      </w:r>
      <w:r>
        <w:rPr>
          <w:color w:val="2D3748"/>
        </w:rPr>
        <w:t>A blend of decision trees and logistic regression works better than ten slightly different trees because they view the data through different mathematical lenses.</w:t>
      </w:r>
    </w:p>
    <w:p>
      <w:pPr>
        <w:pStyle w:val="ListBullet"/>
        <w:spacing w:before="0" w:after="80" w:line="276" w:lineRule="auto"/>
      </w:pPr>
      <w:r>
        <w:rPr>
          <w:b/>
          <w:color w:val="1A365D"/>
        </w:rPr>
        <w:t xml:space="preserve">5. Clean Code is Reproducible Code: </w:t>
      </w:r>
      <w:r>
        <w:rPr>
          <w:color w:val="2D3748"/>
        </w:rPr>
        <w:t>Lock your random seeds, structure your scripts into modular files, and automate verification. A submission that can't be reproduced is worth nothing in a code audit!</w:t>
      </w:r>
    </w:p>
    <w:p>
      <w:pPr>
        <w:keepNext/>
        <w:spacing w:before="360" w:after="120"/>
      </w:pPr>
      <w:r>
        <w:rPr>
          <w:rFonts w:ascii="Arial" w:hAnsi="Arial"/>
          <w:b/>
          <w:color w:val="1A365D"/>
          <w:sz w:val="30"/>
        </w:rPr>
        <w:t>10. Conclusion &amp; What's Next</w:t>
      </w:r>
    </w:p>
    <w:p>
      <w:pPr>
        <w:spacing w:before="0" w:after="160" w:line="276" w:lineRule="auto"/>
      </w:pPr>
      <w:r>
        <w:rPr>
          <w:color w:val="2D3748"/>
        </w:rPr>
        <w:t>Machine learning is at its most rewarding when it steps out of the abstract classroom and tackles urgent humanitarian crises. As global climate change intensifies, tools that connect meteorological monitoring with vulnerable public health demographics will be vital for early warning systems, disaster relief, and hospital supply-chain planning.</w:t>
      </w:r>
    </w:p>
    <w:p>
      <w:pPr>
        <w:spacing w:before="0" w:after="160" w:line="276" w:lineRule="auto"/>
      </w:pPr>
      <w:r>
        <w:rPr>
          <w:color w:val="2D3748"/>
        </w:rPr>
        <w:t>This project proved that with clean data hygiene, thoughtful feature engineering, and disciplined validation, anyone can take on a real-world predictive AI challenge. I hope this walkthrough demystifies the workflow and inspires you to build something impactful!</w:t>
      </w:r>
    </w:p>
    <w:p>
      <w:pPr>
        <w:spacing w:before="0" w:after="160" w:line="276" w:lineRule="auto"/>
      </w:pPr>
      <w:r>
        <w:rPr>
          <w:i/>
          <w:color w:val="0D9488"/>
        </w:rPr>
        <w:t>Happy building,</w:t>
        <w:br/>
      </w:r>
      <w:r>
        <w:rPr>
          <w:color w:val="2D3748"/>
        </w:rPr>
        <w:t>— Godwin Okronipa (Accra, Ghana)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