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A0D6C" w14:textId="77777777" w:rsidR="00D500DA" w:rsidRDefault="00000000">
      <w:pPr>
        <w:spacing w:before="315" w:after="105" w:line="360" w:lineRule="auto"/>
        <w:ind w:left="-30"/>
      </w:pPr>
      <w:r>
        <w:rPr>
          <w:rFonts w:ascii="inter" w:eastAsia="inter" w:hAnsi="inter" w:cs="inter"/>
          <w:b/>
          <w:color w:val="000000"/>
          <w:sz w:val="24"/>
        </w:rPr>
        <w:t>Phase 1: Phishing Detection Performance</w:t>
      </w:r>
    </w:p>
    <w:p w14:paraId="21A1D69B" w14:textId="5D33C82B" w:rsidR="00D500DA" w:rsidRDefault="00000000">
      <w:pPr>
        <w:spacing w:after="210" w:line="360" w:lineRule="auto"/>
      </w:pPr>
      <w:r>
        <w:rPr>
          <w:rFonts w:ascii="inter" w:eastAsia="inter" w:hAnsi="inter" w:cs="inter"/>
          <w:color w:val="000000"/>
        </w:rPr>
        <w:t>This first set of charts visualizes the performance of the primary phishing detection model, which classifies emails as either legitimate ("Ham") or "Phishing".</w:t>
      </w:r>
      <w:bookmarkStart w:id="0" w:name="fnref1"/>
      <w:bookmarkEnd w:id="0"/>
    </w:p>
    <w:p w14:paraId="58B2C123" w14:textId="77777777" w:rsidR="00D500DA" w:rsidRDefault="00000000">
      <w:pPr>
        <w:spacing w:before="315" w:after="105" w:line="360" w:lineRule="auto"/>
        <w:ind w:left="-30"/>
      </w:pPr>
      <w:r>
        <w:rPr>
          <w:rFonts w:ascii="inter" w:eastAsia="inter" w:hAnsi="inter" w:cs="inter"/>
          <w:b/>
          <w:color w:val="000000"/>
          <w:sz w:val="24"/>
        </w:rPr>
        <w:t>Confusion Matrix for Phishing Detection</w:t>
      </w:r>
    </w:p>
    <w:p w14:paraId="5CA84AD5" w14:textId="22CE3E2B" w:rsidR="00D500DA" w:rsidRDefault="00000000">
      <w:pPr>
        <w:spacing w:after="210" w:line="360" w:lineRule="auto"/>
      </w:pPr>
      <w:r>
        <w:rPr>
          <w:rFonts w:ascii="inter" w:eastAsia="inter" w:hAnsi="inter" w:cs="inter"/>
          <w:color w:val="000000"/>
        </w:rPr>
        <w:t>This heatmap provides a direct look at the model's classification accuracy across the test dataset. The main diagonal shows the number of correct predictions, while the other cells show errors. The model correctly identified 15,540 ham emails and 16,783 phishing emails, demonstrating a very low number of misclassifications.</w:t>
      </w:r>
      <w:bookmarkStart w:id="1" w:name="fnref2"/>
      <w:bookmarkEnd w:id="1"/>
      <w:r w:rsidR="00C51D39">
        <w:t xml:space="preserve"> </w:t>
      </w:r>
    </w:p>
    <w:p w14:paraId="3F4BB588" w14:textId="77777777" w:rsidR="00D500DA" w:rsidRDefault="00000000">
      <w:pPr>
        <w:spacing w:after="0" w:line="360" w:lineRule="auto"/>
        <w:jc w:val="center"/>
      </w:pPr>
      <w:r>
        <w:rPr>
          <w:rFonts w:ascii="inter" w:eastAsia="inter" w:hAnsi="inter" w:cs="inter"/>
          <w:noProof/>
          <w:color w:val="000000"/>
        </w:rPr>
        <w:drawing>
          <wp:inline distT="0" distB="0" distL="0" distR="0" wp14:anchorId="5C25CB6F" wp14:editId="30FA49DA">
            <wp:extent cx="6038850" cy="4025900"/>
            <wp:effectExtent l="0" t="0" r="0" b="0"/>
            <wp:docPr id="2" name="image-6d43d5bbfb2eaa9c27c6618afaae49d80a733b1e.png"/>
            <wp:cNvGraphicFramePr/>
            <a:graphic xmlns:a="http://schemas.openxmlformats.org/drawingml/2006/main">
              <a:graphicData uri="http://schemas.openxmlformats.org/drawingml/2006/picture">
                <pic:pic xmlns:pic="http://schemas.openxmlformats.org/drawingml/2006/picture">
                  <pic:nvPicPr>
                    <pic:cNvPr id="2" name="image-6d43d5bbfb2eaa9c27c6618afaae49d80a733b1e.png"/>
                    <pic:cNvPicPr/>
                  </pic:nvPicPr>
                  <pic:blipFill>
                    <a:blip r:embed="rId5" cstate="print"/>
                    <a:srcRect/>
                    <a:stretch>
                      <a:fillRect/>
                    </a:stretch>
                  </pic:blipFill>
                  <pic:spPr>
                    <a:xfrm>
                      <a:off x="0" y="0"/>
                      <a:ext cx="6038850" cy="4025900"/>
                    </a:xfrm>
                    <a:prstGeom prst="rect">
                      <a:avLst/>
                    </a:prstGeom>
                  </pic:spPr>
                </pic:pic>
              </a:graphicData>
            </a:graphic>
          </wp:inline>
        </w:drawing>
      </w:r>
    </w:p>
    <w:p w14:paraId="567FE850" w14:textId="77777777" w:rsidR="00D500DA" w:rsidRDefault="00000000">
      <w:pPr>
        <w:spacing w:after="210" w:line="360" w:lineRule="auto"/>
      </w:pPr>
      <w:r>
        <w:rPr>
          <w:rFonts w:ascii="inter" w:eastAsia="inter" w:hAnsi="inter" w:cs="inter"/>
          <w:color w:val="000000"/>
        </w:rPr>
        <w:t>Confusion matrix heatmap showing classification performance of the phishing detection model.</w:t>
      </w:r>
    </w:p>
    <w:p w14:paraId="040030F7" w14:textId="77777777" w:rsidR="00D500DA" w:rsidRDefault="00000000">
      <w:pPr>
        <w:spacing w:before="315" w:after="105" w:line="360" w:lineRule="auto"/>
        <w:ind w:left="-30"/>
      </w:pPr>
      <w:r>
        <w:rPr>
          <w:rFonts w:ascii="inter" w:eastAsia="inter" w:hAnsi="inter" w:cs="inter"/>
          <w:b/>
          <w:color w:val="000000"/>
          <w:sz w:val="24"/>
        </w:rPr>
        <w:t>Phishing Detection Performance Metrics</w:t>
      </w:r>
    </w:p>
    <w:p w14:paraId="1663166D" w14:textId="235AF6D8" w:rsidR="00D500DA" w:rsidRDefault="00000000">
      <w:pPr>
        <w:spacing w:after="210" w:line="360" w:lineRule="auto"/>
      </w:pPr>
      <w:r>
        <w:rPr>
          <w:rFonts w:ascii="inter" w:eastAsia="inter" w:hAnsi="inter" w:cs="inter"/>
          <w:color w:val="000000"/>
        </w:rPr>
        <w:t xml:space="preserve">This chart breaks down the key performance metrics—Precision, Recall, and F1-Score—for both classes. The consistently high scores (all above 98%) indicate that the model is well-balanced. It is highly precise in its predictions, minimizing the risk of blocking legitimate emails (false positives), and has excellent </w:t>
      </w:r>
      <w:r>
        <w:rPr>
          <w:rFonts w:ascii="inter" w:eastAsia="inter" w:hAnsi="inter" w:cs="inter"/>
          <w:color w:val="000000"/>
        </w:rPr>
        <w:lastRenderedPageBreak/>
        <w:t>recall, meaning it successfully identifies the vast majority of actual phishing threats (minimizing false negatives).</w:t>
      </w:r>
      <w:bookmarkStart w:id="2" w:name="fnref1:1"/>
      <w:bookmarkStart w:id="3" w:name="fnref2:1"/>
      <w:bookmarkEnd w:id="2"/>
      <w:bookmarkEnd w:id="3"/>
      <w:r w:rsidR="00C51D39">
        <w:t xml:space="preserve"> </w:t>
      </w:r>
    </w:p>
    <w:p w14:paraId="72600AE4" w14:textId="77777777" w:rsidR="00D500DA" w:rsidRDefault="00000000">
      <w:pPr>
        <w:spacing w:after="0" w:line="360" w:lineRule="auto"/>
        <w:jc w:val="center"/>
      </w:pPr>
      <w:r>
        <w:rPr>
          <w:rFonts w:ascii="inter" w:eastAsia="inter" w:hAnsi="inter" w:cs="inter"/>
          <w:noProof/>
          <w:color w:val="000000"/>
        </w:rPr>
        <w:drawing>
          <wp:inline distT="0" distB="0" distL="0" distR="0" wp14:anchorId="0CEFF296" wp14:editId="6C3A156B">
            <wp:extent cx="6038850" cy="4025900"/>
            <wp:effectExtent l="0" t="0" r="0" b="0"/>
            <wp:docPr id="3" name="image-ab5d7499c5d484e769615f7a39050521bf626867.png"/>
            <wp:cNvGraphicFramePr/>
            <a:graphic xmlns:a="http://schemas.openxmlformats.org/drawingml/2006/main">
              <a:graphicData uri="http://schemas.openxmlformats.org/drawingml/2006/picture">
                <pic:pic xmlns:pic="http://schemas.openxmlformats.org/drawingml/2006/picture">
                  <pic:nvPicPr>
                    <pic:cNvPr id="3" name="image-ab5d7499c5d484e769615f7a39050521bf626867.png"/>
                    <pic:cNvPicPr/>
                  </pic:nvPicPr>
                  <pic:blipFill>
                    <a:blip r:embed="rId6" cstate="print"/>
                    <a:srcRect/>
                    <a:stretch>
                      <a:fillRect/>
                    </a:stretch>
                  </pic:blipFill>
                  <pic:spPr>
                    <a:xfrm>
                      <a:off x="0" y="0"/>
                      <a:ext cx="6038850" cy="4025900"/>
                    </a:xfrm>
                    <a:prstGeom prst="rect">
                      <a:avLst/>
                    </a:prstGeom>
                  </pic:spPr>
                </pic:pic>
              </a:graphicData>
            </a:graphic>
          </wp:inline>
        </w:drawing>
      </w:r>
    </w:p>
    <w:p w14:paraId="698ECEFA" w14:textId="77777777" w:rsidR="00D500DA" w:rsidRDefault="00000000">
      <w:pPr>
        <w:spacing w:after="210" w:line="360" w:lineRule="auto"/>
      </w:pPr>
      <w:r>
        <w:rPr>
          <w:rFonts w:ascii="inter" w:eastAsia="inter" w:hAnsi="inter" w:cs="inter"/>
          <w:color w:val="000000"/>
        </w:rPr>
        <w:t>Bar chart showing precision, recall and f1-score metrics for each class in phishing detection model.</w:t>
      </w:r>
    </w:p>
    <w:p w14:paraId="26A73A4B" w14:textId="77777777" w:rsidR="00D500DA" w:rsidRDefault="00000000">
      <w:pPr>
        <w:spacing w:before="315" w:after="105" w:line="360" w:lineRule="auto"/>
        <w:ind w:left="-30"/>
      </w:pPr>
      <w:r>
        <w:rPr>
          <w:rFonts w:ascii="inter" w:eastAsia="inter" w:hAnsi="inter" w:cs="inter"/>
          <w:b/>
          <w:color w:val="000000"/>
          <w:sz w:val="24"/>
        </w:rPr>
        <w:t>Phase 2: Intent Classification Performance</w:t>
      </w:r>
    </w:p>
    <w:p w14:paraId="7874112E" w14:textId="1B70EC30" w:rsidR="00D500DA" w:rsidRDefault="00000000">
      <w:pPr>
        <w:spacing w:after="210" w:line="360" w:lineRule="auto"/>
      </w:pPr>
      <w:r>
        <w:rPr>
          <w:rFonts w:ascii="inter" w:eastAsia="inter" w:hAnsi="inter" w:cs="inter"/>
          <w:color w:val="000000"/>
        </w:rPr>
        <w:t>This chart evaluates the second phase of your pipeline: classifying the specific goal of an email that has already been identified as phishing.</w:t>
      </w:r>
      <w:bookmarkStart w:id="4" w:name="fnref3"/>
      <w:bookmarkStart w:id="5" w:name="fnref4"/>
      <w:bookmarkEnd w:id="4"/>
      <w:bookmarkEnd w:id="5"/>
      <w:r w:rsidR="00C51D39">
        <w:t xml:space="preserve"> </w:t>
      </w:r>
    </w:p>
    <w:p w14:paraId="17C40BEC" w14:textId="77777777" w:rsidR="00D500DA" w:rsidRDefault="00000000">
      <w:pPr>
        <w:spacing w:before="315" w:after="105" w:line="360" w:lineRule="auto"/>
        <w:ind w:left="-30"/>
      </w:pPr>
      <w:r>
        <w:rPr>
          <w:rFonts w:ascii="inter" w:eastAsia="inter" w:hAnsi="inter" w:cs="inter"/>
          <w:b/>
          <w:color w:val="000000"/>
          <w:sz w:val="24"/>
        </w:rPr>
        <w:t>Intent Classification Performance Metrics</w:t>
      </w:r>
    </w:p>
    <w:p w14:paraId="570A1A19" w14:textId="77777777" w:rsidR="00D500DA" w:rsidRDefault="00000000">
      <w:pPr>
        <w:spacing w:after="210" w:line="360" w:lineRule="auto"/>
      </w:pPr>
      <w:r>
        <w:rPr>
          <w:rFonts w:ascii="inter" w:eastAsia="inter" w:hAnsi="inter" w:cs="inter"/>
          <w:color w:val="000000"/>
        </w:rPr>
        <w:t>This visualization shows how accurately the model identifies different types of phishing attacks, such as "Credential Harvesting" or "Financial Fraud." The model shows excellent performance, with near-perfect scores for most categories. The slightly lower recall for "Malware Delivery" (90%) is still strong but highlights a potential area for future model tuning. Overall, these results validate the system's innovative capability to provide fine-grained threat intelligence.</w:t>
      </w:r>
      <w:bookmarkStart w:id="6" w:name="fnref5"/>
      <w:bookmarkEnd w:id="6"/>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7" w:name="fnref3:1"/>
      <w:bookmarkEnd w:id="7"/>
      <w:r>
        <w:fldChar w:fldCharType="begin"/>
      </w:r>
      <w:r>
        <w:instrText>HYPERLINK \l "fn3" \h</w:instrText>
      </w:r>
      <w:r>
        <w:fldChar w:fldCharType="separate"/>
      </w:r>
      <w:r>
        <w:rPr>
          <w:rFonts w:ascii="inter" w:eastAsia="inter" w:hAnsi="inter" w:cs="inter"/>
          <w:u w:val="single"/>
          <w:vertAlign w:val="superscript"/>
        </w:rPr>
        <w:t>[3]</w:t>
      </w:r>
      <w:r>
        <w:fldChar w:fldCharType="end"/>
      </w:r>
    </w:p>
    <w:p w14:paraId="39982838" w14:textId="77777777" w:rsidR="00D500DA" w:rsidRDefault="00000000">
      <w:pPr>
        <w:spacing w:after="0" w:line="360" w:lineRule="auto"/>
        <w:jc w:val="center"/>
      </w:pPr>
      <w:r>
        <w:rPr>
          <w:rFonts w:ascii="inter" w:eastAsia="inter" w:hAnsi="inter" w:cs="inter"/>
          <w:noProof/>
          <w:color w:val="000000"/>
        </w:rPr>
        <w:lastRenderedPageBreak/>
        <w:drawing>
          <wp:inline distT="0" distB="0" distL="0" distR="0" wp14:anchorId="0B549B2B" wp14:editId="47D1664F">
            <wp:extent cx="6038850" cy="4025900"/>
            <wp:effectExtent l="0" t="0" r="0" b="0"/>
            <wp:docPr id="4" name="image-525ba62659858d780bfc21f4b04ec0664fb2c05a.png"/>
            <wp:cNvGraphicFramePr/>
            <a:graphic xmlns:a="http://schemas.openxmlformats.org/drawingml/2006/main">
              <a:graphicData uri="http://schemas.openxmlformats.org/drawingml/2006/picture">
                <pic:pic xmlns:pic="http://schemas.openxmlformats.org/drawingml/2006/picture">
                  <pic:nvPicPr>
                    <pic:cNvPr id="4" name="image-525ba62659858d780bfc21f4b04ec0664fb2c05a.png"/>
                    <pic:cNvPicPr/>
                  </pic:nvPicPr>
                  <pic:blipFill>
                    <a:blip r:embed="rId7" cstate="print"/>
                    <a:srcRect/>
                    <a:stretch>
                      <a:fillRect/>
                    </a:stretch>
                  </pic:blipFill>
                  <pic:spPr>
                    <a:xfrm>
                      <a:off x="0" y="0"/>
                      <a:ext cx="6038850" cy="4025900"/>
                    </a:xfrm>
                    <a:prstGeom prst="rect">
                      <a:avLst/>
                    </a:prstGeom>
                  </pic:spPr>
                </pic:pic>
              </a:graphicData>
            </a:graphic>
          </wp:inline>
        </w:drawing>
      </w:r>
    </w:p>
    <w:p w14:paraId="1D4BBED8" w14:textId="77777777" w:rsidR="00D500DA" w:rsidRDefault="00000000">
      <w:pPr>
        <w:spacing w:after="210" w:line="360" w:lineRule="auto"/>
      </w:pPr>
      <w:r>
        <w:rPr>
          <w:rFonts w:ascii="inter" w:eastAsia="inter" w:hAnsi="inter" w:cs="inter"/>
          <w:color w:val="000000"/>
        </w:rPr>
        <w:t>Bar chart showing precision, recall and f1-score metrics for each intent in the phishing intent classification model.</w:t>
      </w:r>
    </w:p>
    <w:p w14:paraId="7DE5176B" w14:textId="77777777" w:rsidR="00D500DA" w:rsidRDefault="00000000">
      <w:pPr>
        <w:spacing w:line="360" w:lineRule="auto"/>
        <w:jc w:val="center"/>
      </w:pPr>
      <w:r>
        <w:rPr>
          <w:rFonts w:ascii="inter" w:eastAsia="inter" w:hAnsi="inter" w:cs="inter"/>
          <w:color w:val="000000"/>
        </w:rPr>
        <w:t>⁂</w:t>
      </w:r>
    </w:p>
    <w:p w14:paraId="58C0517D" w14:textId="77777777" w:rsidR="00D500DA" w:rsidRDefault="00000000">
      <w:pPr>
        <w:spacing w:before="210" w:after="0" w:line="360" w:lineRule="auto"/>
      </w:pPr>
      <w:r>
        <w:rPr>
          <w:noProof/>
        </w:rPr>
      </w:r>
      <w:r>
        <w:rPr>
          <w:noProof/>
        </w:rPr>
        <w:pict w14:anchorId="350A0D9F">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5031EB8" w14:textId="77777777" w:rsidR="00D500DA" w:rsidRDefault="00000000">
      <w:pPr>
        <w:numPr>
          <w:ilvl w:val="0"/>
          <w:numId w:val="2"/>
        </w:numPr>
        <w:spacing w:after="210" w:line="360" w:lineRule="auto"/>
      </w:pPr>
      <w:bookmarkStart w:id="8" w:name="fn1"/>
      <w:bookmarkEnd w:id="8"/>
      <w:r>
        <w:rPr>
          <w:rFonts w:ascii="inter" w:eastAsia="inter" w:hAnsi="inter" w:cs="inter"/>
          <w:color w:val="000000"/>
          <w:sz w:val="18"/>
        </w:rPr>
        <w:t xml:space="preserve">DefenseGPT-Phishing-detection-Using-ML-1.pptx  </w:t>
      </w:r>
    </w:p>
    <w:p w14:paraId="43BE71C7" w14:textId="77777777" w:rsidR="00D500DA" w:rsidRDefault="00000000">
      <w:pPr>
        <w:numPr>
          <w:ilvl w:val="0"/>
          <w:numId w:val="2"/>
        </w:numPr>
        <w:spacing w:after="210" w:line="360" w:lineRule="auto"/>
      </w:pPr>
      <w:bookmarkStart w:id="9" w:name="fn2"/>
      <w:bookmarkEnd w:id="9"/>
      <w:r>
        <w:rPr>
          <w:rFonts w:ascii="inter" w:eastAsia="inter" w:hAnsi="inter" w:cs="inter"/>
          <w:color w:val="000000"/>
          <w:sz w:val="18"/>
        </w:rPr>
        <w:t xml:space="preserve">autoannotate_intent.py  </w:t>
      </w:r>
    </w:p>
    <w:bookmarkStart w:id="10" w:name="fn3"/>
    <w:bookmarkEnd w:id="10"/>
    <w:p w14:paraId="7C1FBF93" w14:textId="77777777" w:rsidR="00D500DA" w:rsidRDefault="00000000">
      <w:pPr>
        <w:numPr>
          <w:ilvl w:val="0"/>
          <w:numId w:val="2"/>
        </w:numPr>
        <w:spacing w:after="210" w:line="360" w:lineRule="auto"/>
      </w:pPr>
      <w:r>
        <w:fldChar w:fldCharType="begin"/>
      </w:r>
      <w:r>
        <w:instrText>HYPERLINK "http://combined.py" \h</w:instrText>
      </w:r>
      <w:r>
        <w:fldChar w:fldCharType="separate"/>
      </w:r>
      <w:r>
        <w:rPr>
          <w:rFonts w:ascii="inter" w:eastAsia="inter" w:hAnsi="inter" w:cs="inter"/>
          <w:sz w:val="18"/>
          <w:u w:val="single"/>
        </w:rPr>
        <w:t>combined.py</w:t>
      </w:r>
      <w:r>
        <w:fldChar w:fldCharType="end"/>
      </w:r>
      <w:r>
        <w:rPr>
          <w:rFonts w:ascii="inter" w:eastAsia="inter" w:hAnsi="inter" w:cs="inter"/>
          <w:color w:val="000000"/>
          <w:sz w:val="18"/>
        </w:rPr>
        <w:t xml:space="preserve">  </w:t>
      </w:r>
    </w:p>
    <w:p w14:paraId="690553E6" w14:textId="77777777" w:rsidR="00D500DA" w:rsidRDefault="00000000">
      <w:pPr>
        <w:numPr>
          <w:ilvl w:val="0"/>
          <w:numId w:val="2"/>
        </w:numPr>
        <w:spacing w:after="210" w:line="360" w:lineRule="auto"/>
      </w:pPr>
      <w:bookmarkStart w:id="11" w:name="fn4"/>
      <w:bookmarkEnd w:id="11"/>
      <w:r>
        <w:rPr>
          <w:rFonts w:ascii="inter" w:eastAsia="inter" w:hAnsi="inter" w:cs="inter"/>
          <w:color w:val="000000"/>
          <w:sz w:val="18"/>
        </w:rPr>
        <w:t xml:space="preserve">intent_classification_report.txt </w:t>
      </w:r>
    </w:p>
    <w:p w14:paraId="0C70952B" w14:textId="77777777" w:rsidR="00D500DA" w:rsidRDefault="00000000">
      <w:pPr>
        <w:numPr>
          <w:ilvl w:val="0"/>
          <w:numId w:val="2"/>
        </w:numPr>
        <w:spacing w:after="210" w:line="360" w:lineRule="auto"/>
      </w:pPr>
      <w:bookmarkStart w:id="12" w:name="fn5"/>
      <w:bookmarkEnd w:id="12"/>
      <w:r>
        <w:rPr>
          <w:rFonts w:ascii="inter" w:eastAsia="inter" w:hAnsi="inter" w:cs="inter"/>
          <w:color w:val="000000"/>
          <w:sz w:val="18"/>
        </w:rPr>
        <w:t xml:space="preserve">mlmodel_gpu_logging.py </w:t>
      </w:r>
    </w:p>
    <w:sectPr w:rsidR="00D500DA">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93285"/>
    <w:multiLevelType w:val="hybridMultilevel"/>
    <w:tmpl w:val="86AAB6E4"/>
    <w:lvl w:ilvl="0" w:tplc="EF7AB256">
      <w:start w:val="1"/>
      <w:numFmt w:val="decimal"/>
      <w:lvlText w:val="%1."/>
      <w:lvlJc w:val="left"/>
      <w:pPr>
        <w:tabs>
          <w:tab w:val="num" w:pos="900"/>
        </w:tabs>
        <w:ind w:left="540" w:hanging="360"/>
      </w:pPr>
    </w:lvl>
    <w:lvl w:ilvl="1" w:tplc="35F8C2BE">
      <w:numFmt w:val="decimal"/>
      <w:lvlText w:val=""/>
      <w:lvlJc w:val="left"/>
    </w:lvl>
    <w:lvl w:ilvl="2" w:tplc="A0681C44">
      <w:numFmt w:val="decimal"/>
      <w:lvlText w:val=""/>
      <w:lvlJc w:val="left"/>
    </w:lvl>
    <w:lvl w:ilvl="3" w:tplc="A820503E">
      <w:numFmt w:val="decimal"/>
      <w:lvlText w:val=""/>
      <w:lvlJc w:val="left"/>
    </w:lvl>
    <w:lvl w:ilvl="4" w:tplc="CCDEE736">
      <w:numFmt w:val="decimal"/>
      <w:lvlText w:val=""/>
      <w:lvlJc w:val="left"/>
    </w:lvl>
    <w:lvl w:ilvl="5" w:tplc="A4562392">
      <w:numFmt w:val="decimal"/>
      <w:lvlText w:val=""/>
      <w:lvlJc w:val="left"/>
    </w:lvl>
    <w:lvl w:ilvl="6" w:tplc="10BC628C">
      <w:numFmt w:val="decimal"/>
      <w:lvlText w:val=""/>
      <w:lvlJc w:val="left"/>
    </w:lvl>
    <w:lvl w:ilvl="7" w:tplc="06149AE4">
      <w:numFmt w:val="decimal"/>
      <w:lvlText w:val=""/>
      <w:lvlJc w:val="left"/>
    </w:lvl>
    <w:lvl w:ilvl="8" w:tplc="A9C807A0">
      <w:numFmt w:val="decimal"/>
      <w:lvlText w:val=""/>
      <w:lvlJc w:val="left"/>
    </w:lvl>
  </w:abstractNum>
  <w:abstractNum w:abstractNumId="1" w15:restartNumberingAfterBreak="0">
    <w:nsid w:val="21C82BDB"/>
    <w:multiLevelType w:val="hybridMultilevel"/>
    <w:tmpl w:val="521A152C"/>
    <w:lvl w:ilvl="0" w:tplc="892601FE">
      <w:numFmt w:val="decimal"/>
      <w:lvlText w:val=""/>
      <w:lvlJc w:val="left"/>
    </w:lvl>
    <w:lvl w:ilvl="1" w:tplc="AF247D70">
      <w:numFmt w:val="decimal"/>
      <w:lvlText w:val=""/>
      <w:lvlJc w:val="left"/>
    </w:lvl>
    <w:lvl w:ilvl="2" w:tplc="96466296">
      <w:numFmt w:val="decimal"/>
      <w:lvlText w:val=""/>
      <w:lvlJc w:val="left"/>
    </w:lvl>
    <w:lvl w:ilvl="3" w:tplc="77A22732">
      <w:numFmt w:val="decimal"/>
      <w:lvlText w:val=""/>
      <w:lvlJc w:val="left"/>
    </w:lvl>
    <w:lvl w:ilvl="4" w:tplc="F23CACE0">
      <w:numFmt w:val="decimal"/>
      <w:lvlText w:val=""/>
      <w:lvlJc w:val="left"/>
    </w:lvl>
    <w:lvl w:ilvl="5" w:tplc="8ACEA5A2">
      <w:numFmt w:val="decimal"/>
      <w:lvlText w:val=""/>
      <w:lvlJc w:val="left"/>
    </w:lvl>
    <w:lvl w:ilvl="6" w:tplc="AA342342">
      <w:numFmt w:val="decimal"/>
      <w:lvlText w:val=""/>
      <w:lvlJc w:val="left"/>
    </w:lvl>
    <w:lvl w:ilvl="7" w:tplc="E9BA3E8C">
      <w:numFmt w:val="decimal"/>
      <w:lvlText w:val=""/>
      <w:lvlJc w:val="left"/>
    </w:lvl>
    <w:lvl w:ilvl="8" w:tplc="E75C7858">
      <w:numFmt w:val="decimal"/>
      <w:lvlText w:val=""/>
      <w:lvlJc w:val="left"/>
    </w:lvl>
  </w:abstractNum>
  <w:num w:numId="1" w16cid:durableId="2099593855">
    <w:abstractNumId w:val="1"/>
  </w:num>
  <w:num w:numId="2" w16cid:durableId="166940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0DA"/>
    <w:rsid w:val="00C51D39"/>
    <w:rsid w:val="00D500DA"/>
    <w:rsid w:val="00D56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3AE9245"/>
  <w15:docId w15:val="{0A4A66EF-8031-4B62-BB4F-AC5434B51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348</Words>
  <Characters>1988</Characters>
  <Application>Microsoft Office Word</Application>
  <DocSecurity>0</DocSecurity>
  <Lines>16</Lines>
  <Paragraphs>4</Paragraphs>
  <ScaleCrop>false</ScaleCrop>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KING GODY</cp:lastModifiedBy>
  <cp:revision>2</cp:revision>
  <dcterms:created xsi:type="dcterms:W3CDTF">2025-08-14T04:23:00Z</dcterms:created>
  <dcterms:modified xsi:type="dcterms:W3CDTF">2025-08-14T10:57:00Z</dcterms:modified>
</cp:coreProperties>
</file>