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AACD5" w14:textId="77777777" w:rsidR="007C7FEE" w:rsidRDefault="00000000">
      <w:pPr>
        <w:spacing w:after="40"/>
      </w:pPr>
      <w:r>
        <w:rPr>
          <w:rFonts w:ascii="Calibri" w:hAnsi="Calibri"/>
          <w:b/>
          <w:color w:val="4A4A4A"/>
        </w:rPr>
        <w:t>Course Code: IT2312 | IT Service Management</w:t>
      </w:r>
    </w:p>
    <w:p w14:paraId="1FC52965" w14:textId="77777777" w:rsidR="007C7FEE" w:rsidRDefault="00000000">
      <w:pPr>
        <w:spacing w:before="40" w:after="80"/>
      </w:pPr>
      <w:r>
        <w:rPr>
          <w:rFonts w:ascii="Calibri" w:hAnsi="Calibri"/>
          <w:b/>
          <w:color w:val="4A4A4A"/>
          <w:sz w:val="34"/>
        </w:rPr>
        <w:t>Activity: 04 Performance Task 1 – Security KPIs Analysis</w:t>
      </w:r>
    </w:p>
    <w:p w14:paraId="69D1BC24" w14:textId="77777777" w:rsidR="007C7FEE" w:rsidRDefault="00000000">
      <w:pPr>
        <w:spacing w:after="160"/>
      </w:pPr>
      <w:r>
        <w:rPr>
          <w:rFonts w:ascii="Calibri" w:hAnsi="Calibri"/>
          <w:i/>
          <w:color w:val="718096"/>
        </w:rPr>
        <w:t xml:space="preserve">Student: </w:t>
      </w:r>
      <w:r>
        <w:rPr>
          <w:rFonts w:ascii="Calibri" w:hAnsi="Calibri"/>
          <w:b/>
          <w:color w:val="4A4A4A"/>
        </w:rPr>
        <w:t xml:space="preserve">Godwyn Neri | </w:t>
      </w:r>
      <w:r>
        <w:rPr>
          <w:rFonts w:ascii="Calibri" w:hAnsi="Calibri"/>
          <w:i/>
          <w:color w:val="718096"/>
        </w:rPr>
        <w:t xml:space="preserve">Date: </w:t>
      </w:r>
      <w:r>
        <w:rPr>
          <w:rFonts w:ascii="Calibri" w:hAnsi="Calibri"/>
          <w:color w:val="4A4A4A"/>
        </w:rPr>
        <w:t xml:space="preserve">September 24, 2026 | </w:t>
      </w:r>
      <w:r>
        <w:rPr>
          <w:rFonts w:ascii="Calibri" w:hAnsi="Calibri"/>
          <w:i/>
          <w:color w:val="718096"/>
        </w:rPr>
        <w:t xml:space="preserve">Topic: </w:t>
      </w:r>
      <w:r>
        <w:rPr>
          <w:rFonts w:ascii="Calibri" w:hAnsi="Calibri"/>
          <w:color w:val="4A4A4A"/>
        </w:rPr>
        <w:t>ITSM Governance and Information Security KPIs</w:t>
      </w:r>
    </w:p>
    <w:p w14:paraId="2E2B909D" w14:textId="77777777" w:rsidR="007C7FEE" w:rsidRDefault="007C7FEE">
      <w:pPr>
        <w:pBdr>
          <w:bottom w:val="single" w:sz="6" w:space="1" w:color="E2B4BD"/>
        </w:pBdr>
        <w:spacing w:after="320"/>
      </w:pPr>
    </w:p>
    <w:p w14:paraId="5857A137" w14:textId="77777777" w:rsidR="007C7FEE" w:rsidRDefault="00000000">
      <w:pPr>
        <w:pStyle w:val="Heading1"/>
        <w:spacing w:before="240" w:after="120"/>
      </w:pPr>
      <w:r>
        <w:rPr>
          <w:rFonts w:ascii="Calibri" w:hAnsi="Calibri"/>
          <w:color w:val="4A4A4A"/>
          <w:sz w:val="27"/>
        </w:rPr>
        <w:t>1. Executive Summary &amp; Case Background</w:t>
      </w:r>
    </w:p>
    <w:p w14:paraId="34D08E14" w14:textId="77777777" w:rsidR="007C7FEE" w:rsidRDefault="00000000">
      <w:pPr>
        <w:spacing w:after="120"/>
      </w:pPr>
      <w:r>
        <w:rPr>
          <w:rFonts w:ascii="Calibri" w:hAnsi="Calibri"/>
          <w:color w:val="4A4A4A"/>
          <w:sz w:val="21"/>
        </w:rPr>
        <w:t>TeleMarketeers has operated as a specialized BPO company for the past 10 years, delivering chat and voice support for major Internet Service Providers (ISPs). The organization maintains comprehensive layered defense units: a Network Team for connectivity and traffic integrity, a Firewall Team for rule management and perimeter filtering, Tier-1 IT Desktop Support for endpoint troubleshooting, and a strategic Blue Team formulating defensive policies. For their decade anniversary, TeleMarketeers formed an elite white-hat unit called 'Fast Attack' specifically targeting malware threats that standard firewall and network toolsets could not resolve.</w:t>
      </w:r>
    </w:p>
    <w:p w14:paraId="3FE7599A" w14:textId="77777777" w:rsidR="007C7FEE" w:rsidRDefault="00000000">
      <w:pPr>
        <w:spacing w:after="160"/>
      </w:pPr>
      <w:r>
        <w:rPr>
          <w:rFonts w:ascii="Calibri" w:hAnsi="Calibri"/>
          <w:color w:val="4A4A4A"/>
          <w:sz w:val="21"/>
        </w:rPr>
        <w:t>On a single business day, 20 agent terminals simultaneously exhibited severe performance degradation, crashes, and locked credentials. Initially misclassified as routine desktop glitches, the event escalated into a high-severity spyware attack originating from a compromised internal server. Leveraging an enterprise anti-malware system configured for &gt;100 nodes and coordinating directly with the network and firewall teams, Fast Attack wiped the threat clean within 3 hours.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C7FEE" w14:paraId="2AC60174" w14:textId="77777777">
        <w:trPr>
          <w:jc w:val="center"/>
        </w:trPr>
        <w:tc>
          <w:tcPr>
            <w:tcW w:w="9360" w:type="dxa"/>
            <w:tcBorders>
              <w:left w:val="single" w:sz="18" w:space="0" w:color="E2B4BD"/>
            </w:tcBorders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29653599" w14:textId="77777777" w:rsidR="007C7FEE" w:rsidRDefault="00000000">
            <w:pPr>
              <w:spacing w:after="0"/>
            </w:pPr>
            <w:r>
              <w:rPr>
                <w:rFonts w:ascii="Calibri" w:hAnsi="Calibri"/>
                <w:b/>
                <w:color w:val="4A4A4A"/>
                <w:sz w:val="20"/>
              </w:rPr>
              <w:t xml:space="preserve">Core Incident Finding: </w:t>
            </w:r>
            <w:r>
              <w:rPr>
                <w:rFonts w:ascii="Calibri" w:hAnsi="Calibri"/>
                <w:color w:val="4A4A4A"/>
                <w:sz w:val="20"/>
              </w:rPr>
              <w:t>Initial triage delay occurred because tier-1 support misclassified simultaneous multi-endpoint failures as low-risk desktop anomalies. Automated event correlation is mandatory under ITSM governance.</w:t>
            </w:r>
          </w:p>
        </w:tc>
      </w:tr>
    </w:tbl>
    <w:p w14:paraId="093294F0" w14:textId="77777777" w:rsidR="007C7FEE" w:rsidRDefault="007C7FEE">
      <w:pPr>
        <w:spacing w:after="120"/>
      </w:pPr>
    </w:p>
    <w:p w14:paraId="74886DD6" w14:textId="77777777" w:rsidR="007C7FEE" w:rsidRDefault="00000000">
      <w:pPr>
        <w:pStyle w:val="Heading1"/>
        <w:spacing w:before="280" w:after="120"/>
      </w:pPr>
      <w:r>
        <w:rPr>
          <w:rFonts w:ascii="Calibri" w:hAnsi="Calibri"/>
          <w:color w:val="4A4A4A"/>
          <w:sz w:val="27"/>
        </w:rPr>
        <w:t>2. Identification and Breakdown of Security KPIs</w:t>
      </w:r>
    </w:p>
    <w:p w14:paraId="30EAA2DA" w14:textId="77777777" w:rsidR="007C7FEE" w:rsidRDefault="00000000">
      <w:pPr>
        <w:spacing w:after="160"/>
      </w:pPr>
      <w:r>
        <w:rPr>
          <w:rFonts w:ascii="Calibri" w:hAnsi="Calibri"/>
          <w:color w:val="4A4A4A"/>
          <w:sz w:val="21"/>
        </w:rPr>
        <w:t>Based on ITIL / ITSM Information Security Management guidelines (specifically IT2312 Handout 04), six (6) essential Key Performance Indicators (KPIs) are identified and tracked in the TeleMarketeers case study:</w:t>
      </w:r>
    </w:p>
    <w:p w14:paraId="347665A1" w14:textId="77777777" w:rsidR="007C7FEE" w:rsidRDefault="00000000">
      <w:pPr>
        <w:pStyle w:val="Heading2"/>
        <w:spacing w:before="240" w:after="60"/>
      </w:pPr>
      <w:r>
        <w:rPr>
          <w:rFonts w:ascii="Calibri" w:hAnsi="Calibri"/>
          <w:color w:val="4A4A4A"/>
          <w:sz w:val="23"/>
        </w:rPr>
        <w:t>KPI 1: Number of Implemented Preventative Measures</w:t>
      </w:r>
    </w:p>
    <w:p w14:paraId="3D25A290" w14:textId="77777777" w:rsidR="007C7FEE" w:rsidRDefault="00000000">
      <w:pPr>
        <w:spacing w:after="60"/>
      </w:pPr>
      <w:r>
        <w:rPr>
          <w:rFonts w:ascii="Calibri" w:hAnsi="Calibri"/>
          <w:b/>
          <w:color w:val="4A4A4A"/>
          <w:sz w:val="20"/>
        </w:rPr>
        <w:t xml:space="preserve">ITSM Definition: </w:t>
      </w:r>
      <w:r>
        <w:rPr>
          <w:rFonts w:ascii="Calibri" w:hAnsi="Calibri"/>
          <w:color w:val="4A4A4A"/>
          <w:sz w:val="20"/>
        </w:rPr>
        <w:t>Charts the number of security measures and controls implemented based on perceived vulnerability or a known or successful intrusion attempt to standardize resolutions and track security changes (IT2312 Handout 04).</w:t>
      </w:r>
    </w:p>
    <w:p w14:paraId="67DA3651" w14:textId="77777777" w:rsidR="007C7FEE" w:rsidRDefault="00000000">
      <w:pPr>
        <w:spacing w:after="40"/>
      </w:pPr>
      <w:r>
        <w:rPr>
          <w:rFonts w:ascii="Calibri" w:hAnsi="Calibri"/>
          <w:b/>
          <w:color w:val="4A4A4A"/>
          <w:sz w:val="20"/>
        </w:rPr>
        <w:t>Case Study Findings &amp; Evidence:</w:t>
      </w:r>
    </w:p>
    <w:p w14:paraId="3962B09F" w14:textId="77777777" w:rsidR="007C7FEE" w:rsidRDefault="00000000">
      <w:pPr>
        <w:pStyle w:val="ListBullet"/>
        <w:spacing w:after="40"/>
      </w:pPr>
      <w:r>
        <w:rPr>
          <w:rFonts w:ascii="Calibri" w:hAnsi="Calibri"/>
          <w:color w:val="4A4A4A"/>
          <w:sz w:val="19"/>
        </w:rPr>
        <w:t>Network Team: Dedicated infrastructure oversight and connectivity integrity.</w:t>
      </w:r>
    </w:p>
    <w:p w14:paraId="1A1E8C85" w14:textId="77777777" w:rsidR="007C7FEE" w:rsidRDefault="00000000">
      <w:pPr>
        <w:pStyle w:val="ListBullet"/>
        <w:spacing w:after="40"/>
      </w:pPr>
      <w:r>
        <w:rPr>
          <w:rFonts w:ascii="Calibri" w:hAnsi="Calibri"/>
          <w:color w:val="4A4A4A"/>
          <w:sz w:val="19"/>
        </w:rPr>
        <w:t>Firewall Team: Continuous traffic monitoring and perimeter defense rules.</w:t>
      </w:r>
    </w:p>
    <w:p w14:paraId="21018C1B" w14:textId="77777777" w:rsidR="007C7FEE" w:rsidRDefault="00000000">
      <w:pPr>
        <w:pStyle w:val="ListBullet"/>
        <w:spacing w:after="40"/>
      </w:pPr>
      <w:r>
        <w:rPr>
          <w:rFonts w:ascii="Calibri" w:hAnsi="Calibri"/>
          <w:color w:val="4A4A4A"/>
          <w:sz w:val="19"/>
        </w:rPr>
        <w:t>IT Desktop Support Team: Rapid workstation assistance and tier-1 issue resolution.</w:t>
      </w:r>
    </w:p>
    <w:p w14:paraId="5368ADB7" w14:textId="77777777" w:rsidR="007C7FEE" w:rsidRDefault="00000000">
      <w:pPr>
        <w:pStyle w:val="ListBullet"/>
        <w:spacing w:after="40"/>
      </w:pPr>
      <w:r>
        <w:rPr>
          <w:rFonts w:ascii="Calibri" w:hAnsi="Calibri"/>
          <w:color w:val="4A4A4A"/>
          <w:sz w:val="19"/>
        </w:rPr>
        <w:t>Blue Team: Strategic security controls and defense-in-depth policy formulation.</w:t>
      </w:r>
    </w:p>
    <w:p w14:paraId="71DD3160" w14:textId="77777777" w:rsidR="007C7FEE" w:rsidRDefault="00000000">
      <w:pPr>
        <w:pStyle w:val="ListBullet"/>
        <w:spacing w:after="40"/>
      </w:pPr>
      <w:r>
        <w:rPr>
          <w:rFonts w:ascii="Calibri" w:hAnsi="Calibri"/>
          <w:color w:val="4A4A4A"/>
          <w:sz w:val="19"/>
        </w:rPr>
        <w:t>Fast Attack Security Unit: Specialized anti-malware and proactive white-hat testing unit.</w:t>
      </w:r>
    </w:p>
    <w:p w14:paraId="4DBC1F4B" w14:textId="77777777" w:rsidR="007C7FEE" w:rsidRDefault="00000000">
      <w:pPr>
        <w:pStyle w:val="ListBullet"/>
        <w:spacing w:after="40"/>
      </w:pPr>
      <w:r>
        <w:rPr>
          <w:rFonts w:ascii="Calibri" w:hAnsi="Calibri"/>
          <w:color w:val="4A4A4A"/>
          <w:sz w:val="19"/>
        </w:rPr>
        <w:lastRenderedPageBreak/>
        <w:t>Malware-Specific Hardware &amp; Diagnostic Software: Targeted threat detection utilities.</w:t>
      </w:r>
    </w:p>
    <w:p w14:paraId="45095DFB" w14:textId="77777777" w:rsidR="007C7FEE" w:rsidRDefault="00000000">
      <w:pPr>
        <w:pStyle w:val="ListBullet"/>
        <w:spacing w:after="40"/>
      </w:pPr>
      <w:r>
        <w:rPr>
          <w:rFonts w:ascii="Calibri" w:hAnsi="Calibri"/>
          <w:color w:val="4A4A4A"/>
          <w:sz w:val="19"/>
        </w:rPr>
        <w:t>Enterprise Scaled Anti-Malware System (&gt;100 Systems): Upgraded multi-node deployment.</w:t>
      </w:r>
    </w:p>
    <w:p w14:paraId="136748F1" w14:textId="77777777" w:rsidR="007C7FEE" w:rsidRDefault="00000000">
      <w:pPr>
        <w:pStyle w:val="ListBullet"/>
        <w:spacing w:after="40"/>
      </w:pPr>
      <w:r>
        <w:rPr>
          <w:rFonts w:ascii="Calibri" w:hAnsi="Calibri"/>
          <w:color w:val="4A4A4A"/>
          <w:sz w:val="19"/>
        </w:rPr>
        <w:t>Cross-Functional Collaboration Protocol: Unified coordination across Fast Attack, Network, and Firewall units.</w:t>
      </w:r>
    </w:p>
    <w:p w14:paraId="7C660875" w14:textId="77777777" w:rsidR="007C7FEE" w:rsidRDefault="00000000">
      <w:pPr>
        <w:spacing w:before="40" w:after="160"/>
      </w:pPr>
      <w:r>
        <w:rPr>
          <w:rFonts w:ascii="Calibri" w:hAnsi="Calibri"/>
          <w:b/>
          <w:color w:val="4A4A4A"/>
          <w:sz w:val="20"/>
        </w:rPr>
        <w:t xml:space="preserve">Information Tracked Metric: </w:t>
      </w:r>
      <w:r>
        <w:rPr>
          <w:rFonts w:ascii="Calibri" w:hAnsi="Calibri"/>
          <w:color w:val="4A4A4A"/>
          <w:sz w:val="20"/>
        </w:rPr>
        <w:t>8 Implemented Preventative Measures documented across organizational and technical tiers.</w:t>
      </w:r>
    </w:p>
    <w:p w14:paraId="715F7892" w14:textId="77777777" w:rsidR="007C7FEE" w:rsidRDefault="00000000">
      <w:pPr>
        <w:pStyle w:val="Heading2"/>
        <w:spacing w:before="240" w:after="60"/>
      </w:pPr>
      <w:r>
        <w:rPr>
          <w:rFonts w:ascii="Calibri" w:hAnsi="Calibri"/>
          <w:color w:val="4A4A4A"/>
          <w:sz w:val="23"/>
        </w:rPr>
        <w:t>KPI 2: Implementation Duration</w:t>
      </w:r>
    </w:p>
    <w:p w14:paraId="76A173D8" w14:textId="77777777" w:rsidR="007C7FEE" w:rsidRDefault="00000000">
      <w:pPr>
        <w:spacing w:after="60"/>
      </w:pPr>
      <w:r>
        <w:rPr>
          <w:rFonts w:ascii="Calibri" w:hAnsi="Calibri"/>
          <w:b/>
          <w:color w:val="4A4A4A"/>
          <w:sz w:val="20"/>
        </w:rPr>
        <w:t xml:space="preserve">ITSM Definition: </w:t>
      </w:r>
      <w:r>
        <w:rPr>
          <w:rFonts w:ascii="Calibri" w:hAnsi="Calibri"/>
          <w:color w:val="4A4A4A"/>
          <w:sz w:val="20"/>
        </w:rPr>
        <w:t>Tracks the elapsed time between the point a justified security concern is identified and the point in time when an effective resolution is placed (IT2312 Handout 04).</w:t>
      </w:r>
    </w:p>
    <w:p w14:paraId="2AE61A95" w14:textId="77777777" w:rsidR="007C7FEE" w:rsidRDefault="00000000">
      <w:pPr>
        <w:spacing w:after="40"/>
      </w:pPr>
      <w:r>
        <w:rPr>
          <w:rFonts w:ascii="Calibri" w:hAnsi="Calibri"/>
          <w:b/>
          <w:color w:val="4A4A4A"/>
          <w:sz w:val="20"/>
        </w:rPr>
        <w:t>Case Study Findings &amp; Evidence:</w:t>
      </w:r>
    </w:p>
    <w:p w14:paraId="58969C5F" w14:textId="77777777" w:rsidR="007C7FEE" w:rsidRDefault="00000000">
      <w:pPr>
        <w:pStyle w:val="ListBullet"/>
        <w:spacing w:after="40"/>
      </w:pPr>
      <w:r>
        <w:rPr>
          <w:rFonts w:ascii="Calibri" w:hAnsi="Calibri"/>
          <w:color w:val="4A4A4A"/>
          <w:sz w:val="19"/>
        </w:rPr>
        <w:t>Identification Timestamp: 1:00 PM (Fast Attack formally diagnosed spyware attack and pinpointed affected server).</w:t>
      </w:r>
    </w:p>
    <w:p w14:paraId="24F9C4FA" w14:textId="77777777" w:rsidR="007C7FEE" w:rsidRDefault="00000000">
      <w:pPr>
        <w:pStyle w:val="ListBullet"/>
        <w:spacing w:after="40"/>
      </w:pPr>
      <w:r>
        <w:rPr>
          <w:rFonts w:ascii="Calibri" w:hAnsi="Calibri"/>
          <w:color w:val="4A4A4A"/>
          <w:sz w:val="19"/>
        </w:rPr>
        <w:t>Resolution Timestamp: 4:00 PM (Server wiped, threat eradicated, full operations restored).</w:t>
      </w:r>
    </w:p>
    <w:p w14:paraId="1D0663D8" w14:textId="77777777" w:rsidR="007C7FEE" w:rsidRDefault="00000000">
      <w:pPr>
        <w:pStyle w:val="ListBullet"/>
        <w:spacing w:after="40"/>
      </w:pPr>
      <w:r>
        <w:rPr>
          <w:rFonts w:ascii="Calibri" w:hAnsi="Calibri"/>
          <w:color w:val="4A4A4A"/>
          <w:sz w:val="19"/>
        </w:rPr>
        <w:t>Active Implementation Duration: Exactly 3.0 Hours.</w:t>
      </w:r>
    </w:p>
    <w:p w14:paraId="193111B7" w14:textId="77777777" w:rsidR="007C7FEE" w:rsidRDefault="00000000">
      <w:pPr>
        <w:pStyle w:val="ListBullet"/>
        <w:spacing w:after="40"/>
      </w:pPr>
      <w:r>
        <w:rPr>
          <w:rFonts w:ascii="Calibri" w:hAnsi="Calibri"/>
          <w:color w:val="4A4A4A"/>
          <w:sz w:val="19"/>
        </w:rPr>
        <w:t>Overall Incident Lifecycle Duration: 6.0 Hours (Initial agent reports at 10:00 AM to complete resolution at 4:00 PM).</w:t>
      </w:r>
    </w:p>
    <w:p w14:paraId="0A814E75" w14:textId="77777777" w:rsidR="007C7FEE" w:rsidRDefault="00000000">
      <w:pPr>
        <w:spacing w:before="40" w:after="160"/>
      </w:pPr>
      <w:r>
        <w:rPr>
          <w:rFonts w:ascii="Calibri" w:hAnsi="Calibri"/>
          <w:b/>
          <w:color w:val="4A4A4A"/>
          <w:sz w:val="20"/>
        </w:rPr>
        <w:t xml:space="preserve">Information Tracked Metric: </w:t>
      </w:r>
      <w:r>
        <w:rPr>
          <w:rFonts w:ascii="Calibri" w:hAnsi="Calibri"/>
          <w:color w:val="4A4A4A"/>
          <w:sz w:val="20"/>
        </w:rPr>
        <w:t>3.0 Hours Active Implementation Duration (and 6.0 Hours Total Incident Lifecycle Duration).</w:t>
      </w:r>
    </w:p>
    <w:p w14:paraId="1DABA217" w14:textId="77777777" w:rsidR="007C7FEE" w:rsidRDefault="00000000">
      <w:pPr>
        <w:pStyle w:val="Heading2"/>
        <w:spacing w:before="240" w:after="60"/>
      </w:pPr>
      <w:r>
        <w:rPr>
          <w:rFonts w:ascii="Calibri" w:hAnsi="Calibri"/>
          <w:color w:val="4A4A4A"/>
          <w:sz w:val="23"/>
        </w:rPr>
        <w:t>KPI 3: Number of High-Risk Security Incidents</w:t>
      </w:r>
    </w:p>
    <w:p w14:paraId="5C76200D" w14:textId="77777777" w:rsidR="007C7FEE" w:rsidRDefault="00000000">
      <w:pPr>
        <w:spacing w:after="60"/>
      </w:pPr>
      <w:r>
        <w:rPr>
          <w:rFonts w:ascii="Calibri" w:hAnsi="Calibri"/>
          <w:b/>
          <w:color w:val="4A4A4A"/>
          <w:sz w:val="20"/>
        </w:rPr>
        <w:t xml:space="preserve">ITSM Definition: </w:t>
      </w:r>
      <w:r>
        <w:rPr>
          <w:rFonts w:ascii="Calibri" w:hAnsi="Calibri"/>
          <w:color w:val="4A4A4A"/>
          <w:sz w:val="20"/>
        </w:rPr>
        <w:t>Tracks the number of security incidents categorized with specific severity levels to prioritize major threats that jeopardize core organizational operations over routine desktop errors (IT2312 Handout 04).</w:t>
      </w:r>
    </w:p>
    <w:p w14:paraId="3AB86871" w14:textId="77777777" w:rsidR="007C7FEE" w:rsidRDefault="00000000">
      <w:pPr>
        <w:spacing w:after="40"/>
      </w:pPr>
      <w:r>
        <w:rPr>
          <w:rFonts w:ascii="Calibri" w:hAnsi="Calibri"/>
          <w:b/>
          <w:color w:val="4A4A4A"/>
          <w:sz w:val="20"/>
        </w:rPr>
        <w:t>Case Study Findings &amp; Evidence:</w:t>
      </w:r>
    </w:p>
    <w:p w14:paraId="4F8B8919" w14:textId="77777777" w:rsidR="007C7FEE" w:rsidRDefault="00000000">
      <w:pPr>
        <w:pStyle w:val="ListBullet"/>
        <w:spacing w:after="40"/>
      </w:pPr>
      <w:r>
        <w:rPr>
          <w:rFonts w:ascii="Calibri" w:hAnsi="Calibri"/>
          <w:color w:val="4A4A4A"/>
          <w:sz w:val="19"/>
        </w:rPr>
        <w:t>Classification: 1 High-Risk Security Incident (Critical Severity).</w:t>
      </w:r>
    </w:p>
    <w:p w14:paraId="371759F3" w14:textId="77777777" w:rsidR="007C7FEE" w:rsidRDefault="00000000">
      <w:pPr>
        <w:pStyle w:val="ListBullet"/>
        <w:spacing w:after="40"/>
      </w:pPr>
      <w:r>
        <w:rPr>
          <w:rFonts w:ascii="Calibri" w:hAnsi="Calibri"/>
          <w:color w:val="4A4A4A"/>
          <w:sz w:val="19"/>
        </w:rPr>
        <w:t>Threat Indicators Tracked: Compromised and locked agent credentials, arbitrary keystroke injections (keylogging), unauthorized browsing behavior, and multiple frozen client support nodes.</w:t>
      </w:r>
    </w:p>
    <w:p w14:paraId="15E29F43" w14:textId="77777777" w:rsidR="007C7FEE" w:rsidRDefault="00000000">
      <w:pPr>
        <w:pStyle w:val="ListBullet"/>
        <w:spacing w:after="40"/>
      </w:pPr>
      <w:r>
        <w:rPr>
          <w:rFonts w:ascii="Calibri" w:hAnsi="Calibri"/>
          <w:color w:val="4A4A4A"/>
          <w:sz w:val="19"/>
        </w:rPr>
        <w:t>Scope: 20 agent support workstations and 1 mission-critical internal server.</w:t>
      </w:r>
    </w:p>
    <w:p w14:paraId="32049AF7" w14:textId="77777777" w:rsidR="007C7FEE" w:rsidRDefault="00000000">
      <w:pPr>
        <w:spacing w:before="40" w:after="160"/>
      </w:pPr>
      <w:r>
        <w:rPr>
          <w:rFonts w:ascii="Calibri" w:hAnsi="Calibri"/>
          <w:b/>
          <w:color w:val="4A4A4A"/>
          <w:sz w:val="20"/>
        </w:rPr>
        <w:t xml:space="preserve">Information Tracked Metric: </w:t>
      </w:r>
      <w:r>
        <w:rPr>
          <w:rFonts w:ascii="Calibri" w:hAnsi="Calibri"/>
          <w:color w:val="4A4A4A"/>
          <w:sz w:val="20"/>
        </w:rPr>
        <w:t>1 High-Risk Security Incident (with 4 critical threat symptom markers documented).</w:t>
      </w:r>
    </w:p>
    <w:p w14:paraId="75B9D676" w14:textId="77777777" w:rsidR="007C7FEE" w:rsidRDefault="00000000">
      <w:pPr>
        <w:pStyle w:val="Heading2"/>
        <w:spacing w:before="240" w:after="60"/>
      </w:pPr>
      <w:r>
        <w:rPr>
          <w:rFonts w:ascii="Calibri" w:hAnsi="Calibri"/>
          <w:color w:val="4A4A4A"/>
          <w:sz w:val="23"/>
        </w:rPr>
        <w:t>KPI 4: Number of Security-Related Downtimes</w:t>
      </w:r>
    </w:p>
    <w:p w14:paraId="756559CF" w14:textId="77777777" w:rsidR="007C7FEE" w:rsidRDefault="00000000">
      <w:pPr>
        <w:spacing w:after="60"/>
      </w:pPr>
      <w:r>
        <w:rPr>
          <w:rFonts w:ascii="Calibri" w:hAnsi="Calibri"/>
          <w:b/>
          <w:color w:val="4A4A4A"/>
          <w:sz w:val="20"/>
        </w:rPr>
        <w:t xml:space="preserve">ITSM Definition: </w:t>
      </w:r>
      <w:r>
        <w:rPr>
          <w:rFonts w:ascii="Calibri" w:hAnsi="Calibri"/>
          <w:color w:val="4A4A4A"/>
          <w:sz w:val="20"/>
        </w:rPr>
        <w:t>Tracks downtime events preventing service from being delivered to customers due to security concerns, capturing cause, affected operations, duration time, and resolution (IT2312 Handout 04).</w:t>
      </w:r>
    </w:p>
    <w:p w14:paraId="4C335E99" w14:textId="77777777" w:rsidR="007C7FEE" w:rsidRDefault="00000000">
      <w:pPr>
        <w:spacing w:after="40"/>
      </w:pPr>
      <w:r>
        <w:rPr>
          <w:rFonts w:ascii="Calibri" w:hAnsi="Calibri"/>
          <w:b/>
          <w:color w:val="4A4A4A"/>
          <w:sz w:val="20"/>
        </w:rPr>
        <w:t>Case Study Findings &amp; Evidence:</w:t>
      </w:r>
    </w:p>
    <w:p w14:paraId="69C0EBEC" w14:textId="77777777" w:rsidR="007C7FEE" w:rsidRDefault="00000000">
      <w:pPr>
        <w:pStyle w:val="ListBullet"/>
        <w:spacing w:after="40"/>
      </w:pPr>
      <w:r>
        <w:rPr>
          <w:rFonts w:ascii="Calibri" w:hAnsi="Calibri"/>
          <w:color w:val="4A4A4A"/>
          <w:sz w:val="19"/>
        </w:rPr>
        <w:t>Downtime Events: 1 Major Security-Related Downtime Event.</w:t>
      </w:r>
    </w:p>
    <w:p w14:paraId="29279C7F" w14:textId="77777777" w:rsidR="007C7FEE" w:rsidRDefault="00000000">
      <w:pPr>
        <w:pStyle w:val="ListBullet"/>
        <w:spacing w:after="40"/>
      </w:pPr>
      <w:r>
        <w:rPr>
          <w:rFonts w:ascii="Calibri" w:hAnsi="Calibri"/>
          <w:color w:val="4A4A4A"/>
          <w:sz w:val="19"/>
        </w:rPr>
        <w:t>Affected Operations: 20 BPO chat and voice support agents across diverse customer ISP accounts.</w:t>
      </w:r>
    </w:p>
    <w:p w14:paraId="6FAB6CDB" w14:textId="77777777" w:rsidR="007C7FEE" w:rsidRDefault="00000000">
      <w:pPr>
        <w:pStyle w:val="ListBullet"/>
        <w:spacing w:after="40"/>
      </w:pPr>
      <w:r>
        <w:rPr>
          <w:rFonts w:ascii="Calibri" w:hAnsi="Calibri"/>
          <w:color w:val="4A4A4A"/>
          <w:sz w:val="19"/>
        </w:rPr>
        <w:t>Duration Time: 6 hours total operational impairment (10:00 AM - 4:00 PM), yielding ~120 agent-hours of lost customer service availability.</w:t>
      </w:r>
    </w:p>
    <w:p w14:paraId="1E7BFAA8" w14:textId="77777777" w:rsidR="007C7FEE" w:rsidRDefault="00000000">
      <w:pPr>
        <w:pStyle w:val="ListBullet"/>
        <w:spacing w:after="40"/>
      </w:pPr>
      <w:r>
        <w:rPr>
          <w:rFonts w:ascii="Calibri" w:hAnsi="Calibri"/>
          <w:color w:val="4A4A4A"/>
          <w:sz w:val="19"/>
        </w:rPr>
        <w:t>Root Cause: Server-borne spyware attack.</w:t>
      </w:r>
    </w:p>
    <w:p w14:paraId="154BC47E" w14:textId="77777777" w:rsidR="007C7FEE" w:rsidRDefault="00000000">
      <w:pPr>
        <w:pStyle w:val="ListBullet"/>
        <w:spacing w:after="40"/>
      </w:pPr>
      <w:r>
        <w:rPr>
          <w:rFonts w:ascii="Calibri" w:hAnsi="Calibri"/>
          <w:color w:val="4A4A4A"/>
          <w:sz w:val="19"/>
        </w:rPr>
        <w:t>Resolution: Collaborative eradication using enterprise &gt;100-node disinfection system.</w:t>
      </w:r>
    </w:p>
    <w:p w14:paraId="16BDD7DD" w14:textId="77777777" w:rsidR="007C7FEE" w:rsidRDefault="00000000">
      <w:pPr>
        <w:spacing w:before="40" w:after="160"/>
      </w:pPr>
      <w:r>
        <w:rPr>
          <w:rFonts w:ascii="Calibri" w:hAnsi="Calibri"/>
          <w:b/>
          <w:color w:val="4A4A4A"/>
          <w:sz w:val="20"/>
        </w:rPr>
        <w:t xml:space="preserve">Information Tracked Metric: </w:t>
      </w:r>
      <w:r>
        <w:rPr>
          <w:rFonts w:ascii="Calibri" w:hAnsi="Calibri"/>
          <w:color w:val="4A4A4A"/>
          <w:sz w:val="20"/>
        </w:rPr>
        <w:t>1 Downtime Event (capturing all 4 mandatory ITSM reporting parameters: cause, operations, duration, resolution).</w:t>
      </w:r>
    </w:p>
    <w:p w14:paraId="0C0EF4B5" w14:textId="77777777" w:rsidR="007C7FEE" w:rsidRDefault="00000000">
      <w:pPr>
        <w:pStyle w:val="Heading2"/>
        <w:spacing w:before="240" w:after="60"/>
      </w:pPr>
      <w:r>
        <w:rPr>
          <w:rFonts w:ascii="Calibri" w:hAnsi="Calibri"/>
          <w:color w:val="4A4A4A"/>
          <w:sz w:val="23"/>
        </w:rPr>
        <w:lastRenderedPageBreak/>
        <w:t>KPI 5: Number of Security Tests</w:t>
      </w:r>
    </w:p>
    <w:p w14:paraId="34CE78CE" w14:textId="77777777" w:rsidR="007C7FEE" w:rsidRDefault="00000000">
      <w:pPr>
        <w:spacing w:after="60"/>
      </w:pPr>
      <w:r>
        <w:rPr>
          <w:rFonts w:ascii="Calibri" w:hAnsi="Calibri"/>
          <w:b/>
          <w:color w:val="4A4A4A"/>
          <w:sz w:val="20"/>
        </w:rPr>
        <w:t xml:space="preserve">ITSM Definition: </w:t>
      </w:r>
      <w:r>
        <w:rPr>
          <w:rFonts w:ascii="Calibri" w:hAnsi="Calibri"/>
          <w:color w:val="4A4A4A"/>
          <w:sz w:val="20"/>
        </w:rPr>
        <w:t>Measures proactive steps taken to audit existing data security and uncover vulnerabilities before external exploitation occurs, including white-hat simulations and trials (IT2312 Handout 04).</w:t>
      </w:r>
    </w:p>
    <w:p w14:paraId="6FFD4163" w14:textId="77777777" w:rsidR="007C7FEE" w:rsidRDefault="00000000">
      <w:pPr>
        <w:spacing w:after="40"/>
      </w:pPr>
      <w:r>
        <w:rPr>
          <w:rFonts w:ascii="Calibri" w:hAnsi="Calibri"/>
          <w:b/>
          <w:color w:val="4A4A4A"/>
          <w:sz w:val="20"/>
        </w:rPr>
        <w:t>Case Study Findings &amp; Evidence:</w:t>
      </w:r>
    </w:p>
    <w:p w14:paraId="61C268E6" w14:textId="77777777" w:rsidR="007C7FEE" w:rsidRDefault="00000000">
      <w:pPr>
        <w:pStyle w:val="ListBullet"/>
        <w:spacing w:after="40"/>
      </w:pPr>
      <w:r>
        <w:rPr>
          <w:rFonts w:ascii="Calibri" w:hAnsi="Calibri"/>
          <w:color w:val="4A4A4A"/>
          <w:sz w:val="19"/>
        </w:rPr>
        <w:t>Security Test 1: Pilot assessment conducted on five (5) computer terminals (successful performance).</w:t>
      </w:r>
    </w:p>
    <w:p w14:paraId="7A3F3C28" w14:textId="77777777" w:rsidR="007C7FEE" w:rsidRDefault="00000000">
      <w:pPr>
        <w:pStyle w:val="ListBullet"/>
        <w:spacing w:after="40"/>
      </w:pPr>
      <w:r>
        <w:rPr>
          <w:rFonts w:ascii="Calibri" w:hAnsi="Calibri"/>
          <w:color w:val="4A4A4A"/>
          <w:sz w:val="19"/>
        </w:rPr>
        <w:t>Security Test 2: Stress-test assessment conducted on twenty (20) computer terminals (uncovered performance bottlenecks).</w:t>
      </w:r>
    </w:p>
    <w:p w14:paraId="66F3CD5B" w14:textId="77777777" w:rsidR="007C7FEE" w:rsidRDefault="00000000">
      <w:pPr>
        <w:spacing w:before="40" w:after="160"/>
      </w:pPr>
      <w:r>
        <w:rPr>
          <w:rFonts w:ascii="Calibri" w:hAnsi="Calibri"/>
          <w:b/>
          <w:color w:val="4A4A4A"/>
          <w:sz w:val="20"/>
        </w:rPr>
        <w:t xml:space="preserve">Information Tracked Metric: </w:t>
      </w:r>
      <w:r>
        <w:rPr>
          <w:rFonts w:ascii="Calibri" w:hAnsi="Calibri"/>
          <w:color w:val="4A4A4A"/>
          <w:sz w:val="20"/>
        </w:rPr>
        <w:t>2 Proactive Security Tests executed by the Fast Attack team.</w:t>
      </w:r>
    </w:p>
    <w:p w14:paraId="3219FB98" w14:textId="77777777" w:rsidR="007C7FEE" w:rsidRDefault="00000000">
      <w:pPr>
        <w:pStyle w:val="Heading2"/>
        <w:spacing w:before="240" w:after="60"/>
      </w:pPr>
      <w:r>
        <w:rPr>
          <w:rFonts w:ascii="Calibri" w:hAnsi="Calibri"/>
          <w:color w:val="4A4A4A"/>
          <w:sz w:val="23"/>
        </w:rPr>
        <w:t>KPI 6: Number of Identified Shortcomings During Security Tests</w:t>
      </w:r>
    </w:p>
    <w:p w14:paraId="29D5C066" w14:textId="77777777" w:rsidR="007C7FEE" w:rsidRDefault="00000000">
      <w:pPr>
        <w:spacing w:after="60"/>
      </w:pPr>
      <w:r>
        <w:rPr>
          <w:rFonts w:ascii="Calibri" w:hAnsi="Calibri"/>
          <w:b/>
          <w:color w:val="4A4A4A"/>
          <w:sz w:val="20"/>
        </w:rPr>
        <w:t xml:space="preserve">ITSM Definition: </w:t>
      </w:r>
      <w:r>
        <w:rPr>
          <w:rFonts w:ascii="Calibri" w:hAnsi="Calibri"/>
          <w:color w:val="4A4A4A"/>
          <w:sz w:val="20"/>
        </w:rPr>
        <w:t>Plots measurements from KPI 5 against vulnerabilities and deficiencies observed during testing to categorize and remediate security weaknesses (IT2312 Handout 04).</w:t>
      </w:r>
    </w:p>
    <w:p w14:paraId="0842DC27" w14:textId="77777777" w:rsidR="007C7FEE" w:rsidRDefault="00000000">
      <w:pPr>
        <w:spacing w:after="40"/>
      </w:pPr>
      <w:r>
        <w:rPr>
          <w:rFonts w:ascii="Calibri" w:hAnsi="Calibri"/>
          <w:b/>
          <w:color w:val="4A4A4A"/>
          <w:sz w:val="20"/>
        </w:rPr>
        <w:t>Case Study Findings &amp; Evidence:</w:t>
      </w:r>
    </w:p>
    <w:p w14:paraId="08048882" w14:textId="77777777" w:rsidR="007C7FEE" w:rsidRDefault="00000000">
      <w:pPr>
        <w:pStyle w:val="ListBullet"/>
        <w:spacing w:after="40"/>
      </w:pPr>
      <w:r>
        <w:rPr>
          <w:rFonts w:ascii="Calibri" w:hAnsi="Calibri"/>
          <w:color w:val="4A4A4A"/>
          <w:sz w:val="19"/>
        </w:rPr>
        <w:t>Shortcoming 1 (Resolution Latency): Delays in the effectiveness and responsiveness of the malware resolution.</w:t>
      </w:r>
    </w:p>
    <w:p w14:paraId="30F58984" w14:textId="77777777" w:rsidR="007C7FEE" w:rsidRDefault="00000000">
      <w:pPr>
        <w:pStyle w:val="ListBullet"/>
        <w:spacing w:after="40"/>
      </w:pPr>
      <w:r>
        <w:rPr>
          <w:rFonts w:ascii="Calibri" w:hAnsi="Calibri"/>
          <w:color w:val="4A4A4A"/>
          <w:sz w:val="19"/>
        </w:rPr>
        <w:t>Shortcoming 2 (Throughput Degradation): Slower remediation progress under concurrent multi-terminal load.</w:t>
      </w:r>
    </w:p>
    <w:p w14:paraId="56A95FD3" w14:textId="77777777" w:rsidR="007C7FEE" w:rsidRDefault="00000000">
      <w:pPr>
        <w:pStyle w:val="ListBullet"/>
        <w:spacing w:after="40"/>
      </w:pPr>
      <w:r>
        <w:rPr>
          <w:rFonts w:ascii="Calibri" w:hAnsi="Calibri"/>
          <w:color w:val="4A4A4A"/>
          <w:sz w:val="19"/>
        </w:rPr>
        <w:t>Shortcoming 3 (Data Integrity Failure): Complete corruption of local files during automated remediation routines.</w:t>
      </w:r>
    </w:p>
    <w:p w14:paraId="3ACDF772" w14:textId="77777777" w:rsidR="007C7FEE" w:rsidRDefault="00000000">
      <w:pPr>
        <w:spacing w:before="40" w:after="160"/>
      </w:pPr>
      <w:r>
        <w:rPr>
          <w:rFonts w:ascii="Calibri" w:hAnsi="Calibri"/>
          <w:b/>
          <w:color w:val="4A4A4A"/>
          <w:sz w:val="20"/>
        </w:rPr>
        <w:t xml:space="preserve">Information Tracked Metric: </w:t>
      </w:r>
      <w:r>
        <w:rPr>
          <w:rFonts w:ascii="Calibri" w:hAnsi="Calibri"/>
          <w:color w:val="4A4A4A"/>
          <w:sz w:val="20"/>
        </w:rPr>
        <w:t>3 Identified Shortcomings systematically categorized during the 20-terminal stress test.</w:t>
      </w:r>
    </w:p>
    <w:p w14:paraId="0A9AA96F" w14:textId="77777777" w:rsidR="007C7FEE" w:rsidRDefault="00000000">
      <w:pPr>
        <w:pStyle w:val="Heading1"/>
        <w:spacing w:before="320" w:after="120"/>
      </w:pPr>
      <w:r>
        <w:rPr>
          <w:rFonts w:ascii="Calibri" w:hAnsi="Calibri"/>
          <w:color w:val="4A4A4A"/>
          <w:sz w:val="27"/>
        </w:rPr>
        <w:t>3. Synthesis Data Table of Tracked Security KPIs</w:t>
      </w:r>
    </w:p>
    <w:p w14:paraId="6A62B2B5" w14:textId="77777777" w:rsidR="007C7FEE" w:rsidRDefault="00000000">
      <w:pPr>
        <w:spacing w:after="120"/>
      </w:pPr>
      <w:r>
        <w:rPr>
          <w:rFonts w:ascii="Calibri" w:hAnsi="Calibri"/>
          <w:color w:val="4A4A4A"/>
          <w:sz w:val="20"/>
        </w:rPr>
        <w:t>Structured comparison of official metrics, tracked data points, and operational impacts: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2592"/>
        <w:gridCol w:w="1584"/>
        <w:gridCol w:w="1872"/>
        <w:gridCol w:w="2016"/>
      </w:tblGrid>
      <w:tr w:rsidR="007C7FEE" w14:paraId="42FDC595" w14:textId="77777777">
        <w:trPr>
          <w:jc w:val="center"/>
        </w:trPr>
        <w:tc>
          <w:tcPr>
            <w:tcW w:w="1296" w:type="dxa"/>
            <w:tcBorders>
              <w:bottom w:val="single" w:sz="12" w:space="0" w:color="4A4A4A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76EAA1C" w14:textId="77777777" w:rsidR="007C7FEE" w:rsidRDefault="00000000">
            <w:pPr>
              <w:jc w:val="center"/>
            </w:pPr>
            <w:r>
              <w:rPr>
                <w:rFonts w:ascii="Calibri" w:hAnsi="Calibri"/>
                <w:b/>
                <w:color w:val="4A4A4A"/>
                <w:sz w:val="19"/>
              </w:rPr>
              <w:t>KPI Code</w:t>
            </w:r>
          </w:p>
        </w:tc>
        <w:tc>
          <w:tcPr>
            <w:tcW w:w="2592" w:type="dxa"/>
            <w:tcBorders>
              <w:bottom w:val="single" w:sz="12" w:space="0" w:color="4A4A4A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B80E4A4" w14:textId="77777777" w:rsidR="007C7FEE" w:rsidRDefault="00000000">
            <w:r>
              <w:rPr>
                <w:rFonts w:ascii="Calibri" w:hAnsi="Calibri"/>
                <w:b/>
                <w:color w:val="4A4A4A"/>
                <w:sz w:val="19"/>
              </w:rPr>
              <w:t>Security KPI Name</w:t>
            </w:r>
          </w:p>
        </w:tc>
        <w:tc>
          <w:tcPr>
            <w:tcW w:w="1584" w:type="dxa"/>
            <w:tcBorders>
              <w:bottom w:val="single" w:sz="12" w:space="0" w:color="4A4A4A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AD033B5" w14:textId="77777777" w:rsidR="007C7FEE" w:rsidRDefault="00000000">
            <w:pPr>
              <w:jc w:val="center"/>
            </w:pPr>
            <w:r>
              <w:rPr>
                <w:rFonts w:ascii="Calibri" w:hAnsi="Calibri"/>
                <w:b/>
                <w:color w:val="4A4A4A"/>
                <w:sz w:val="19"/>
              </w:rPr>
              <w:t>Tracked Value</w:t>
            </w:r>
          </w:p>
        </w:tc>
        <w:tc>
          <w:tcPr>
            <w:tcW w:w="1872" w:type="dxa"/>
            <w:tcBorders>
              <w:bottom w:val="single" w:sz="12" w:space="0" w:color="4A4A4A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05C6F35" w14:textId="77777777" w:rsidR="007C7FEE" w:rsidRDefault="00000000">
            <w:r>
              <w:rPr>
                <w:rFonts w:ascii="Calibri" w:hAnsi="Calibri"/>
                <w:b/>
                <w:color w:val="4A4A4A"/>
                <w:sz w:val="19"/>
              </w:rPr>
              <w:t>ITSM Target Focus</w:t>
            </w:r>
          </w:p>
        </w:tc>
        <w:tc>
          <w:tcPr>
            <w:tcW w:w="2016" w:type="dxa"/>
            <w:tcBorders>
              <w:bottom w:val="single" w:sz="12" w:space="0" w:color="4A4A4A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52336E5" w14:textId="77777777" w:rsidR="007C7FEE" w:rsidRDefault="00000000">
            <w:r>
              <w:rPr>
                <w:rFonts w:ascii="Calibri" w:hAnsi="Calibri"/>
                <w:b/>
                <w:color w:val="4A4A4A"/>
                <w:sz w:val="19"/>
              </w:rPr>
              <w:t>Operational Impact</w:t>
            </w:r>
          </w:p>
        </w:tc>
      </w:tr>
      <w:tr w:rsidR="007C7FEE" w14:paraId="1D5FA2ED" w14:textId="77777777">
        <w:trPr>
          <w:jc w:val="center"/>
        </w:trPr>
        <w:tc>
          <w:tcPr>
            <w:tcW w:w="1296" w:type="dxa"/>
            <w:tcBorders>
              <w:bottom w:val="single" w:sz="4" w:space="0" w:color="EEEEE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1CF88" w14:textId="77777777" w:rsidR="007C7FEE" w:rsidRDefault="00000000">
            <w:pPr>
              <w:jc w:val="center"/>
            </w:pPr>
            <w:r>
              <w:rPr>
                <w:rFonts w:ascii="Calibri" w:hAnsi="Calibri"/>
                <w:b/>
                <w:color w:val="4A4A4A"/>
                <w:sz w:val="18"/>
              </w:rPr>
              <w:t>KPI 1</w:t>
            </w:r>
          </w:p>
        </w:tc>
        <w:tc>
          <w:tcPr>
            <w:tcW w:w="2592" w:type="dxa"/>
            <w:tcBorders>
              <w:bottom w:val="single" w:sz="4" w:space="0" w:color="EEEEE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34530" w14:textId="77777777" w:rsidR="007C7FEE" w:rsidRDefault="00000000">
            <w:r>
              <w:rPr>
                <w:rFonts w:ascii="Calibri" w:hAnsi="Calibri"/>
                <w:color w:val="4A4A4A"/>
                <w:sz w:val="18"/>
              </w:rPr>
              <w:t>Implemented Preventative Measures</w:t>
            </w:r>
          </w:p>
        </w:tc>
        <w:tc>
          <w:tcPr>
            <w:tcW w:w="1584" w:type="dxa"/>
            <w:tcBorders>
              <w:bottom w:val="single" w:sz="4" w:space="0" w:color="EEEEE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1FF6D" w14:textId="77777777" w:rsidR="007C7FEE" w:rsidRDefault="00000000">
            <w:pPr>
              <w:jc w:val="center"/>
            </w:pPr>
            <w:r>
              <w:rPr>
                <w:rFonts w:ascii="Calibri" w:hAnsi="Calibri"/>
                <w:b/>
                <w:color w:val="4A4A4A"/>
                <w:sz w:val="18"/>
              </w:rPr>
              <w:t>8 Measures</w:t>
            </w:r>
          </w:p>
        </w:tc>
        <w:tc>
          <w:tcPr>
            <w:tcW w:w="1872" w:type="dxa"/>
            <w:tcBorders>
              <w:bottom w:val="single" w:sz="4" w:space="0" w:color="EEEEE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0F342" w14:textId="77777777" w:rsidR="007C7FEE" w:rsidRDefault="00000000">
            <w:r>
              <w:rPr>
                <w:rFonts w:ascii="Calibri" w:hAnsi="Calibri"/>
                <w:color w:val="4A4A4A"/>
                <w:sz w:val="18"/>
              </w:rPr>
              <w:t>Defense-in-depth controls</w:t>
            </w:r>
          </w:p>
        </w:tc>
        <w:tc>
          <w:tcPr>
            <w:tcW w:w="2016" w:type="dxa"/>
            <w:tcBorders>
              <w:bottom w:val="single" w:sz="4" w:space="0" w:color="EEEEE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0EBB6" w14:textId="77777777" w:rsidR="007C7FEE" w:rsidRDefault="00000000">
            <w:r>
              <w:rPr>
                <w:rFonts w:ascii="Calibri" w:hAnsi="Calibri"/>
                <w:color w:val="4A4A4A"/>
                <w:sz w:val="18"/>
              </w:rPr>
              <w:t>Multi-layered defense across network, endpoint, and server tiers</w:t>
            </w:r>
          </w:p>
        </w:tc>
      </w:tr>
      <w:tr w:rsidR="007C7FEE" w14:paraId="687DAB9F" w14:textId="77777777">
        <w:trPr>
          <w:jc w:val="center"/>
        </w:trPr>
        <w:tc>
          <w:tcPr>
            <w:tcW w:w="1296" w:type="dxa"/>
            <w:tcBorders>
              <w:bottom w:val="single" w:sz="4" w:space="0" w:color="EEEEE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A10AC" w14:textId="77777777" w:rsidR="007C7FEE" w:rsidRDefault="00000000">
            <w:pPr>
              <w:jc w:val="center"/>
            </w:pPr>
            <w:r>
              <w:rPr>
                <w:rFonts w:ascii="Calibri" w:hAnsi="Calibri"/>
                <w:b/>
                <w:color w:val="4A4A4A"/>
                <w:sz w:val="18"/>
              </w:rPr>
              <w:t>KPI 2</w:t>
            </w:r>
          </w:p>
        </w:tc>
        <w:tc>
          <w:tcPr>
            <w:tcW w:w="2592" w:type="dxa"/>
            <w:tcBorders>
              <w:bottom w:val="single" w:sz="4" w:space="0" w:color="EEEEE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E87A1" w14:textId="77777777" w:rsidR="007C7FEE" w:rsidRDefault="00000000">
            <w:r>
              <w:rPr>
                <w:rFonts w:ascii="Calibri" w:hAnsi="Calibri"/>
                <w:color w:val="4A4A4A"/>
                <w:sz w:val="18"/>
              </w:rPr>
              <w:t>Implementation Duration</w:t>
            </w:r>
          </w:p>
        </w:tc>
        <w:tc>
          <w:tcPr>
            <w:tcW w:w="1584" w:type="dxa"/>
            <w:tcBorders>
              <w:bottom w:val="single" w:sz="4" w:space="0" w:color="EEEEE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5E9C1" w14:textId="77777777" w:rsidR="007C7FEE" w:rsidRDefault="00000000">
            <w:pPr>
              <w:jc w:val="center"/>
            </w:pPr>
            <w:r>
              <w:rPr>
                <w:rFonts w:ascii="Calibri" w:hAnsi="Calibri"/>
                <w:b/>
                <w:color w:val="4A4A4A"/>
                <w:sz w:val="18"/>
              </w:rPr>
              <w:t>3.0 Hours</w:t>
            </w:r>
          </w:p>
        </w:tc>
        <w:tc>
          <w:tcPr>
            <w:tcW w:w="1872" w:type="dxa"/>
            <w:tcBorders>
              <w:bottom w:val="single" w:sz="4" w:space="0" w:color="EEEEE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568C7" w14:textId="77777777" w:rsidR="007C7FEE" w:rsidRDefault="00000000">
            <w:r>
              <w:rPr>
                <w:rFonts w:ascii="Calibri" w:hAnsi="Calibri"/>
                <w:color w:val="4A4A4A"/>
                <w:sz w:val="18"/>
              </w:rPr>
              <w:t>Resolution responsiveness</w:t>
            </w:r>
          </w:p>
        </w:tc>
        <w:tc>
          <w:tcPr>
            <w:tcW w:w="2016" w:type="dxa"/>
            <w:tcBorders>
              <w:bottom w:val="single" w:sz="4" w:space="0" w:color="EEEEE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18810" w14:textId="77777777" w:rsidR="007C7FEE" w:rsidRDefault="00000000">
            <w:r>
              <w:rPr>
                <w:rFonts w:ascii="Calibri" w:hAnsi="Calibri"/>
                <w:color w:val="4A4A4A"/>
                <w:sz w:val="18"/>
              </w:rPr>
              <w:t>Rapid eradication restoring ISP chat/voice support in same business day</w:t>
            </w:r>
          </w:p>
        </w:tc>
      </w:tr>
      <w:tr w:rsidR="007C7FEE" w14:paraId="215EDFBE" w14:textId="77777777">
        <w:trPr>
          <w:jc w:val="center"/>
        </w:trPr>
        <w:tc>
          <w:tcPr>
            <w:tcW w:w="1296" w:type="dxa"/>
            <w:tcBorders>
              <w:bottom w:val="single" w:sz="4" w:space="0" w:color="EEEEE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DDC7D" w14:textId="77777777" w:rsidR="007C7FEE" w:rsidRDefault="00000000">
            <w:pPr>
              <w:jc w:val="center"/>
            </w:pPr>
            <w:r>
              <w:rPr>
                <w:rFonts w:ascii="Calibri" w:hAnsi="Calibri"/>
                <w:b/>
                <w:color w:val="4A4A4A"/>
                <w:sz w:val="18"/>
              </w:rPr>
              <w:t>KPI 3</w:t>
            </w:r>
          </w:p>
        </w:tc>
        <w:tc>
          <w:tcPr>
            <w:tcW w:w="2592" w:type="dxa"/>
            <w:tcBorders>
              <w:bottom w:val="single" w:sz="4" w:space="0" w:color="EEEEE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06633" w14:textId="77777777" w:rsidR="007C7FEE" w:rsidRDefault="00000000">
            <w:r>
              <w:rPr>
                <w:rFonts w:ascii="Calibri" w:hAnsi="Calibri"/>
                <w:color w:val="4A4A4A"/>
                <w:sz w:val="18"/>
              </w:rPr>
              <w:t>High-Risk Security Incidents</w:t>
            </w:r>
          </w:p>
        </w:tc>
        <w:tc>
          <w:tcPr>
            <w:tcW w:w="1584" w:type="dxa"/>
            <w:tcBorders>
              <w:bottom w:val="single" w:sz="4" w:space="0" w:color="EEEEE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D949C" w14:textId="77777777" w:rsidR="007C7FEE" w:rsidRDefault="00000000">
            <w:pPr>
              <w:jc w:val="center"/>
            </w:pPr>
            <w:r>
              <w:rPr>
                <w:rFonts w:ascii="Calibri" w:hAnsi="Calibri"/>
                <w:b/>
                <w:color w:val="4A4A4A"/>
                <w:sz w:val="18"/>
              </w:rPr>
              <w:t>1 Incident</w:t>
            </w:r>
          </w:p>
        </w:tc>
        <w:tc>
          <w:tcPr>
            <w:tcW w:w="1872" w:type="dxa"/>
            <w:tcBorders>
              <w:bottom w:val="single" w:sz="4" w:space="0" w:color="EEEEE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AF598" w14:textId="77777777" w:rsidR="007C7FEE" w:rsidRDefault="00000000">
            <w:r>
              <w:rPr>
                <w:rFonts w:ascii="Calibri" w:hAnsi="Calibri"/>
                <w:color w:val="4A4A4A"/>
                <w:sz w:val="18"/>
              </w:rPr>
              <w:t>Severity categorization</w:t>
            </w:r>
          </w:p>
        </w:tc>
        <w:tc>
          <w:tcPr>
            <w:tcW w:w="2016" w:type="dxa"/>
            <w:tcBorders>
              <w:bottom w:val="single" w:sz="4" w:space="0" w:color="EEEEE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CA8A7" w14:textId="77777777" w:rsidR="007C7FEE" w:rsidRDefault="00000000">
            <w:r>
              <w:rPr>
                <w:rFonts w:ascii="Calibri" w:hAnsi="Calibri"/>
                <w:color w:val="4A4A4A"/>
                <w:sz w:val="18"/>
              </w:rPr>
              <w:t>Elevated response to protect critical agent login credentials</w:t>
            </w:r>
          </w:p>
        </w:tc>
      </w:tr>
      <w:tr w:rsidR="007C7FEE" w14:paraId="2E0F8ADF" w14:textId="77777777">
        <w:trPr>
          <w:jc w:val="center"/>
        </w:trPr>
        <w:tc>
          <w:tcPr>
            <w:tcW w:w="1296" w:type="dxa"/>
            <w:tcBorders>
              <w:bottom w:val="single" w:sz="4" w:space="0" w:color="EEEEE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A4407" w14:textId="77777777" w:rsidR="007C7FEE" w:rsidRDefault="00000000">
            <w:pPr>
              <w:jc w:val="center"/>
            </w:pPr>
            <w:r>
              <w:rPr>
                <w:rFonts w:ascii="Calibri" w:hAnsi="Calibri"/>
                <w:b/>
                <w:color w:val="4A4A4A"/>
                <w:sz w:val="18"/>
              </w:rPr>
              <w:t>KPI 4</w:t>
            </w:r>
          </w:p>
        </w:tc>
        <w:tc>
          <w:tcPr>
            <w:tcW w:w="2592" w:type="dxa"/>
            <w:tcBorders>
              <w:bottom w:val="single" w:sz="4" w:space="0" w:color="EEEEE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0AFBD" w14:textId="77777777" w:rsidR="007C7FEE" w:rsidRDefault="00000000">
            <w:r>
              <w:rPr>
                <w:rFonts w:ascii="Calibri" w:hAnsi="Calibri"/>
                <w:color w:val="4A4A4A"/>
                <w:sz w:val="18"/>
              </w:rPr>
              <w:t>Security-Related Downtimes</w:t>
            </w:r>
          </w:p>
        </w:tc>
        <w:tc>
          <w:tcPr>
            <w:tcW w:w="1584" w:type="dxa"/>
            <w:tcBorders>
              <w:bottom w:val="single" w:sz="4" w:space="0" w:color="EEEEE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2AE6A" w14:textId="77777777" w:rsidR="007C7FEE" w:rsidRDefault="00000000">
            <w:pPr>
              <w:jc w:val="center"/>
            </w:pPr>
            <w:r>
              <w:rPr>
                <w:rFonts w:ascii="Calibri" w:hAnsi="Calibri"/>
                <w:b/>
                <w:color w:val="4A4A4A"/>
                <w:sz w:val="18"/>
              </w:rPr>
              <w:t>1 Event (120 hrs)</w:t>
            </w:r>
          </w:p>
        </w:tc>
        <w:tc>
          <w:tcPr>
            <w:tcW w:w="1872" w:type="dxa"/>
            <w:tcBorders>
              <w:bottom w:val="single" w:sz="4" w:space="0" w:color="EEEEE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A00A9" w14:textId="77777777" w:rsidR="007C7FEE" w:rsidRDefault="00000000">
            <w:r>
              <w:rPr>
                <w:rFonts w:ascii="Calibri" w:hAnsi="Calibri"/>
                <w:color w:val="4A4A4A"/>
                <w:sz w:val="18"/>
              </w:rPr>
              <w:t>Service availability</w:t>
            </w:r>
          </w:p>
        </w:tc>
        <w:tc>
          <w:tcPr>
            <w:tcW w:w="2016" w:type="dxa"/>
            <w:tcBorders>
              <w:bottom w:val="single" w:sz="4" w:space="0" w:color="EEEEE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8194D" w14:textId="77777777" w:rsidR="007C7FEE" w:rsidRDefault="00000000">
            <w:r>
              <w:rPr>
                <w:rFonts w:ascii="Calibri" w:hAnsi="Calibri"/>
                <w:color w:val="4A4A4A"/>
                <w:sz w:val="18"/>
              </w:rPr>
              <w:t>Transparent documentation of impacted BPO customer accounts</w:t>
            </w:r>
          </w:p>
        </w:tc>
      </w:tr>
      <w:tr w:rsidR="007C7FEE" w14:paraId="0E5E23AD" w14:textId="77777777">
        <w:trPr>
          <w:jc w:val="center"/>
        </w:trPr>
        <w:tc>
          <w:tcPr>
            <w:tcW w:w="1296" w:type="dxa"/>
            <w:tcBorders>
              <w:bottom w:val="single" w:sz="4" w:space="0" w:color="EEEEE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F5612" w14:textId="77777777" w:rsidR="007C7FEE" w:rsidRDefault="00000000">
            <w:pPr>
              <w:jc w:val="center"/>
            </w:pPr>
            <w:r>
              <w:rPr>
                <w:rFonts w:ascii="Calibri" w:hAnsi="Calibri"/>
                <w:b/>
                <w:color w:val="4A4A4A"/>
                <w:sz w:val="18"/>
              </w:rPr>
              <w:lastRenderedPageBreak/>
              <w:t>KPI 5</w:t>
            </w:r>
          </w:p>
        </w:tc>
        <w:tc>
          <w:tcPr>
            <w:tcW w:w="2592" w:type="dxa"/>
            <w:tcBorders>
              <w:bottom w:val="single" w:sz="4" w:space="0" w:color="EEEEE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5A7D5" w14:textId="77777777" w:rsidR="007C7FEE" w:rsidRDefault="00000000">
            <w:r>
              <w:rPr>
                <w:rFonts w:ascii="Calibri" w:hAnsi="Calibri"/>
                <w:color w:val="4A4A4A"/>
                <w:sz w:val="18"/>
              </w:rPr>
              <w:t>Security Tests Conducted</w:t>
            </w:r>
          </w:p>
        </w:tc>
        <w:tc>
          <w:tcPr>
            <w:tcW w:w="1584" w:type="dxa"/>
            <w:tcBorders>
              <w:bottom w:val="single" w:sz="4" w:space="0" w:color="EEEEE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49888" w14:textId="77777777" w:rsidR="007C7FEE" w:rsidRDefault="00000000">
            <w:pPr>
              <w:jc w:val="center"/>
            </w:pPr>
            <w:r>
              <w:rPr>
                <w:rFonts w:ascii="Calibri" w:hAnsi="Calibri"/>
                <w:b/>
                <w:color w:val="4A4A4A"/>
                <w:sz w:val="18"/>
              </w:rPr>
              <w:t>2 Tests</w:t>
            </w:r>
          </w:p>
        </w:tc>
        <w:tc>
          <w:tcPr>
            <w:tcW w:w="1872" w:type="dxa"/>
            <w:tcBorders>
              <w:bottom w:val="single" w:sz="4" w:space="0" w:color="EEEEE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C6084" w14:textId="77777777" w:rsidR="007C7FEE" w:rsidRDefault="00000000">
            <w:r>
              <w:rPr>
                <w:rFonts w:ascii="Calibri" w:hAnsi="Calibri"/>
                <w:color w:val="4A4A4A"/>
                <w:sz w:val="18"/>
              </w:rPr>
              <w:t>Proactive vulnerability audit</w:t>
            </w:r>
          </w:p>
        </w:tc>
        <w:tc>
          <w:tcPr>
            <w:tcW w:w="2016" w:type="dxa"/>
            <w:tcBorders>
              <w:bottom w:val="single" w:sz="4" w:space="0" w:color="EEEEE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F69E3" w14:textId="77777777" w:rsidR="007C7FEE" w:rsidRDefault="00000000">
            <w:r>
              <w:rPr>
                <w:rFonts w:ascii="Calibri" w:hAnsi="Calibri"/>
                <w:color w:val="4A4A4A"/>
                <w:sz w:val="18"/>
              </w:rPr>
              <w:t>Uncovered critical scalability defects prior to live intrusion</w:t>
            </w:r>
          </w:p>
        </w:tc>
      </w:tr>
      <w:tr w:rsidR="007C7FEE" w14:paraId="50A1407E" w14:textId="77777777">
        <w:trPr>
          <w:jc w:val="center"/>
        </w:trPr>
        <w:tc>
          <w:tcPr>
            <w:tcW w:w="1296" w:type="dxa"/>
            <w:tcBorders>
              <w:bottom w:val="single" w:sz="8" w:space="0" w:color="D0D0D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B6137" w14:textId="77777777" w:rsidR="007C7FEE" w:rsidRDefault="00000000">
            <w:pPr>
              <w:jc w:val="center"/>
            </w:pPr>
            <w:r>
              <w:rPr>
                <w:rFonts w:ascii="Calibri" w:hAnsi="Calibri"/>
                <w:b/>
                <w:color w:val="4A4A4A"/>
                <w:sz w:val="18"/>
              </w:rPr>
              <w:t>KPI 6</w:t>
            </w:r>
          </w:p>
        </w:tc>
        <w:tc>
          <w:tcPr>
            <w:tcW w:w="2592" w:type="dxa"/>
            <w:tcBorders>
              <w:bottom w:val="single" w:sz="8" w:space="0" w:color="D0D0D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D4BC1" w14:textId="77777777" w:rsidR="007C7FEE" w:rsidRDefault="00000000">
            <w:r>
              <w:rPr>
                <w:rFonts w:ascii="Calibri" w:hAnsi="Calibri"/>
                <w:color w:val="4A4A4A"/>
                <w:sz w:val="18"/>
              </w:rPr>
              <w:t>Identified Test Shortcomings</w:t>
            </w:r>
          </w:p>
        </w:tc>
        <w:tc>
          <w:tcPr>
            <w:tcW w:w="1584" w:type="dxa"/>
            <w:tcBorders>
              <w:bottom w:val="single" w:sz="8" w:space="0" w:color="D0D0D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FFD9B" w14:textId="77777777" w:rsidR="007C7FEE" w:rsidRDefault="00000000">
            <w:pPr>
              <w:jc w:val="center"/>
            </w:pPr>
            <w:r>
              <w:rPr>
                <w:rFonts w:ascii="Calibri" w:hAnsi="Calibri"/>
                <w:b/>
                <w:color w:val="4A4A4A"/>
                <w:sz w:val="18"/>
              </w:rPr>
              <w:t>3 Defects</w:t>
            </w:r>
          </w:p>
        </w:tc>
        <w:tc>
          <w:tcPr>
            <w:tcW w:w="1872" w:type="dxa"/>
            <w:tcBorders>
              <w:bottom w:val="single" w:sz="8" w:space="0" w:color="D0D0D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122FD" w14:textId="77777777" w:rsidR="007C7FEE" w:rsidRDefault="00000000">
            <w:r>
              <w:rPr>
                <w:rFonts w:ascii="Calibri" w:hAnsi="Calibri"/>
                <w:color w:val="4A4A4A"/>
                <w:sz w:val="18"/>
              </w:rPr>
              <w:t>Defect root-cause analysis</w:t>
            </w:r>
          </w:p>
        </w:tc>
        <w:tc>
          <w:tcPr>
            <w:tcW w:w="2016" w:type="dxa"/>
            <w:tcBorders>
              <w:bottom w:val="single" w:sz="8" w:space="0" w:color="D0D0D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80B2A" w14:textId="77777777" w:rsidR="007C7FEE" w:rsidRDefault="00000000">
            <w:r>
              <w:rPr>
                <w:rFonts w:ascii="Calibri" w:hAnsi="Calibri"/>
                <w:color w:val="4A4A4A"/>
                <w:sz w:val="18"/>
              </w:rPr>
              <w:t>Directly justified upgrade to enterprise &gt;100 system tools</w:t>
            </w:r>
          </w:p>
        </w:tc>
      </w:tr>
    </w:tbl>
    <w:p w14:paraId="553413E3" w14:textId="77777777" w:rsidR="007C7FEE" w:rsidRDefault="007C7FEE">
      <w:pPr>
        <w:spacing w:after="240"/>
      </w:pPr>
    </w:p>
    <w:p w14:paraId="49EBDDCE" w14:textId="77777777" w:rsidR="007C7FEE" w:rsidRDefault="00000000">
      <w:pPr>
        <w:pStyle w:val="Heading1"/>
        <w:spacing w:before="280" w:after="120"/>
      </w:pPr>
      <w:r>
        <w:rPr>
          <w:rFonts w:ascii="Calibri" w:hAnsi="Calibri"/>
          <w:color w:val="4A4A4A"/>
          <w:sz w:val="27"/>
        </w:rPr>
        <w:t>4. Visual Charts of Information Tracked</w:t>
      </w:r>
    </w:p>
    <w:p w14:paraId="78A908B7" w14:textId="77777777" w:rsidR="007C7FEE" w:rsidRDefault="00000000">
      <w:pPr>
        <w:spacing w:after="160"/>
      </w:pPr>
      <w:r>
        <w:rPr>
          <w:rFonts w:ascii="Calibri" w:hAnsi="Calibri"/>
          <w:color w:val="4A4A4A"/>
          <w:sz w:val="20"/>
        </w:rPr>
        <w:t>As required by the assessment instructions and grading rubric, the visual charts below detail the quantitative information tracked per KPI and the chronological response progression.</w:t>
      </w:r>
    </w:p>
    <w:p w14:paraId="07C04F5E" w14:textId="77777777" w:rsidR="007C7FEE" w:rsidRDefault="007C7FEE">
      <w:pPr>
        <w:spacing w:after="40"/>
        <w:jc w:val="center"/>
      </w:pPr>
    </w:p>
    <w:p w14:paraId="77B1786D" w14:textId="77777777" w:rsidR="007C7FEE" w:rsidRDefault="00000000">
      <w:r>
        <w:rPr>
          <w:noProof/>
        </w:rPr>
        <w:drawing>
          <wp:inline distT="0" distB="0" distL="0" distR="0" wp14:anchorId="5D1511FD" wp14:editId="0C5FF1F4">
            <wp:extent cx="5669280" cy="29480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pi_tracking_bar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4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5DF09" w14:textId="77777777" w:rsidR="007C7FEE" w:rsidRDefault="00000000">
      <w:pPr>
        <w:spacing w:after="280"/>
        <w:jc w:val="center"/>
      </w:pPr>
      <w:r>
        <w:rPr>
          <w:rFonts w:ascii="Calibri" w:hAnsi="Calibri"/>
          <w:i/>
          <w:color w:val="718096"/>
          <w:sz w:val="18"/>
        </w:rPr>
        <w:t>Figure 1: Minimalist Distribution Chart of Tracked Information Items per Security KPI</w:t>
      </w:r>
    </w:p>
    <w:p w14:paraId="552A5CC5" w14:textId="77777777" w:rsidR="007C7FEE" w:rsidRDefault="007C7FEE">
      <w:pPr>
        <w:spacing w:after="40"/>
        <w:jc w:val="center"/>
      </w:pPr>
    </w:p>
    <w:p w14:paraId="5535DF2F" w14:textId="77777777" w:rsidR="007C7FEE" w:rsidRDefault="00000000">
      <w:r>
        <w:rPr>
          <w:noProof/>
        </w:rPr>
        <w:lastRenderedPageBreak/>
        <w:drawing>
          <wp:inline distT="0" distB="0" distL="0" distR="0" wp14:anchorId="57D1C55A" wp14:editId="258CF1E0">
            <wp:extent cx="5669280" cy="185540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cident_timeline_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5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0450" w14:textId="77777777" w:rsidR="007C7FEE" w:rsidRDefault="00000000">
      <w:pPr>
        <w:spacing w:after="280"/>
        <w:jc w:val="center"/>
      </w:pPr>
      <w:r>
        <w:rPr>
          <w:rFonts w:ascii="Calibri" w:hAnsi="Calibri"/>
          <w:i/>
          <w:color w:val="718096"/>
          <w:sz w:val="18"/>
        </w:rPr>
        <w:t>Figure 2: Chronological Progression of the TeleMarketeers Security Incident Lifecycle</w:t>
      </w:r>
    </w:p>
    <w:p w14:paraId="77723CA9" w14:textId="77777777" w:rsidR="007C7FEE" w:rsidRDefault="00000000">
      <w:pPr>
        <w:pStyle w:val="Heading1"/>
        <w:spacing w:before="280" w:after="120"/>
      </w:pPr>
      <w:r>
        <w:rPr>
          <w:rFonts w:ascii="Calibri" w:hAnsi="Calibri"/>
          <w:color w:val="4A4A4A"/>
          <w:sz w:val="27"/>
        </w:rPr>
        <w:t>5. Strategic Service Vision Based on ITSM Processes</w:t>
      </w:r>
    </w:p>
    <w:p w14:paraId="748E2A29" w14:textId="77777777" w:rsidR="007C7FEE" w:rsidRDefault="00000000">
      <w:pPr>
        <w:spacing w:after="160"/>
      </w:pPr>
      <w:r>
        <w:rPr>
          <w:rFonts w:ascii="Calibri" w:hAnsi="Calibri"/>
          <w:color w:val="4A4A4A"/>
          <w:sz w:val="20"/>
        </w:rPr>
        <w:t>To fulfill the exercise objective ('Formulate a strategic service vision based on ITSM processes') and establish long-term governance (COBIT / ITIL framework, Handout 04), TeleMarketeers must institutionalize a three-pillar Strategic Service Vision: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C7FEE" w14:paraId="13AEA3AA" w14:textId="77777777">
        <w:trPr>
          <w:jc w:val="center"/>
        </w:trPr>
        <w:tc>
          <w:tcPr>
            <w:tcW w:w="9360" w:type="dxa"/>
            <w:tcBorders>
              <w:left w:val="single" w:sz="18" w:space="0" w:color="E2B4BD"/>
            </w:tcBorders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CF45006" w14:textId="77777777" w:rsidR="007C7FEE" w:rsidRDefault="00000000">
            <w:pPr>
              <w:spacing w:after="0"/>
            </w:pPr>
            <w:r>
              <w:rPr>
                <w:rFonts w:ascii="Calibri" w:hAnsi="Calibri"/>
                <w:b/>
                <w:color w:val="4A4A4A"/>
                <w:sz w:val="20"/>
              </w:rPr>
              <w:t xml:space="preserve">Pillar 1: Proactive Incident &amp; Automated Event Management: </w:t>
            </w:r>
            <w:r>
              <w:rPr>
                <w:rFonts w:ascii="Calibri" w:hAnsi="Calibri"/>
                <w:color w:val="4A4A4A"/>
                <w:sz w:val="20"/>
              </w:rPr>
              <w:t>The initial 3-hour lag (10:00 AM - 1:00 PM) occurred because tier-1 support handled widespread concurrent failures as disconnected desktop anomalies. TeleMarketeers must deploy an Automated Event Correlation Engine to immediately aggregate multiple simultaneous terminal freezing events, automatically triggering a critical High-Risk Major Incident protocol.</w:t>
            </w:r>
          </w:p>
        </w:tc>
      </w:tr>
    </w:tbl>
    <w:p w14:paraId="2DC96E0D" w14:textId="77777777" w:rsidR="007C7FEE" w:rsidRDefault="007C7FEE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C7FEE" w14:paraId="5AC0BBA9" w14:textId="77777777">
        <w:trPr>
          <w:jc w:val="center"/>
        </w:trPr>
        <w:tc>
          <w:tcPr>
            <w:tcW w:w="9360" w:type="dxa"/>
            <w:tcBorders>
              <w:left w:val="single" w:sz="18" w:space="0" w:color="E2B4BD"/>
            </w:tcBorders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238FB287" w14:textId="77777777" w:rsidR="007C7FEE" w:rsidRDefault="00000000">
            <w:pPr>
              <w:spacing w:after="0"/>
            </w:pPr>
            <w:r>
              <w:rPr>
                <w:rFonts w:ascii="Calibri" w:hAnsi="Calibri"/>
                <w:b/>
                <w:color w:val="4A4A4A"/>
                <w:sz w:val="20"/>
              </w:rPr>
              <w:t xml:space="preserve">Pillar 2: Standardized Pre-Deployment Scalability &amp; Capacity Thresholds: </w:t>
            </w:r>
            <w:r>
              <w:rPr>
                <w:rFonts w:ascii="Calibri" w:hAnsi="Calibri"/>
                <w:color w:val="4A4A4A"/>
                <w:sz w:val="20"/>
              </w:rPr>
              <w:t>The Fast Attack team's second trial (on 20 terminals) exposed fatal resolution delays and complete file corruption. Under ITSM Capacity Management, security software must pass formal non-destructive scalability testing before production rollout. The subsequent acquisition of the &gt;100 system enterprise platform perfectly exemplifies how KPI 6 data should directly steer IT capital investments.</w:t>
            </w:r>
          </w:p>
        </w:tc>
      </w:tr>
    </w:tbl>
    <w:p w14:paraId="2EEC1B56" w14:textId="77777777" w:rsidR="007C7FEE" w:rsidRDefault="007C7FEE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C7FEE" w14:paraId="0F860D4C" w14:textId="77777777">
        <w:trPr>
          <w:jc w:val="center"/>
        </w:trPr>
        <w:tc>
          <w:tcPr>
            <w:tcW w:w="9360" w:type="dxa"/>
            <w:tcBorders>
              <w:left w:val="single" w:sz="18" w:space="0" w:color="E2B4BD"/>
            </w:tcBorders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32E17D06" w14:textId="77777777" w:rsidR="007C7FEE" w:rsidRDefault="00000000">
            <w:pPr>
              <w:spacing w:after="0"/>
            </w:pPr>
            <w:r>
              <w:rPr>
                <w:rFonts w:ascii="Calibri" w:hAnsi="Calibri"/>
                <w:b/>
                <w:color w:val="4A4A4A"/>
                <w:sz w:val="20"/>
              </w:rPr>
              <w:t xml:space="preserve">Pillar 3: Unified Cyber Defense Operations Center (CDOC) Governance: </w:t>
            </w:r>
            <w:r>
              <w:rPr>
                <w:rFonts w:ascii="Calibri" w:hAnsi="Calibri"/>
                <w:color w:val="4A4A4A"/>
                <w:sz w:val="20"/>
              </w:rPr>
              <w:t>The ultimate eradication of the spyware in 3 hours was made possible solely by cross-departmental collaboration between Fast Attack, Network, and Firewall teams. TeleMarketeers should formalize this ad-hoc alignment into a permanent Cyber Defense Operations Center (CDOC), aligning Security Management with ITIL Incident and Problem Management to guarantee continuous operational resilience.</w:t>
            </w:r>
          </w:p>
        </w:tc>
      </w:tr>
    </w:tbl>
    <w:p w14:paraId="24B8E657" w14:textId="77777777" w:rsidR="007C7FEE" w:rsidRDefault="007C7FEE">
      <w:pPr>
        <w:spacing w:after="120"/>
      </w:pPr>
    </w:p>
    <w:sectPr w:rsidR="007C7FE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8095329">
    <w:abstractNumId w:val="8"/>
  </w:num>
  <w:num w:numId="2" w16cid:durableId="923959152">
    <w:abstractNumId w:val="6"/>
  </w:num>
  <w:num w:numId="3" w16cid:durableId="1693606949">
    <w:abstractNumId w:val="5"/>
  </w:num>
  <w:num w:numId="4" w16cid:durableId="166091756">
    <w:abstractNumId w:val="4"/>
  </w:num>
  <w:num w:numId="5" w16cid:durableId="1418557584">
    <w:abstractNumId w:val="7"/>
  </w:num>
  <w:num w:numId="6" w16cid:durableId="1777409906">
    <w:abstractNumId w:val="3"/>
  </w:num>
  <w:num w:numId="7" w16cid:durableId="1468162525">
    <w:abstractNumId w:val="2"/>
  </w:num>
  <w:num w:numId="8" w16cid:durableId="350643541">
    <w:abstractNumId w:val="1"/>
  </w:num>
  <w:num w:numId="9" w16cid:durableId="498430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44B"/>
    <w:rsid w:val="00034616"/>
    <w:rsid w:val="0006063C"/>
    <w:rsid w:val="0015074B"/>
    <w:rsid w:val="0029639D"/>
    <w:rsid w:val="00326F90"/>
    <w:rsid w:val="007C7FEE"/>
    <w:rsid w:val="00AA1D8D"/>
    <w:rsid w:val="00B47730"/>
    <w:rsid w:val="00CB0664"/>
    <w:rsid w:val="00F945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1189F1"/>
  <w14:defaultImageDpi w14:val="300"/>
  <w15:docId w15:val="{951403F0-0521-4420-BF03-E45FCCD0D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1447</Words>
  <Characters>8254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Godwyn Neri</cp:lastModifiedBy>
  <cp:revision>2</cp:revision>
  <dcterms:created xsi:type="dcterms:W3CDTF">2013-12-23T23:15:00Z</dcterms:created>
  <dcterms:modified xsi:type="dcterms:W3CDTF">2026-09-23T16:54:00Z</dcterms:modified>
  <cp:category/>
</cp:coreProperties>
</file>