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4A4A4A"/>
          <w:sz w:val="22"/>
        </w:rPr>
        <w:t>Course Code: IT2312 | IT Service Management</w:t>
      </w:r>
    </w:p>
    <w:p>
      <w:pPr>
        <w:spacing w:before="40" w:after="80"/>
      </w:pPr>
      <w:r>
        <w:rPr>
          <w:b/>
          <w:color w:val="4A4A4A"/>
          <w:sz w:val="32"/>
        </w:rPr>
        <w:t>03 Activity 1: ITSM Processes and ITIL Principles</w:t>
      </w:r>
    </w:p>
    <w:p>
      <w:pPr>
        <w:spacing w:after="160"/>
      </w:pPr>
      <w:r>
        <w:rPr>
          <w:i/>
          <w:color w:val="718096"/>
        </w:rPr>
        <w:t xml:space="preserve">Student: </w:t>
      </w:r>
      <w:r>
        <w:rPr>
          <w:b/>
          <w:color w:val="4A4A4A"/>
        </w:rPr>
        <w:t xml:space="preserve">Godwyn Neri | </w:t>
      </w:r>
      <w:r>
        <w:rPr>
          <w:i/>
          <w:color w:val="718096"/>
        </w:rPr>
        <w:t xml:space="preserve">Date: </w:t>
      </w:r>
      <w:r>
        <w:rPr>
          <w:color w:val="4A4A4A"/>
        </w:rPr>
        <w:t>September 24, 2026</w:t>
      </w:r>
    </w:p>
    <w:p>
      <w:pPr>
        <w:spacing w:after="320"/>
        <w:pBdr>
          <w:bottom w:val="single" w:sz="6" w:space="1" w:color="E2B4BD"/>
        </w:pBdr>
      </w:pPr>
    </w:p>
    <w:p>
      <w:pPr>
        <w:spacing w:before="320" w:after="120"/>
      </w:pPr>
      <w:r>
        <w:rPr>
          <w:b/>
          <w:color w:val="4A4A4A"/>
          <w:sz w:val="28"/>
        </w:rPr>
        <w:t>Direction</w:t>
      </w:r>
    </w:p>
    <w:p>
      <w:pPr>
        <w:spacing w:before="0" w:after="160"/>
      </w:pPr>
      <w:r>
        <w:rPr>
          <w:color w:val="4A4A4A"/>
          <w:sz w:val="21"/>
        </w:rPr>
        <w:t>Elaborate on the correlation between the purposes of ITSM Processes and ITIL Principles. (4 items x 5 points)</w:t>
      </w:r>
    </w:p>
    <w:p>
      <w:pPr>
        <w:spacing w:before="320" w:after="120"/>
      </w:pPr>
      <w:r>
        <w:rPr>
          <w:b/>
          <w:color w:val="4A4A4A"/>
          <w:sz w:val="24"/>
        </w:rPr>
        <w:t>Question 1: In which ITSM Process would the Progress Iteratively with Feedback principle apply best?</w:t>
      </w:r>
    </w:p>
    <w:p>
      <w:pPr>
        <w:spacing w:before="0" w:after="160"/>
      </w:pPr>
      <w:r>
        <w:rPr>
          <w:color w:val="4A4A4A"/>
          <w:sz w:val="21"/>
        </w:rPr>
        <w:t>This principle applies best to the Continual Service Improvement (CSI) process.</w:t>
      </w:r>
    </w:p>
    <w:p>
      <w:pPr>
        <w:spacing w:before="0" w:after="160"/>
      </w:pPr>
      <w:r>
        <w:rPr>
          <w:color w:val="4A4A4A"/>
          <w:sz w:val="21"/>
        </w:rPr>
        <w:t>CSI relies on cyclical improvements (Plan-Do-Check-Act) to refine IT services over time. Breaking improvements into smaller increments allows teams to gather feedback after each change, ensuring that adjustments are based on real user experience and operational data rather than assumptions.</w:t>
      </w:r>
    </w:p>
    <w:p>
      <w:pPr>
        <w:spacing w:before="320" w:after="120"/>
      </w:pPr>
      <w:r>
        <w:rPr>
          <w:b/>
          <w:color w:val="4A4A4A"/>
          <w:sz w:val="24"/>
        </w:rPr>
        <w:t>Question 2: How can the Collaborate and Promote Visibility principle help the Service Design process?</w:t>
      </w:r>
    </w:p>
    <w:p>
      <w:pPr>
        <w:spacing w:before="0" w:after="160"/>
      </w:pPr>
      <w:r>
        <w:rPr>
          <w:color w:val="4A4A4A"/>
          <w:sz w:val="21"/>
        </w:rPr>
        <w:t>Service Design requires input from multiple teams, including development, infrastructure, support, and business stakeholders.</w:t>
      </w:r>
    </w:p>
    <w:p>
      <w:pPr>
        <w:spacing w:before="0" w:after="160"/>
      </w:pPr>
      <w:r>
        <w:rPr>
          <w:color w:val="4A4A4A"/>
          <w:sz w:val="21"/>
        </w:rPr>
        <w:t>Collaborating across these groups and maintaining visible workflows (such as shared roadmaps and service blueprints) prevents functional silos. It ensures that everyone understands system dependencies, requirements, and constraints early on, resulting in services that are practical and easy to support.</w:t>
      </w:r>
    </w:p>
    <w:p>
      <w:pPr>
        <w:spacing w:before="320" w:after="120"/>
      </w:pPr>
      <w:r>
        <w:rPr>
          <w:b/>
          <w:color w:val="4A4A4A"/>
          <w:sz w:val="24"/>
        </w:rPr>
        <w:t>Question 3: Between Service Transition and Service Operation, which process would benefit more from the Optimize and Automate principle?</w:t>
      </w:r>
    </w:p>
    <w:p>
      <w:pPr>
        <w:spacing w:before="0" w:after="160"/>
      </w:pPr>
      <w:r>
        <w:rPr>
          <w:color w:val="4A4A4A"/>
          <w:sz w:val="21"/>
        </w:rPr>
        <w:t>Service Operation benefits more.</w:t>
      </w:r>
    </w:p>
    <w:p>
      <w:pPr>
        <w:spacing w:before="0" w:after="160"/>
      </w:pPr>
      <w:r>
        <w:rPr>
          <w:color w:val="4A4A4A"/>
          <w:sz w:val="21"/>
        </w:rPr>
        <w:t>Service Operation handles a large volume of recurring, daily tasks—including ticket routing, user password resets, system health checks, and routine incident logging. Optimizing and automating these repetitive tasks eliminates manual errors, speeds up resolution times, and frees technicians to focus on complex incidents.</w:t>
      </w:r>
    </w:p>
    <w:p>
      <w:pPr>
        <w:spacing w:before="320" w:after="120"/>
      </w:pPr>
      <w:r>
        <w:rPr>
          <w:b/>
          <w:color w:val="4A4A4A"/>
          <w:sz w:val="24"/>
        </w:rPr>
        <w:t>Question 4: What would happen if the "Start Where You Are" principle is not observed in the "Continual Service Improvement" process?</w:t>
      </w:r>
    </w:p>
    <w:p>
      <w:pPr>
        <w:spacing w:before="0" w:after="160"/>
      </w:pPr>
      <w:r>
        <w:rPr>
          <w:color w:val="4A4A4A"/>
          <w:sz w:val="21"/>
        </w:rPr>
        <w:t>If this principle is ignored, organizations risk falling into the costly "rip-and-replace" trap—throwing away existing software, configurations, and workflows that already provide value.</w:t>
      </w:r>
    </w:p>
    <w:p>
      <w:pPr>
        <w:spacing w:before="0" w:after="160"/>
      </w:pPr>
      <w:r>
        <w:rPr>
          <w:color w:val="4A4A4A"/>
          <w:sz w:val="21"/>
        </w:rPr>
        <w:t>This results in wasted budgets, lost institutional knowledge, and unnecessary disruption for users. Without assessing current assets first, improvements are built on guesswork rather than addressing what is actually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