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raftNotice"/>
        <w:jc w:val="center"/>
      </w:pPr>
      <w:r>
        <w:t>DRAFT FOR COUNSEL REVIEW - NOT FINAL</w:t>
      </w:r>
    </w:p>
    <w:p>
      <w:pPr>
        <w:jc w:val="center"/>
      </w:pPr>
      <w:r>
        <w:rPr>
          <w:rFonts w:ascii="Arial" w:hAnsi="Arial"/>
          <w:b/>
          <w:color w:val="111827"/>
          <w:sz w:val="34"/>
        </w:rPr>
        <w:t>GOFER AI BETA FAQ</w:t>
      </w:r>
    </w:p>
    <w:p>
      <w:pPr>
        <w:jc w:val="center"/>
      </w:pPr>
      <w:r>
        <w:rPr>
          <w:i/>
          <w:color w:val="4B5563"/>
          <w:sz w:val="18"/>
        </w:rPr>
        <w:t>Website-ready organization-first beta copy</w:t>
      </w:r>
    </w:p>
    <w:p>
      <w:r>
        <w:rPr>
          <w:i w:val="0"/>
        </w:rPr>
        <w:t>This FAQ is written for the current organization-led beta. It is intended to align the public website, GoCap contributor experience, Partner Organization Agreement, Participant Consent &amp; Capture Release, Contributor Terms, Privacy Policy, and Data Processing Addendum. Final public legal copy should be reviewed by counsel before launch.</w:t>
      </w:r>
    </w:p>
    <w:p>
      <w:pPr>
        <w:pStyle w:val="Heading1"/>
      </w:pPr>
      <w:r>
        <w:t>About Gofer</w:t>
      </w:r>
    </w:p>
    <w:p>
      <w:pPr>
        <w:pStyle w:val="Heading2"/>
      </w:pPr>
      <w:r>
        <w:t>What is Gofer AI?</w:t>
      </w:r>
    </w:p>
    <w:p>
      <w:r>
        <w:rPr>
          <w:i w:val="0"/>
        </w:rPr>
        <w:t>Gofer AI helps businesses and community organizations turn approved examples of everyday hands-on work into structured training data for physical AI and robotics. We focus on real-world manipulation tasks such as sorting, packing, folding, stocking, wiping, food handling, tool use, assembly, and other object interactions that robots need to learn.</w:t>
      </w:r>
    </w:p>
    <w:p>
      <w:pPr>
        <w:pStyle w:val="Heading2"/>
      </w:pPr>
      <w:r>
        <w:t>What is GoCap?</w:t>
      </w:r>
    </w:p>
    <w:p>
      <w:r>
        <w:rPr>
          <w:i w:val="0"/>
        </w:rPr>
        <w:t>GoCap is Gofer AI's mobile capture app. During the beta, contributors use GoCap through an approved Partner Organization. They create an account, enter an organization code or accept an invitation, view assigned Tasks, record short clips, submit them for review, and track their activity and submission status.</w:t>
      </w:r>
    </w:p>
    <w:p>
      <w:pPr>
        <w:pStyle w:val="Heading2"/>
      </w:pPr>
      <w:r>
        <w:t>Is Gofer changing from an individual contributor product?</w:t>
      </w:r>
    </w:p>
    <w:p>
      <w:r>
        <w:rPr>
          <w:i w:val="0"/>
        </w:rPr>
        <w:t>No. The long-term platform can support both organizations and independent contributors. The current beta is intentionally organization-first so Gofer can build concentrated, high-quality datasets in a small number of task categories with clear facility authorization and repeatable workflows. Independent contributor access may be offered separately after the beta.</w:t>
      </w:r>
    </w:p>
    <w:p>
      <w:pPr>
        <w:pStyle w:val="Heading1"/>
      </w:pPr>
      <w:r>
        <w:t>Partner Beta</w:t>
      </w:r>
    </w:p>
    <w:p>
      <w:pPr>
        <w:pStyle w:val="Heading2"/>
      </w:pPr>
      <w:r>
        <w:t>Who is the beta for?</w:t>
      </w:r>
    </w:p>
    <w:p>
      <w:r>
        <w:rPr>
          <w:i w:val="0"/>
        </w:rPr>
        <w:t>The beta is for approved businesses, nonprofits, and community organizations whose adult staff or volunteers already perform repeatable physical tasks. Strong examples include food banks, thrift and donation centers, commercial kitchens, cafes, bakeries, laundromats, small fulfillment operations, cleaning services, hardware or repair shops, makerspaces, and small manufacturers.</w:t>
      </w:r>
    </w:p>
    <w:p>
      <w:pPr>
        <w:pStyle w:val="Heading2"/>
      </w:pPr>
      <w:r>
        <w:t>What makes a strong beta partner?</w:t>
      </w:r>
    </w:p>
    <w:p>
      <w:r>
        <w:rPr>
          <w:i w:val="0"/>
        </w:rPr>
        <w:t>A strong partner has repetitive daily tasks, at least a few adult participants, a back-of-house or staff-only area where recording can occur without capturing customers or recipients, and a decision-maker who can authorize a pilot. The best pilots produce many examples of the same task family while still containing useful variation in objects, hands, materials, and environments.</w:t>
      </w:r>
    </w:p>
    <w:p>
      <w:pPr>
        <w:pStyle w:val="Heading2"/>
      </w:pPr>
      <w:r>
        <w:t>What environments are not part of the standard beta?</w:t>
      </w:r>
    </w:p>
    <w:p>
      <w:r>
        <w:rPr>
          <w:i w:val="0"/>
        </w:rPr>
        <w:t>The standard beta is not designed for healthcare or clinical environments, childcare or youth programs, financial or legal offices containing confidential material, government or military restricted areas, or locations where recording would mainly capture customers, recipients, patients, minors, or other non-participants.</w:t>
      </w:r>
    </w:p>
    <w:p>
      <w:pPr>
        <w:pStyle w:val="Heading2"/>
      </w:pPr>
      <w:r>
        <w:t>What does a Partner Organization receive?</w:t>
      </w:r>
    </w:p>
    <w:p>
      <w:r>
        <w:rPr>
          <w:i w:val="0"/>
        </w:rPr>
        <w:t>Each approved partner receives a structured capture program, organization access for approved participants, assigned Task definitions, submission and activity visibility, and the commercial terms described in its Partner Agreement. Eligible partners may receive revenue share or another agreed payment when licensed datasets include qualifying Partner Program data.</w:t>
      </w:r>
    </w:p>
    <w:p>
      <w:pPr>
        <w:pStyle w:val="Heading2"/>
      </w:pPr>
      <w:r>
        <w:t>Does the organization have to buy equipment?</w:t>
      </w:r>
    </w:p>
    <w:p>
      <w:r>
        <w:rPr>
          <w:i w:val="0"/>
        </w:rPr>
        <w:t>No specialized robotics hardware is required for the standard beta. Approved participants record assigned Tasks using a supported smartphone and GoCap. Some programs may have device, framing, lighting, or capture-quality requirements.</w:t>
      </w:r>
    </w:p>
    <w:p>
      <w:pPr>
        <w:pStyle w:val="Heading2"/>
      </w:pPr>
      <w:r>
        <w:t>How much operational disruption should we expect?</w:t>
      </w:r>
    </w:p>
    <w:p>
      <w:r>
        <w:rPr>
          <w:i w:val="0"/>
        </w:rPr>
        <w:t>The beta is designed around work that already happens. Gofer and the partner identify a small number of approved Tasks and recording zones, then participants capture short examples during approved times. Recording adds a capture step, but the goal is to avoid creating an entirely new workstream.</w:t>
      </w:r>
    </w:p>
    <w:p>
      <w:pPr>
        <w:pStyle w:val="Heading1"/>
      </w:pPr>
      <w:r>
        <w:t>Contributors and Activity</w:t>
      </w:r>
    </w:p>
    <w:p>
      <w:pPr>
        <w:pStyle w:val="Heading2"/>
      </w:pPr>
      <w:r>
        <w:t>Who can contribute?</w:t>
      </w:r>
    </w:p>
    <w:p>
      <w:r>
        <w:rPr>
          <w:i w:val="0"/>
        </w:rPr>
        <w:t>Contributors in the standard beta must be at least 18 years old and authorized to participate through an approved Partner Organization.</w:t>
      </w:r>
    </w:p>
    <w:p>
      <w:pPr>
        <w:pStyle w:val="Heading2"/>
      </w:pPr>
      <w:r>
        <w:t>How does a contributor join?</w:t>
      </w:r>
    </w:p>
    <w:p>
      <w:r>
        <w:rPr>
          <w:i w:val="0"/>
        </w:rPr>
        <w:t>A contributor creates a GoCap account and joins the applicable Partner Program using an organization code, invitation, or another approved access method. The contributor then sees the Tasks assigned through that organization.</w:t>
      </w:r>
    </w:p>
    <w:p>
      <w:pPr>
        <w:pStyle w:val="Heading2"/>
      </w:pPr>
      <w:r>
        <w:t>Do contributors choose their own Tasks?</w:t>
      </w:r>
    </w:p>
    <w:p>
      <w:r>
        <w:rPr>
          <w:i w:val="0"/>
        </w:rPr>
        <w:t>Not in the organization-led beta. Contributors see the Tasks that Gofer and the Partner Organization make available for that Program. This keeps the dataset concentrated and helps partners control where and when recording occurs.</w:t>
      </w:r>
    </w:p>
    <w:p>
      <w:pPr>
        <w:pStyle w:val="Heading2"/>
      </w:pPr>
      <w:r>
        <w:t>Do individual contributors get paid by Gofer?</w:t>
      </w:r>
    </w:p>
    <w:p>
      <w:r>
        <w:rPr>
          <w:i w:val="0"/>
        </w:rPr>
        <w:t>Not by default in the organization-led beta. Gofer's commercial revenue share is generally governed by the Partner Agreement with the Partner Organization. An individual is paid directly by Gofer only if a written Task offer or Program Details expressly says so. A Partner Organization may separately pay wages, stipends, bonuses, or other compensation under its own policies.</w:t>
      </w:r>
    </w:p>
    <w:p>
      <w:pPr>
        <w:pStyle w:val="Heading2"/>
      </w:pPr>
      <w:r>
        <w:t>Can Tasks count toward staff training, work activity, volunteering, or community service?</w:t>
      </w:r>
    </w:p>
    <w:p>
      <w:r>
        <w:rPr>
          <w:i w:val="0"/>
        </w:rPr>
        <w:t>They can be part of those programs when the Partner Organization chooses to structure participation that way. GoCap can track approved activity and verified hours, but Gofer does not decide whether hours satisfy an employer, school, court, licensing body, government agency, or other third-party requirement. The Partner Organization makes that determination.</w:t>
      </w:r>
    </w:p>
    <w:p>
      <w:pPr>
        <w:pStyle w:val="Heading2"/>
      </w:pPr>
      <w:r>
        <w:t>What can the Partner Organization see about a contributor?</w:t>
      </w:r>
    </w:p>
    <w:p>
      <w:r>
        <w:rPr>
          <w:i w:val="0"/>
        </w:rPr>
        <w:t>The Partner Organization may see program identity, assigned Tasks, submission timestamps, approval or retry status, verified activity hours, and related Program records. Raw recording access is not automatic and will be disclosed if a specific Partner Program allows the organization to review recordings.</w:t>
      </w:r>
    </w:p>
    <w:p>
      <w:pPr>
        <w:pStyle w:val="Heading1"/>
      </w:pPr>
      <w:r>
        <w:t>Recording Rules</w:t>
      </w:r>
    </w:p>
    <w:p>
      <w:pPr>
        <w:pStyle w:val="Heading2"/>
      </w:pPr>
      <w:r>
        <w:t>Where should recording happen?</w:t>
      </w:r>
    </w:p>
    <w:p>
      <w:r>
        <w:rPr>
          <w:i w:val="0"/>
        </w:rPr>
        <w:t>Recording should happen only in the Task area or back-of-house location approved by the Partner Organization and Gofer. The standard beta is designed to keep customers, clients, recipients, donors, patients, minors, and unrelated members of the public out of frame.</w:t>
      </w:r>
    </w:p>
    <w:p>
      <w:pPr>
        <w:pStyle w:val="Heading2"/>
      </w:pPr>
      <w:r>
        <w:t>What should never be recorded?</w:t>
      </w:r>
    </w:p>
    <w:p>
      <w:r>
        <w:rPr>
          <w:i w:val="0"/>
        </w:rPr>
        <w:t>Do not intentionally record minors, unapproved people, private conversations, medical information, credit cards, bank information, government IDs, passwords, confidential business documents, trade secrets, restricted workspaces, or other sensitive information unrelated to the Task. The standard beta also prohibits covert recording and real clinical-care recording.</w:t>
      </w:r>
    </w:p>
    <w:p>
      <w:pPr>
        <w:pStyle w:val="Heading2"/>
      </w:pPr>
      <w:r>
        <w:t>What happens if someone walks into the frame?</w:t>
      </w:r>
    </w:p>
    <w:p>
      <w:r>
        <w:rPr>
          <w:i w:val="0"/>
        </w:rPr>
        <w:t>Stop, pause, or reposition the recording when an unauthorized person enters the capture area. Follow the Task instructions and Partner Program rules before continuing.</w:t>
      </w:r>
    </w:p>
    <w:p>
      <w:pPr>
        <w:pStyle w:val="Heading2"/>
      </w:pPr>
      <w:r>
        <w:t>Does Gofer record audio?</w:t>
      </w:r>
    </w:p>
    <w:p>
      <w:r>
        <w:rPr>
          <w:i w:val="0"/>
        </w:rPr>
        <w:t>Some recordings may technically contain audio, but unless a Task specifically requires it, contributors should avoid capturing private conversations. Gofer may mute or remove audio during review or processing.</w:t>
      </w:r>
    </w:p>
    <w:p>
      <w:pPr>
        <w:pStyle w:val="Heading1"/>
      </w:pPr>
      <w:r>
        <w:t>Data, Licensing, and Privacy</w:t>
      </w:r>
    </w:p>
    <w:p>
      <w:pPr>
        <w:pStyle w:val="Heading2"/>
      </w:pPr>
      <w:r>
        <w:t>What happens to an accepted recording?</w:t>
      </w:r>
    </w:p>
    <w:p>
      <w:r>
        <w:rPr>
          <w:i w:val="0"/>
        </w:rPr>
        <w:t>Gofer may store the accepted raw recording and related metadata in its catalog before advanced processing. More expensive processing can happen later when Gofer needs to evaluate quality, prepare a dataset, or respond to buyer demand. Processing may create robotics-training outputs such as hand landmarks, hand pose, motion traces, depth information, task labels, object labels, action labels, quality scores, and dataset bundles.</w:t>
      </w:r>
    </w:p>
    <w:p>
      <w:pPr>
        <w:pStyle w:val="Heading2"/>
      </w:pPr>
      <w:r>
        <w:t>Who controls which industries can license Partner Program data?</w:t>
      </w:r>
    </w:p>
    <w:p>
      <w:r>
        <w:rPr>
          <w:i w:val="0"/>
        </w:rPr>
        <w:t>For organization-linked Submissions, the Partner Organization controls the applicable purchaser-industry settings under its Partner Agreement. Individual contributors do not independently change those commercial licensing settings unless the Program expressly provides that option.</w:t>
      </w:r>
    </w:p>
    <w:p>
      <w:pPr>
        <w:pStyle w:val="Heading2"/>
      </w:pPr>
      <w:r>
        <w:t>Does an industry permission guarantee how a buyer will use the data?</w:t>
      </w:r>
    </w:p>
    <w:p>
      <w:r>
        <w:rPr>
          <w:i w:val="0"/>
        </w:rPr>
        <w:t>No. The permission describes the purchaser company's industry classification, not a specific model, project, deployment, end user, or downstream use. An approved buyer may use licensed data for permitted robotics or AI research, training, evaluation, benchmarking, dataset development, or product development under its agreement with Gofer.</w:t>
      </w:r>
    </w:p>
    <w:p>
      <w:pPr>
        <w:pStyle w:val="Heading2"/>
      </w:pPr>
      <w:r>
        <w:t>Can a partner block an industry?</w:t>
      </w:r>
    </w:p>
    <w:p>
      <w:r>
        <w:rPr>
          <w:i w:val="0"/>
        </w:rPr>
        <w:t>Yes. Gofer can apply Partner Licensing Preferences to new licenses. If a purchaser is classified in a category the Partner Organization has blocked for the applicable data, Gofer will not issue a new license for that data to that purchaser. Gofer may also maintain platform-wide prohibited purchaser categories.</w:t>
      </w:r>
    </w:p>
    <w:p>
      <w:pPr>
        <w:pStyle w:val="Heading2"/>
      </w:pPr>
      <w:r>
        <w:t>Can a partner stop future licensing?</w:t>
      </w:r>
    </w:p>
    <w:p>
      <w:r>
        <w:rPr>
          <w:i w:val="0"/>
        </w:rPr>
        <w:t>Partner Agreements can provide prospective controls over future licensing. A change does not normally cancel a license that was validly granted before the change. Existing purchaser rights continue unless applicable law or the purchaser agreement requires otherwise.</w:t>
      </w:r>
    </w:p>
    <w:p>
      <w:pPr>
        <w:pStyle w:val="Heading2"/>
      </w:pPr>
      <w:r>
        <w:t>Do robotics buyers receive contributor contact information?</w:t>
      </w:r>
    </w:p>
    <w:p>
      <w:r>
        <w:rPr>
          <w:i w:val="0"/>
        </w:rPr>
        <w:t>Not ordinarily. Buyer-facing datasets should generally use pseudonymous contributor identifiers. Gofer does not ordinarily provide buyers with a contributor's personal email, phone number, payout information, tax information, exact home address, or account credentials.</w:t>
      </w:r>
    </w:p>
    <w:p>
      <w:pPr>
        <w:pStyle w:val="Heading2"/>
      </w:pPr>
      <w:r>
        <w:t>Does Gofer use hand or motion data to identify people?</w:t>
      </w:r>
    </w:p>
    <w:p>
      <w:r>
        <w:rPr>
          <w:i w:val="0"/>
        </w:rPr>
        <w:t>Gofer may generate hand pose, hand geometry, motion, depth, and related outputs for robotics-data processing. Gofer does not intend to use those outputs to identify or authenticate contributors. Where applicable law requires a separate biometric or sensitive-data notice or consent, Gofer will use a separate process.</w:t>
      </w:r>
    </w:p>
    <w:p>
      <w:pPr>
        <w:pStyle w:val="Heading2"/>
      </w:pPr>
      <w:r>
        <w:t>Who owns the original recording?</w:t>
      </w:r>
    </w:p>
    <w:p>
      <w:r>
        <w:rPr>
          <w:i w:val="0"/>
        </w:rPr>
        <w:t>Gofer does not claim ownership of the original recording merely because it was submitted. Rights in an organization-linked recording can depend on the contributor's rights, the Partner Organization's rights, applicable employment or contract rules, and the Partner Agreement. Accepted submissions are licensed to Gofer under the Contributor Terms and any applicable Partner Agreement so Gofer can store, process, create datasets from, and license eligible data.</w:t>
      </w:r>
    </w:p>
    <w:p>
      <w:pPr>
        <w:pStyle w:val="Heading2"/>
      </w:pPr>
      <w:r>
        <w:t>How does Gofer protect the data?</w:t>
      </w:r>
    </w:p>
    <w:p>
      <w:r>
        <w:rPr>
          <w:i w:val="0"/>
        </w:rPr>
        <w:t>Gofer uses administrative and technical safeguards appropriate to the data it processes, including access controls and security measures for stored and transmitted data. No system can guarantee absolute security, so the Privacy Policy describes these measures without promising that risk can be eliminated.</w:t>
      </w:r>
    </w:p>
    <w:p>
      <w:pPr>
        <w:pStyle w:val="Heading2"/>
      </w:pPr>
      <w:r>
        <w:t xml:space="preserve">Can a contributor opt out of the sale or sharing of their data?</w:t>
      </w:r>
    </w:p>
    <w:p>
      <w:r>
        <w:t xml:space="preserve">Yes. Because Gofer licenses accepted recordings and derived data to approved buyers, some of that activity may be treated as a “sale” or “sharing” of personal data under California and similar state privacy laws. Contributors can opt out using the “Do Not Sell or Share My Personal Information” control described in the Privacy Policy, or by contacting support@goferai.space. Honoring an opt-out stops new licensing that would count as a sale or sharing of that contributor’s data; it does not cancel licenses already granted before the request, except where the law requires otherwise.</w:t>
      </w:r>
    </w:p>
    <w:p>
      <w:pPr>
        <w:pStyle w:val="Heading2"/>
      </w:pPr>
      <w:r>
        <w:t xml:space="preserve">Where is the data stored?</w:t>
      </w:r>
    </w:p>
    <w:p>
      <w:r>
        <w:t xml:space="preserve">Gofer stores and processes data on commercial cloud infrastructure, including Amazon Web Services, located in the United States. The beta is currently offered only in the United States. If Gofer later offers the Services in regions with additional data-transfer requirements, it will provide the notices and safeguards those laws require.</w:t>
      </w:r>
    </w:p>
    <w:p>
      <w:pPr>
        <w:pStyle w:val="Heading1"/>
      </w:pPr>
      <w:r>
        <w:t>Revenue and Commercial Model</w:t>
      </w:r>
    </w:p>
    <w:p>
      <w:pPr>
        <w:pStyle w:val="Heading2"/>
      </w:pPr>
      <w:r>
        <w:t>How does a Partner Organization make money?</w:t>
      </w:r>
    </w:p>
    <w:p>
      <w:r>
        <w:rPr>
          <w:i w:val="0"/>
        </w:rPr>
        <w:t>Eligible revenue share, donation share, or other commercial payment is defined in the Partner Agreement. When qualifying data from the Partner Program is included in a licensed dataset, Gofer can attribute the applicable commercial participation to that organization according to the agreement.</w:t>
      </w:r>
    </w:p>
    <w:p>
      <w:pPr>
        <w:pStyle w:val="Heading2"/>
      </w:pPr>
      <w:r>
        <w:t>Is revenue guaranteed?</w:t>
      </w:r>
    </w:p>
    <w:p>
      <w:r>
        <w:rPr>
          <w:i w:val="0"/>
        </w:rPr>
        <w:t>No. Captured or accepted data is not guaranteed to be licensed, and no specific revenue level is guaranteed. Revenue depends on dataset quality, buyer demand, licensing terms, and the applicable Partner Agreement.</w:t>
      </w:r>
    </w:p>
    <w:p>
      <w:pPr>
        <w:pStyle w:val="Heading2"/>
      </w:pPr>
      <w:r>
        <w:t>Do partners need to pay Gofer to participate in the beta?</w:t>
      </w:r>
    </w:p>
    <w:p>
      <w:r>
        <w:rPr>
          <w:i w:val="0"/>
        </w:rPr>
        <w:t>Any beta fee, no-cost pilot, equipment responsibility, revenue share, or other commercial term should be stated in the Partner Agreement or written pilot offer. Gofer should not describe the beta as universally free unless that is the actual offer for every partner.</w:t>
      </w:r>
    </w:p>
    <w:p>
      <w:pPr>
        <w:pStyle w:val="Heading1"/>
      </w:pPr>
      <w:r>
        <w:t>Getting Started</w:t>
      </w:r>
    </w:p>
    <w:p>
      <w:pPr>
        <w:pStyle w:val="Heading2"/>
      </w:pPr>
      <w:r>
        <w:t>How do organizations apply?</w:t>
      </w:r>
    </w:p>
    <w:p>
      <w:r>
        <w:rPr>
          <w:i w:val="0"/>
        </w:rPr>
        <w:t>Organizations can apply to become a Gofer beta partner through goferai.space or by contacting the Gofer team. Gofer reviews the organization's task environment, participant eligibility, recording areas, privacy risks, and expected data value before approving a pilot.</w:t>
      </w:r>
    </w:p>
    <w:p>
      <w:pPr>
        <w:pStyle w:val="Heading2"/>
      </w:pPr>
      <w:r>
        <w:t>What happens after approval?</w:t>
      </w:r>
    </w:p>
    <w:p>
      <w:r>
        <w:rPr>
          <w:i w:val="0"/>
        </w:rPr>
        <w:t>Gofer and the Partner Organization select a small set of Tasks, confirm approved capture areas and participant rules, configure the Partner Program, distribute organization access, and begin a limited capture period. Gofer reviews submissions and works with the partner to improve quality before expanding volume.</w:t>
      </w:r>
    </w:p>
    <w:p>
      <w:pPr>
        <w:pStyle w:val="Heading2"/>
      </w:pPr>
      <w:r>
        <w:t>What should we prepare for a first conversation?</w:t>
      </w:r>
    </w:p>
    <w:p>
      <w:r>
        <w:rPr>
          <w:i w:val="0"/>
        </w:rPr>
        <w:t>Be ready to describe the repetitive hands-on Tasks your staff or adult volunteers perform, how many people perform them, where the work happens, whether a staff-only recording area is available, and who can approve a pilot.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B7280"/>
        <w:sz w:val="15"/>
      </w:rPr>
      <w:t>Gofer AI, Inc. | Draft for counsel review</w:t>
    </w:r>
  </w:p>
  <w:p>
    <w:pPr>
      <w:jc w:val="right"/>
    </w:pPr>
    <w:r>
      <w:rPr>
        <w:color w:val="6B7280"/>
        <w:sz w:val="15"/>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6"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4"/>
      <w:outlineLvl w:val="0"/>
    </w:pPr>
    <w:rPr>
      <w:rFonts w:asciiTheme="majorHAnsi" w:eastAsiaTheme="majorEastAsia" w:hAnsiTheme="majorHAnsi" w:cstheme="majorBidi" w:ascii="Arial" w:hAnsi="Arial"/>
      <w:b/>
      <w:bCs/>
      <w:color w:val="111827"/>
      <w:sz w:val="25"/>
      <w:szCs w:val="28"/>
    </w:rPr>
  </w:style>
  <w:style w:type="paragraph" w:styleId="Heading2">
    <w:name w:val="heading 2"/>
    <w:basedOn w:val="Normal"/>
    <w:next w:val="Normal"/>
    <w:link w:val="Heading2Char"/>
    <w:uiPriority w:val="9"/>
    <w:unhideWhenUsed/>
    <w:qFormat/>
    <w:rsid w:val="00FC693F"/>
    <w:pPr>
      <w:keepNext/>
      <w:keepLines/>
      <w:spacing w:before="80" w:after="64"/>
      <w:outlineLvl w:val="1"/>
    </w:pPr>
    <w:rPr>
      <w:rFonts w:asciiTheme="majorHAnsi" w:eastAsiaTheme="majorEastAsia" w:hAnsiTheme="majorHAnsi" w:cstheme="majorBidi" w:ascii="Arial" w:hAnsi="Arial"/>
      <w:b/>
      <w:bCs/>
      <w:color w:val="1F293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4" w:line="240" w:lineRule="auto" w:before="80"/>
      <w:contextualSpacing/>
    </w:pPr>
    <w:rPr>
      <w:rFonts w:asciiTheme="majorHAnsi" w:eastAsiaTheme="majorEastAsia" w:hAnsiTheme="majorHAnsi" w:cstheme="majorBidi" w:ascii="Arial" w:hAnsi="Arial"/>
      <w:b/>
      <w:color w:val="11182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ice">
    <w:name w:val="Draft Notice"/>
    <w:pPr>
      <w:spacing w:after="80"/>
    </w:pPr>
    <w:rPr>
      <w:rFonts w:ascii="Arial" w:hAnsi="Arial"/>
      <w:b/>
      <w:color w:val="991B1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