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GOFER AI, INC.</w:t>
      </w:r>
    </w:p>
    <w:p>
      <w:pPr>
        <w:spacing w:after="40"/>
        <w:jc w:val="center"/>
      </w:pPr>
      <w:r>
        <w:rPr>
          <w:rFonts w:ascii="Calibri" w:cs="Calibri" w:eastAsia="Calibri" w:hAnsi="Calibri"/>
          <w:b/>
          <w:bCs/>
          <w:color w:val="1A1A1A"/>
          <w:sz w:val="26"/>
          <w:szCs w:val="26"/>
        </w:rPr>
        <w:t xml:space="preserve">DATA PROCESSING ADDENDUM</w:t>
      </w:r>
    </w:p>
    <w:p>
      <w:pPr>
        <w:spacing w:after="200"/>
        <w:jc w:val="center"/>
      </w:pPr>
      <w:r>
        <w:rPr>
          <w:rFonts w:ascii="Calibri" w:cs="Calibri" w:eastAsia="Calibri" w:hAnsi="Calibri"/>
          <w:i/>
          <w:iCs/>
          <w:color w:val="555555"/>
          <w:sz w:val="20"/>
          <w:szCs w:val="20"/>
        </w:rPr>
        <w:t xml:space="preserve">To the Partner Organization Agreement</w:t>
      </w:r>
    </w:p>
    <w:p>
      <w:pPr>
        <w:spacing w:after="140" w:line="276"/>
        <w:jc w:val="left"/>
      </w:pPr>
      <w:r>
        <w:rPr>
          <w:rFonts w:ascii="Calibri" w:cs="Calibri" w:eastAsia="Calibri" w:hAnsi="Calibri"/>
          <w:sz w:val="21"/>
          <w:szCs w:val="21"/>
        </w:rPr>
        <w:t xml:space="preserve">This Data Processing Addendum (the </w:t>
      </w:r>
      <w:r>
        <w:rPr>
          <w:rFonts w:ascii="Calibri" w:cs="Calibri" w:eastAsia="Calibri" w:hAnsi="Calibri"/>
          <w:b/>
          <w:bCs/>
          <w:sz w:val="21"/>
          <w:szCs w:val="21"/>
        </w:rPr>
        <w:t xml:space="preserve">“DPA”</w:t>
      </w:r>
      <w:r>
        <w:rPr>
          <w:rFonts w:ascii="Calibri" w:cs="Calibri" w:eastAsia="Calibri" w:hAnsi="Calibri"/>
          <w:sz w:val="21"/>
          <w:szCs w:val="21"/>
        </w:rPr>
        <w:t xml:space="preserve">) is entered into as of </w:t>
      </w:r>
      <w:r>
        <w:rPr>
          <w:rFonts w:ascii="Calibri" w:cs="Calibri" w:eastAsia="Calibri" w:hAnsi="Calibri"/>
          <w:sz w:val="21"/>
          <w:szCs w:val="21"/>
        </w:rPr>
        <w:t xml:space="preserve">________________________</w:t>
      </w:r>
      <w:r>
        <w:rPr>
          <w:rFonts w:ascii="Calibri" w:cs="Calibri" w:eastAsia="Calibri" w:hAnsi="Calibri"/>
          <w:sz w:val="21"/>
          <w:szCs w:val="21"/>
        </w:rPr>
        <w:t xml:space="preserve"> and forms part of the Partner Organization Agreement (the </w:t>
      </w:r>
      <w:r>
        <w:rPr>
          <w:rFonts w:ascii="Calibri" w:cs="Calibri" w:eastAsia="Calibri" w:hAnsi="Calibri"/>
          <w:b/>
          <w:bCs/>
          <w:sz w:val="21"/>
          <w:szCs w:val="21"/>
        </w:rPr>
        <w:t xml:space="preserve">“Agreement”</w:t>
      </w:r>
      <w:r>
        <w:rPr>
          <w:rFonts w:ascii="Calibri" w:cs="Calibri" w:eastAsia="Calibri" w:hAnsi="Calibri"/>
          <w:sz w:val="21"/>
          <w:szCs w:val="21"/>
        </w:rPr>
        <w:t xml:space="preserve">) between Gofer AI, Inc. (</w:t>
      </w:r>
      <w:r>
        <w:rPr>
          <w:rFonts w:ascii="Calibri" w:cs="Calibri" w:eastAsia="Calibri" w:hAnsi="Calibri"/>
          <w:b/>
          <w:bCs/>
          <w:sz w:val="21"/>
          <w:szCs w:val="21"/>
        </w:rPr>
        <w:t xml:space="preserve">“Gofer AI”</w:t>
      </w:r>
      <w:r>
        <w:rPr>
          <w:rFonts w:ascii="Calibri" w:cs="Calibri" w:eastAsia="Calibri" w:hAnsi="Calibri"/>
          <w:sz w:val="21"/>
          <w:szCs w:val="21"/>
        </w:rPr>
        <w:t xml:space="preserve">) and the Partner Organization identified in the Agreement (</w:t>
      </w:r>
      <w:r>
        <w:rPr>
          <w:rFonts w:ascii="Calibri" w:cs="Calibri" w:eastAsia="Calibri" w:hAnsi="Calibri"/>
          <w:b/>
          <w:bCs/>
          <w:sz w:val="21"/>
          <w:szCs w:val="21"/>
        </w:rPr>
        <w:t xml:space="preserve">“Partner”</w:t>
      </w:r>
      <w:r>
        <w:rPr>
          <w:rFonts w:ascii="Calibri" w:cs="Calibri" w:eastAsia="Calibri" w:hAnsi="Calibri"/>
          <w:sz w:val="21"/>
          <w:szCs w:val="21"/>
        </w:rPr>
        <w:t xml:space="preserve">). This DPA is incorporated into the Agreement under its Section 8.2. Capitalized terms not defined here have the meaning given in the Agreement. If this DPA conflicts with the Agreement on the subject of data protection, this DPA controls.</w:t>
      </w:r>
    </w:p>
    <w:p>
      <w:pPr>
        <w:pStyle w:val="Heading1"/>
        <w:spacing w:after="140" w:before="320"/>
      </w:pPr>
      <w:r>
        <w:rPr>
          <w:rFonts w:ascii="Calibri" w:cs="Calibri" w:eastAsia="Calibri" w:hAnsi="Calibri"/>
          <w:b/>
          <w:bCs/>
          <w:color w:val="1A1A1A"/>
          <w:sz w:val="26"/>
          <w:szCs w:val="26"/>
        </w:rPr>
        <w:t xml:space="preserve">1. Definitions</w:t>
      </w:r>
    </w:p>
    <w:p>
      <w:pPr>
        <w:spacing w:after="100" w:before="80" w:line="276"/>
        <w:ind w:left="480"/>
      </w:pPr>
      <w:r>
        <w:rPr>
          <w:rFonts w:ascii="Calibri" w:cs="Calibri" w:eastAsia="Calibri" w:hAnsi="Calibri"/>
          <w:b/>
          <w:bCs/>
          <w:sz w:val="21"/>
          <w:szCs w:val="21"/>
        </w:rPr>
        <w:t xml:space="preserve">(a) </w:t>
      </w:r>
      <w:r>
        <w:rPr>
          <w:rFonts w:ascii="Calibri" w:cs="Calibri" w:eastAsia="Calibri" w:hAnsi="Calibri"/>
          <w:b/>
          <w:bCs/>
          <w:sz w:val="21"/>
          <w:szCs w:val="21"/>
        </w:rPr>
        <w:t xml:space="preserve">“Applicable Data Protection Law”</w:t>
      </w:r>
      <w:r>
        <w:rPr>
          <w:rFonts w:ascii="Calibri" w:cs="Calibri" w:eastAsia="Calibri" w:hAnsi="Calibri"/>
          <w:sz w:val="21"/>
          <w:szCs w:val="21"/>
        </w:rPr>
        <w:t xml:space="preserve"> means all privacy and data-protection laws applicable to a Party's processing of Personal Data under the Agreement, including, as applicable, the California Consumer Privacy Act as amended (CCPA/CPRA) and other U.S. state privacy laws.</w:t>
      </w:r>
    </w:p>
    <w:p>
      <w:pPr>
        <w:spacing w:after="100" w:before="80" w:line="276"/>
        <w:ind w:left="480"/>
      </w:pPr>
      <w:r>
        <w:rPr>
          <w:rFonts w:ascii="Calibri" w:cs="Calibri" w:eastAsia="Calibri" w:hAnsi="Calibri"/>
          <w:b/>
          <w:bCs/>
          <w:sz w:val="21"/>
          <w:szCs w:val="21"/>
        </w:rPr>
        <w:t xml:space="preserve">(b) </w:t>
      </w:r>
      <w:r>
        <w:rPr>
          <w:rFonts w:ascii="Calibri" w:cs="Calibri" w:eastAsia="Calibri" w:hAnsi="Calibri"/>
          <w:b/>
          <w:bCs/>
          <w:sz w:val="21"/>
          <w:szCs w:val="21"/>
        </w:rPr>
        <w:t xml:space="preserve">“Personal Data,” “Processing,” “Controller,” “Processor,” “Business,” “Service Provider,”</w:t>
      </w:r>
      <w:r>
        <w:rPr>
          <w:rFonts w:ascii="Calibri" w:cs="Calibri" w:eastAsia="Calibri" w:hAnsi="Calibri"/>
          <w:sz w:val="21"/>
          <w:szCs w:val="21"/>
        </w:rPr>
        <w:t xml:space="preserve"> and </w:t>
      </w:r>
      <w:r>
        <w:rPr>
          <w:rFonts w:ascii="Calibri" w:cs="Calibri" w:eastAsia="Calibri" w:hAnsi="Calibri"/>
          <w:b/>
          <w:bCs/>
          <w:sz w:val="21"/>
          <w:szCs w:val="21"/>
        </w:rPr>
        <w:t xml:space="preserve">“Consumer”</w:t>
      </w:r>
      <w:r>
        <w:rPr>
          <w:rFonts w:ascii="Calibri" w:cs="Calibri" w:eastAsia="Calibri" w:hAnsi="Calibri"/>
          <w:sz w:val="21"/>
          <w:szCs w:val="21"/>
        </w:rPr>
        <w:t xml:space="preserve"> have the meanings given under Applicable Data Protection Law.</w:t>
      </w:r>
    </w:p>
    <w:p>
      <w:pPr>
        <w:spacing w:after="100" w:before="80" w:line="276"/>
        <w:ind w:left="480"/>
      </w:pPr>
      <w:r>
        <w:rPr>
          <w:rFonts w:ascii="Calibri" w:cs="Calibri" w:eastAsia="Calibri" w:hAnsi="Calibri"/>
          <w:b/>
          <w:bCs/>
          <w:sz w:val="21"/>
          <w:szCs w:val="21"/>
        </w:rPr>
        <w:t xml:space="preserve">(c) </w:t>
      </w:r>
      <w:r>
        <w:rPr>
          <w:rFonts w:ascii="Calibri" w:cs="Calibri" w:eastAsia="Calibri" w:hAnsi="Calibri"/>
          <w:b/>
          <w:bCs/>
          <w:sz w:val="21"/>
          <w:szCs w:val="21"/>
        </w:rPr>
        <w:t xml:space="preserve">“Program Personal Data”</w:t>
      </w:r>
      <w:r>
        <w:rPr>
          <w:rFonts w:ascii="Calibri" w:cs="Calibri" w:eastAsia="Calibri" w:hAnsi="Calibri"/>
          <w:sz w:val="21"/>
          <w:szCs w:val="21"/>
        </w:rPr>
        <w:t xml:space="preserve"> means Personal Data Processed by a Party in connection with the Partner Program, as described in Appendix A.</w:t>
      </w:r>
    </w:p>
    <w:p>
      <w:pPr>
        <w:spacing w:after="100" w:before="80" w:line="276"/>
        <w:ind w:left="480"/>
      </w:pPr>
      <w:r>
        <w:rPr>
          <w:rFonts w:ascii="Calibri" w:cs="Calibri" w:eastAsia="Calibri" w:hAnsi="Calibri"/>
          <w:b/>
          <w:bCs/>
          <w:sz w:val="21"/>
          <w:szCs w:val="21"/>
        </w:rPr>
        <w:t xml:space="preserve">(d) </w:t>
      </w:r>
      <w:r>
        <w:rPr>
          <w:rFonts w:ascii="Calibri" w:cs="Calibri" w:eastAsia="Calibri" w:hAnsi="Calibri"/>
          <w:b/>
          <w:bCs/>
          <w:sz w:val="21"/>
          <w:szCs w:val="21"/>
        </w:rPr>
        <w:t xml:space="preserve">“Contributor”</w:t>
      </w:r>
      <w:r>
        <w:rPr>
          <w:rFonts w:ascii="Calibri" w:cs="Calibri" w:eastAsia="Calibri" w:hAnsi="Calibri"/>
          <w:sz w:val="21"/>
          <w:szCs w:val="21"/>
        </w:rPr>
        <w:t xml:space="preserve">, </w:t>
      </w:r>
      <w:r>
        <w:rPr>
          <w:rFonts w:ascii="Calibri" w:cs="Calibri" w:eastAsia="Calibri" w:hAnsi="Calibri"/>
          <w:b/>
          <w:bCs/>
          <w:sz w:val="21"/>
          <w:szCs w:val="21"/>
        </w:rPr>
        <w:t xml:space="preserve">“Submission,”</w:t>
      </w:r>
      <w:r>
        <w:rPr>
          <w:rFonts w:ascii="Calibri" w:cs="Calibri" w:eastAsia="Calibri" w:hAnsi="Calibri"/>
          <w:sz w:val="21"/>
          <w:szCs w:val="21"/>
        </w:rPr>
        <w:t xml:space="preserve"> and </w:t>
      </w:r>
      <w:r>
        <w:rPr>
          <w:rFonts w:ascii="Calibri" w:cs="Calibri" w:eastAsia="Calibri" w:hAnsi="Calibri"/>
          <w:b/>
          <w:bCs/>
          <w:sz w:val="21"/>
          <w:szCs w:val="21"/>
        </w:rPr>
        <w:t xml:space="preserve">“Derived Data”</w:t>
      </w:r>
      <w:r>
        <w:rPr>
          <w:rFonts w:ascii="Calibri" w:cs="Calibri" w:eastAsia="Calibri" w:hAnsi="Calibri"/>
          <w:sz w:val="21"/>
          <w:szCs w:val="21"/>
        </w:rPr>
        <w:t xml:space="preserve"> have the meanings given in the Agreement.</w:t>
      </w:r>
    </w:p>
    <w:p>
      <w:pPr>
        <w:pStyle w:val="Heading1"/>
        <w:spacing w:after="140" w:before="320"/>
      </w:pPr>
      <w:r>
        <w:rPr>
          <w:rFonts w:ascii="Calibri" w:cs="Calibri" w:eastAsia="Calibri" w:hAnsi="Calibri"/>
          <w:b/>
          <w:bCs/>
          <w:color w:val="1A1A1A"/>
          <w:sz w:val="26"/>
          <w:szCs w:val="26"/>
        </w:rPr>
        <w:t xml:space="preserve">2. Roles of the Parties</w:t>
      </w:r>
    </w:p>
    <w:p>
      <w:pPr>
        <w:spacing w:after="120" w:before="160" w:line="276"/>
      </w:pPr>
      <w:r>
        <w:rPr>
          <w:rFonts w:ascii="Calibri" w:cs="Calibri" w:eastAsia="Calibri" w:hAnsi="Calibri"/>
          <w:b/>
          <w:bCs/>
          <w:sz w:val="21"/>
          <w:szCs w:val="21"/>
        </w:rPr>
        <w:t xml:space="preserve">2.1. </w:t>
      </w:r>
      <w:r>
        <w:rPr>
          <w:rFonts w:ascii="Calibri" w:cs="Calibri" w:eastAsia="Calibri" w:hAnsi="Calibri"/>
          <w:b/>
          <w:bCs/>
          <w:sz w:val="21"/>
          <w:szCs w:val="21"/>
        </w:rPr>
        <w:t xml:space="preserve">Independent controllers by default. </w:t>
      </w:r>
      <w:r>
        <w:rPr>
          <w:rFonts w:ascii="Calibri" w:cs="Calibri" w:eastAsia="Calibri" w:hAnsi="Calibri"/>
          <w:sz w:val="21"/>
          <w:szCs w:val="21"/>
        </w:rPr>
        <w:t xml:space="preserve">Except as stated in Section 2.2, each Party acts as an independent Controller (or Business) determining its own purposes and means for the Program Personal Data it Processes. Neither Party is the Processor of the other by default. Each Party is independently responsible for complying with Applicable Data Protection Law for its own Processing.</w:t>
      </w:r>
    </w:p>
    <w:p>
      <w:pPr>
        <w:spacing w:after="120" w:before="160" w:line="276"/>
      </w:pPr>
      <w:r>
        <w:rPr>
          <w:rFonts w:ascii="Calibri" w:cs="Calibri" w:eastAsia="Calibri" w:hAnsi="Calibri"/>
          <w:b/>
          <w:bCs/>
          <w:sz w:val="21"/>
          <w:szCs w:val="21"/>
        </w:rPr>
        <w:t xml:space="preserve">2.2. </w:t>
      </w:r>
      <w:r>
        <w:rPr>
          <w:rFonts w:ascii="Calibri" w:cs="Calibri" w:eastAsia="Calibri" w:hAnsi="Calibri"/>
          <w:b/>
          <w:bCs/>
          <w:sz w:val="21"/>
          <w:szCs w:val="21"/>
        </w:rPr>
        <w:t xml:space="preserve">Limited processor relationship. </w:t>
      </w:r>
      <w:r>
        <w:rPr>
          <w:rFonts w:ascii="Calibri" w:cs="Calibri" w:eastAsia="Calibri" w:hAnsi="Calibri"/>
          <w:sz w:val="21"/>
          <w:szCs w:val="21"/>
        </w:rPr>
        <w:t xml:space="preserve">Where one Party Processes Personal Data solely on behalf of and under the documented instructions of the other Party for a specific purpose identified in Appendix A, the receiving Party acts as a Processor (or Service Provider) for that Processing, and Sections 4 and 5 apply to it.</w:t>
      </w:r>
    </w:p>
    <w:p>
      <w:pPr>
        <w:spacing w:after="120" w:before="160" w:line="276"/>
      </w:pPr>
      <w:r>
        <w:rPr>
          <w:rFonts w:ascii="Calibri" w:cs="Calibri" w:eastAsia="Calibri" w:hAnsi="Calibri"/>
          <w:b/>
          <w:bCs/>
          <w:sz w:val="21"/>
          <w:szCs w:val="21"/>
        </w:rPr>
        <w:t xml:space="preserve">2.3. </w:t>
      </w:r>
      <w:r>
        <w:rPr>
          <w:rFonts w:ascii="Calibri" w:cs="Calibri" w:eastAsia="Calibri" w:hAnsi="Calibri"/>
          <w:b/>
          <w:bCs/>
          <w:sz w:val="21"/>
          <w:szCs w:val="21"/>
        </w:rPr>
        <w:t xml:space="preserve">Contributor data. </w:t>
      </w:r>
      <w:r>
        <w:rPr>
          <w:rFonts w:ascii="Calibri" w:cs="Calibri" w:eastAsia="Calibri" w:hAnsi="Calibri"/>
          <w:sz w:val="21"/>
          <w:szCs w:val="21"/>
        </w:rPr>
        <w:t xml:space="preserve">Gofer AI administers Contributor accounts, consents, and privacy requests as described in the Privacy Policy. The Partner may receive limited program information about its participants (such as assigned Tasks, submission status, and verified activity hours) and acts as an independent Controller of that information for its own staff-training, volunteer, or community-service purposes.</w:t>
      </w:r>
    </w:p>
    <w:p>
      <w:pPr>
        <w:pStyle w:val="Heading1"/>
        <w:spacing w:after="140" w:before="320"/>
      </w:pPr>
      <w:r>
        <w:rPr>
          <w:rFonts w:ascii="Calibri" w:cs="Calibri" w:eastAsia="Calibri" w:hAnsi="Calibri"/>
          <w:b/>
          <w:bCs/>
          <w:color w:val="1A1A1A"/>
          <w:sz w:val="26"/>
          <w:szCs w:val="26"/>
        </w:rPr>
        <w:t xml:space="preserve">3. Scope and Compliance</w:t>
      </w:r>
    </w:p>
    <w:p>
      <w:pPr>
        <w:spacing w:after="120" w:before="160" w:line="276"/>
      </w:pPr>
      <w:r>
        <w:rPr>
          <w:rFonts w:ascii="Calibri" w:cs="Calibri" w:eastAsia="Calibri" w:hAnsi="Calibri"/>
          <w:b/>
          <w:bCs/>
          <w:sz w:val="21"/>
          <w:szCs w:val="21"/>
        </w:rPr>
        <w:t xml:space="preserve">3.1. </w:t>
      </w:r>
      <w:r>
        <w:rPr>
          <w:rFonts w:ascii="Calibri" w:cs="Calibri" w:eastAsia="Calibri" w:hAnsi="Calibri"/>
          <w:b/>
          <w:bCs/>
          <w:sz w:val="21"/>
          <w:szCs w:val="21"/>
        </w:rPr>
        <w:t xml:space="preserve">Subject matter. </w:t>
      </w:r>
      <w:r>
        <w:rPr>
          <w:rFonts w:ascii="Calibri" w:cs="Calibri" w:eastAsia="Calibri" w:hAnsi="Calibri"/>
          <w:sz w:val="21"/>
          <w:szCs w:val="21"/>
        </w:rPr>
        <w:t xml:space="preserve">The subject matter, duration, nature, purpose, categories of data, and categories of data subjects are described in Appendix A.</w:t>
      </w:r>
    </w:p>
    <w:p>
      <w:pPr>
        <w:spacing w:after="120" w:before="160" w:line="276"/>
      </w:pPr>
      <w:r>
        <w:rPr>
          <w:rFonts w:ascii="Calibri" w:cs="Calibri" w:eastAsia="Calibri" w:hAnsi="Calibri"/>
          <w:b/>
          <w:bCs/>
          <w:sz w:val="21"/>
          <w:szCs w:val="21"/>
        </w:rPr>
        <w:t xml:space="preserve">3.2. </w:t>
      </w:r>
      <w:r>
        <w:rPr>
          <w:rFonts w:ascii="Calibri" w:cs="Calibri" w:eastAsia="Calibri" w:hAnsi="Calibri"/>
          <w:b/>
          <w:bCs/>
          <w:sz w:val="21"/>
          <w:szCs w:val="21"/>
        </w:rPr>
        <w:t xml:space="preserve">Lawful basis and notices. </w:t>
      </w:r>
      <w:r>
        <w:rPr>
          <w:rFonts w:ascii="Calibri" w:cs="Calibri" w:eastAsia="Calibri" w:hAnsi="Calibri"/>
          <w:sz w:val="21"/>
          <w:szCs w:val="21"/>
        </w:rPr>
        <w:t xml:space="preserve">Each Party is responsible for establishing a lawful basis for its Processing and for providing the privacy notices Applicable Data Protection Law requires to its own personnel, participants, or data subjects. The Partner is responsible for notices and permissions required for recording at its worksites and for its staff or volunteers.</w:t>
      </w:r>
    </w:p>
    <w:p>
      <w:pPr>
        <w:spacing w:after="120" w:before="160" w:line="276"/>
      </w:pPr>
      <w:r>
        <w:rPr>
          <w:rFonts w:ascii="Calibri" w:cs="Calibri" w:eastAsia="Calibri" w:hAnsi="Calibri"/>
          <w:b/>
          <w:bCs/>
          <w:sz w:val="21"/>
          <w:szCs w:val="21"/>
        </w:rPr>
        <w:t xml:space="preserve">3.3. </w:t>
      </w:r>
      <w:r>
        <w:rPr>
          <w:rFonts w:ascii="Calibri" w:cs="Calibri" w:eastAsia="Calibri" w:hAnsi="Calibri"/>
          <w:b/>
          <w:bCs/>
          <w:sz w:val="21"/>
          <w:szCs w:val="21"/>
        </w:rPr>
        <w:t xml:space="preserve">No sale by Partner to Gofer AI. </w:t>
      </w:r>
      <w:r>
        <w:rPr>
          <w:rFonts w:ascii="Calibri" w:cs="Calibri" w:eastAsia="Calibri" w:hAnsi="Calibri"/>
          <w:sz w:val="21"/>
          <w:szCs w:val="21"/>
        </w:rPr>
        <w:t xml:space="preserve">The Partner does not sell Program Personal Data to Gofer AI. Any downstream licensing of Derived Data by Gofer AI to Commercial Purchasers is governed by the Agreement and the Privacy Policy, and Contributors may exercise opt-out rights as described there.</w:t>
      </w:r>
    </w:p>
    <w:p>
      <w:pPr>
        <w:pStyle w:val="Heading1"/>
        <w:spacing w:after="140" w:before="320"/>
      </w:pPr>
      <w:r>
        <w:rPr>
          <w:rFonts w:ascii="Calibri" w:cs="Calibri" w:eastAsia="Calibri" w:hAnsi="Calibri"/>
          <w:b/>
          <w:bCs/>
          <w:color w:val="1A1A1A"/>
          <w:sz w:val="26"/>
          <w:szCs w:val="26"/>
        </w:rPr>
        <w:t xml:space="preserve">4. Obligations Where a Party Acts as Processor / Service Provider</w:t>
      </w:r>
    </w:p>
    <w:p>
      <w:pPr>
        <w:spacing w:after="80" w:line="276"/>
        <w:jc w:val="left"/>
      </w:pPr>
      <w:r>
        <w:rPr>
          <w:rFonts w:ascii="Calibri" w:cs="Calibri" w:eastAsia="Calibri" w:hAnsi="Calibri"/>
          <w:sz w:val="21"/>
          <w:szCs w:val="21"/>
        </w:rPr>
        <w:t xml:space="preserve">Where Section 2.2 applies, the Processing Party will:</w:t>
      </w:r>
    </w:p>
    <w:p>
      <w:pPr>
        <w:pStyle w:val="ListParagraph"/>
        <w:numPr>
          <w:ilvl w:val="0"/>
          <w:numId w:val="2"/>
        </w:numPr>
        <w:spacing w:after="70" w:line="276"/>
      </w:pPr>
      <w:r>
        <w:rPr>
          <w:rFonts w:ascii="Calibri" w:cs="Calibri" w:eastAsia="Calibri" w:hAnsi="Calibri"/>
          <w:sz w:val="21"/>
          <w:szCs w:val="21"/>
        </w:rPr>
        <w:t xml:space="preserve">Process the Personal Data only on the documented instructions of the other Party and only for the purpose identified in Appendix A, and not sell or share it, or retain, use, or disclose it for any other purpose, except as permitted by Applicable Data Protection Law.</w:t>
      </w:r>
    </w:p>
    <w:p>
      <w:pPr>
        <w:pStyle w:val="ListParagraph"/>
        <w:numPr>
          <w:ilvl w:val="0"/>
          <w:numId w:val="2"/>
        </w:numPr>
        <w:spacing w:after="70" w:line="276"/>
      </w:pPr>
      <w:r>
        <w:rPr>
          <w:rFonts w:ascii="Calibri" w:cs="Calibri" w:eastAsia="Calibri" w:hAnsi="Calibri"/>
          <w:sz w:val="21"/>
          <w:szCs w:val="21"/>
        </w:rPr>
        <w:t xml:space="preserve">Impose confidentiality obligations on personnel authorized to Process the Personal Data.</w:t>
      </w:r>
    </w:p>
    <w:p>
      <w:pPr>
        <w:pStyle w:val="ListParagraph"/>
        <w:numPr>
          <w:ilvl w:val="0"/>
          <w:numId w:val="2"/>
        </w:numPr>
        <w:spacing w:after="70" w:line="276"/>
      </w:pPr>
      <w:r>
        <w:rPr>
          <w:rFonts w:ascii="Calibri" w:cs="Calibri" w:eastAsia="Calibri" w:hAnsi="Calibri"/>
          <w:sz w:val="21"/>
          <w:szCs w:val="21"/>
        </w:rPr>
        <w:t xml:space="preserve">Implement and maintain the security measures described in Section 6.</w:t>
      </w:r>
    </w:p>
    <w:p>
      <w:pPr>
        <w:pStyle w:val="ListParagraph"/>
        <w:numPr>
          <w:ilvl w:val="0"/>
          <w:numId w:val="2"/>
        </w:numPr>
        <w:spacing w:after="70" w:line="276"/>
      </w:pPr>
      <w:r>
        <w:rPr>
          <w:rFonts w:ascii="Calibri" w:cs="Calibri" w:eastAsia="Calibri" w:hAnsi="Calibri"/>
          <w:sz w:val="21"/>
          <w:szCs w:val="21"/>
        </w:rPr>
        <w:t xml:space="preserve">Engage sub-processors only under a written contract imposing materially equivalent obligations, and remain responsible for their performance.</w:t>
      </w:r>
    </w:p>
    <w:p>
      <w:pPr>
        <w:pStyle w:val="ListParagraph"/>
        <w:numPr>
          <w:ilvl w:val="0"/>
          <w:numId w:val="2"/>
        </w:numPr>
        <w:spacing w:after="70" w:line="276"/>
      </w:pPr>
      <w:r>
        <w:rPr>
          <w:rFonts w:ascii="Calibri" w:cs="Calibri" w:eastAsia="Calibri" w:hAnsi="Calibri"/>
          <w:sz w:val="21"/>
          <w:szCs w:val="21"/>
        </w:rPr>
        <w:t xml:space="preserve">Assist the other Party, taking into account the nature of the Processing, in responding to data-subject or consumer rights requests and in meeting security, breach-notification, and impact-assessment obligations.</w:t>
      </w:r>
    </w:p>
    <w:p>
      <w:pPr>
        <w:pStyle w:val="ListParagraph"/>
        <w:numPr>
          <w:ilvl w:val="0"/>
          <w:numId w:val="2"/>
        </w:numPr>
        <w:spacing w:after="70" w:line="276"/>
      </w:pPr>
      <w:r>
        <w:rPr>
          <w:rFonts w:ascii="Calibri" w:cs="Calibri" w:eastAsia="Calibri" w:hAnsi="Calibri"/>
          <w:sz w:val="21"/>
          <w:szCs w:val="21"/>
        </w:rPr>
        <w:t xml:space="preserve">On expiry or termination, delete or return the Personal Data at the other Party's choice, except where retention is required by law or the data has been de-identified or aggregated.</w:t>
      </w:r>
    </w:p>
    <w:p>
      <w:pPr>
        <w:pStyle w:val="ListParagraph"/>
        <w:numPr>
          <w:ilvl w:val="0"/>
          <w:numId w:val="2"/>
        </w:numPr>
        <w:spacing w:after="70" w:line="276"/>
      </w:pPr>
      <w:r>
        <w:rPr>
          <w:rFonts w:ascii="Calibri" w:cs="Calibri" w:eastAsia="Calibri" w:hAnsi="Calibri"/>
          <w:sz w:val="21"/>
          <w:szCs w:val="21"/>
        </w:rPr>
        <w:t xml:space="preserve">Make available information reasonably necessary to demonstrate compliance with this Section.</w:t>
      </w:r>
    </w:p>
    <w:p>
      <w:pPr>
        <w:pStyle w:val="Heading1"/>
        <w:spacing w:after="140" w:before="320"/>
      </w:pPr>
      <w:r>
        <w:rPr>
          <w:rFonts w:ascii="Calibri" w:cs="Calibri" w:eastAsia="Calibri" w:hAnsi="Calibri"/>
          <w:b/>
          <w:bCs/>
          <w:color w:val="1A1A1A"/>
          <w:sz w:val="26"/>
          <w:szCs w:val="26"/>
        </w:rPr>
        <w:t xml:space="preserve">5. Data-Subject and Consumer Requests</w:t>
      </w:r>
    </w:p>
    <w:p>
      <w:pPr>
        <w:spacing w:after="120" w:before="160" w:line="276"/>
      </w:pPr>
      <w:r>
        <w:rPr>
          <w:rFonts w:ascii="Calibri" w:cs="Calibri" w:eastAsia="Calibri" w:hAnsi="Calibri"/>
          <w:b/>
          <w:bCs/>
          <w:sz w:val="21"/>
          <w:szCs w:val="21"/>
        </w:rPr>
        <w:t xml:space="preserve">5.1. </w:t>
      </w:r>
      <w:r>
        <w:rPr>
          <w:rFonts w:ascii="Calibri" w:cs="Calibri" w:eastAsia="Calibri" w:hAnsi="Calibri"/>
          <w:b/>
          <w:bCs/>
          <w:sz w:val="21"/>
          <w:szCs w:val="21"/>
        </w:rPr>
        <w:t xml:space="preserve">Cooperation. </w:t>
      </w:r>
      <w:r>
        <w:rPr>
          <w:rFonts w:ascii="Calibri" w:cs="Calibri" w:eastAsia="Calibri" w:hAnsi="Calibri"/>
          <w:sz w:val="21"/>
          <w:szCs w:val="21"/>
        </w:rPr>
        <w:t xml:space="preserve">Each Party will cooperate in good faith and provide reasonable assistance to enable the other Party to respond to verified requests from data subjects or consumers to access, correct, delete, or opt out of the Processing of their Personal Data, to the extent the requested data is held by the other Party.</w:t>
      </w:r>
    </w:p>
    <w:p>
      <w:pPr>
        <w:spacing w:after="120" w:before="160" w:line="276"/>
      </w:pPr>
      <w:r>
        <w:rPr>
          <w:rFonts w:ascii="Calibri" w:cs="Calibri" w:eastAsia="Calibri" w:hAnsi="Calibri"/>
          <w:b/>
          <w:bCs/>
          <w:sz w:val="21"/>
          <w:szCs w:val="21"/>
        </w:rPr>
        <w:t xml:space="preserve">5.2. </w:t>
      </w:r>
      <w:r>
        <w:rPr>
          <w:rFonts w:ascii="Calibri" w:cs="Calibri" w:eastAsia="Calibri" w:hAnsi="Calibri"/>
          <w:b/>
          <w:bCs/>
          <w:sz w:val="21"/>
          <w:szCs w:val="21"/>
        </w:rPr>
        <w:t xml:space="preserve">Routing. </w:t>
      </w:r>
      <w:r>
        <w:rPr>
          <w:rFonts w:ascii="Calibri" w:cs="Calibri" w:eastAsia="Calibri" w:hAnsi="Calibri"/>
          <w:sz w:val="21"/>
          <w:szCs w:val="21"/>
        </w:rPr>
        <w:t xml:space="preserve">If a Party receives a request that concerns Personal Data primarily held or controlled by the other Party, it will, where lawful, promptly forward the request or direct the individual to the appropriate Party.</w:t>
      </w:r>
    </w:p>
    <w:p>
      <w:pPr>
        <w:pStyle w:val="Heading1"/>
        <w:spacing w:after="140" w:before="320"/>
      </w:pPr>
      <w:r>
        <w:rPr>
          <w:rFonts w:ascii="Calibri" w:cs="Calibri" w:eastAsia="Calibri" w:hAnsi="Calibri"/>
          <w:b/>
          <w:bCs/>
          <w:color w:val="1A1A1A"/>
          <w:sz w:val="26"/>
          <w:szCs w:val="26"/>
        </w:rPr>
        <w:t xml:space="preserve">6. Security</w:t>
      </w:r>
    </w:p>
    <w:p>
      <w:pPr>
        <w:spacing w:after="120" w:before="160" w:line="276"/>
      </w:pPr>
      <w:r>
        <w:rPr>
          <w:rFonts w:ascii="Calibri" w:cs="Calibri" w:eastAsia="Calibri" w:hAnsi="Calibri"/>
          <w:b/>
          <w:bCs/>
          <w:sz w:val="21"/>
          <w:szCs w:val="21"/>
        </w:rPr>
        <w:t xml:space="preserve">6.1. </w:t>
      </w:r>
      <w:r>
        <w:rPr>
          <w:rFonts w:ascii="Calibri" w:cs="Calibri" w:eastAsia="Calibri" w:hAnsi="Calibri"/>
          <w:b/>
          <w:bCs/>
          <w:sz w:val="21"/>
          <w:szCs w:val="21"/>
        </w:rPr>
        <w:t xml:space="preserve">Measures. </w:t>
      </w:r>
      <w:r>
        <w:rPr>
          <w:rFonts w:ascii="Calibri" w:cs="Calibri" w:eastAsia="Calibri" w:hAnsi="Calibri"/>
          <w:sz w:val="21"/>
          <w:szCs w:val="21"/>
        </w:rPr>
        <w:t xml:space="preserve">Each Party will implement and maintain administrative, technical, and physical safeguards appropriate to the risk, including access controls, encryption in transit and, where appropriate, at rest, logging, and personnel access limitations.</w:t>
      </w:r>
    </w:p>
    <w:p>
      <w:pPr>
        <w:spacing w:after="120" w:before="160" w:line="276"/>
      </w:pPr>
      <w:r>
        <w:rPr>
          <w:rFonts w:ascii="Calibri" w:cs="Calibri" w:eastAsia="Calibri" w:hAnsi="Calibri"/>
          <w:b/>
          <w:bCs/>
          <w:sz w:val="21"/>
          <w:szCs w:val="21"/>
        </w:rPr>
        <w:t xml:space="preserve">6.2. </w:t>
      </w:r>
      <w:r>
        <w:rPr>
          <w:rFonts w:ascii="Calibri" w:cs="Calibri" w:eastAsia="Calibri" w:hAnsi="Calibri"/>
          <w:b/>
          <w:bCs/>
          <w:sz w:val="21"/>
          <w:szCs w:val="21"/>
        </w:rPr>
        <w:t xml:space="preserve">Cloud infrastructure. </w:t>
      </w:r>
      <w:r>
        <w:rPr>
          <w:rFonts w:ascii="Calibri" w:cs="Calibri" w:eastAsia="Calibri" w:hAnsi="Calibri"/>
          <w:sz w:val="21"/>
          <w:szCs w:val="21"/>
        </w:rPr>
        <w:t xml:space="preserve">Gofer AI stores and Processes Program Personal Data on commercial cloud infrastructure (including Amazon Web Services) located in the United States.</w:t>
      </w:r>
    </w:p>
    <w:p>
      <w:pPr>
        <w:pStyle w:val="Heading1"/>
        <w:spacing w:after="140" w:before="320"/>
      </w:pPr>
      <w:r>
        <w:rPr>
          <w:rFonts w:ascii="Calibri" w:cs="Calibri" w:eastAsia="Calibri" w:hAnsi="Calibri"/>
          <w:b/>
          <w:bCs/>
          <w:color w:val="1A1A1A"/>
          <w:sz w:val="26"/>
          <w:szCs w:val="26"/>
        </w:rPr>
        <w:t xml:space="preserve">7. Personal Data Breach</w:t>
      </w:r>
    </w:p>
    <w:p>
      <w:pPr>
        <w:spacing w:after="120" w:before="160" w:line="276"/>
      </w:pPr>
      <w:r>
        <w:rPr>
          <w:rFonts w:ascii="Calibri" w:cs="Calibri" w:eastAsia="Calibri" w:hAnsi="Calibri"/>
          <w:b/>
          <w:bCs/>
          <w:sz w:val="21"/>
          <w:szCs w:val="21"/>
        </w:rPr>
        <w:t xml:space="preserve">7.1. </w:t>
      </w:r>
      <w:r>
        <w:rPr>
          <w:rFonts w:ascii="Calibri" w:cs="Calibri" w:eastAsia="Calibri" w:hAnsi="Calibri"/>
          <w:b/>
          <w:bCs/>
          <w:sz w:val="21"/>
          <w:szCs w:val="21"/>
        </w:rPr>
        <w:t xml:space="preserve">Notification. </w:t>
      </w:r>
      <w:r>
        <w:rPr>
          <w:rFonts w:ascii="Calibri" w:cs="Calibri" w:eastAsia="Calibri" w:hAnsi="Calibri"/>
          <w:sz w:val="21"/>
          <w:szCs w:val="21"/>
        </w:rPr>
        <w:t xml:space="preserve">A Party that becomes aware of a Personal Data breach affecting Program Personal Data will notify the other Party without undue delay and, where feasible, within </w:t>
      </w:r>
      <w:r>
        <w:rPr>
          <w:rFonts w:ascii="Calibri" w:cs="Calibri" w:eastAsia="Calibri" w:hAnsi="Calibri"/>
          <w:sz w:val="21"/>
          <w:szCs w:val="21"/>
        </w:rPr>
        <w:t xml:space="preserve">__________</w:t>
      </w:r>
      <w:r>
        <w:rPr>
          <w:rFonts w:ascii="Calibri" w:cs="Calibri" w:eastAsia="Calibri" w:hAnsi="Calibri"/>
          <w:sz w:val="21"/>
          <w:szCs w:val="21"/>
        </w:rPr>
        <w:t xml:space="preserve"> hours of confirming the breach, and will provide information reasonably available to help the other Party meet its legal obligations.</w:t>
      </w:r>
    </w:p>
    <w:p>
      <w:pPr>
        <w:spacing w:after="120" w:before="160" w:line="276"/>
      </w:pPr>
      <w:r>
        <w:rPr>
          <w:rFonts w:ascii="Calibri" w:cs="Calibri" w:eastAsia="Calibri" w:hAnsi="Calibri"/>
          <w:b/>
          <w:bCs/>
          <w:sz w:val="21"/>
          <w:szCs w:val="21"/>
        </w:rPr>
        <w:t xml:space="preserve">7.2. </w:t>
      </w:r>
      <w:r>
        <w:rPr>
          <w:rFonts w:ascii="Calibri" w:cs="Calibri" w:eastAsia="Calibri" w:hAnsi="Calibri"/>
          <w:b/>
          <w:bCs/>
          <w:sz w:val="21"/>
          <w:szCs w:val="21"/>
        </w:rPr>
        <w:t xml:space="preserve">Cooperation. </w:t>
      </w:r>
      <w:r>
        <w:rPr>
          <w:rFonts w:ascii="Calibri" w:cs="Calibri" w:eastAsia="Calibri" w:hAnsi="Calibri"/>
          <w:sz w:val="21"/>
          <w:szCs w:val="21"/>
        </w:rPr>
        <w:t xml:space="preserve">The Parties will cooperate in good faith to investigate, mitigate, and remediate the breach and to determine any notification obligations to regulators or affected individuals.</w:t>
      </w:r>
    </w:p>
    <w:p>
      <w:pPr>
        <w:pStyle w:val="Heading1"/>
        <w:spacing w:after="140" w:before="320"/>
      </w:pPr>
      <w:r>
        <w:rPr>
          <w:rFonts w:ascii="Calibri" w:cs="Calibri" w:eastAsia="Calibri" w:hAnsi="Calibri"/>
          <w:b/>
          <w:bCs/>
          <w:color w:val="1A1A1A"/>
          <w:sz w:val="26"/>
          <w:szCs w:val="26"/>
        </w:rPr>
        <w:t xml:space="preserve">8. Data Location and Transfers</w:t>
      </w:r>
    </w:p>
    <w:p>
      <w:pPr>
        <w:spacing w:after="140" w:line="276"/>
        <w:jc w:val="left"/>
      </w:pPr>
      <w:r>
        <w:rPr>
          <w:rFonts w:ascii="Calibri" w:cs="Calibri" w:eastAsia="Calibri" w:hAnsi="Calibri"/>
          <w:sz w:val="21"/>
          <w:szCs w:val="21"/>
        </w:rPr>
        <w:t xml:space="preserve">The Services are currently offered in the United States, and Program Personal Data is stored and Processed in the United States. If the Parties later Process Personal Data subject to the laws of the European Union, the United Kingdom, or another region requiring a cross-border transfer mechanism, they will enter the additional terms and safeguards those laws require, which will be incorporated into this DPA by a written amendment.</w:t>
      </w:r>
    </w:p>
    <w:p>
      <w:pPr>
        <w:pStyle w:val="Heading1"/>
        <w:spacing w:after="140" w:before="320"/>
      </w:pPr>
      <w:r>
        <w:rPr>
          <w:rFonts w:ascii="Calibri" w:cs="Calibri" w:eastAsia="Calibri" w:hAnsi="Calibri"/>
          <w:b/>
          <w:bCs/>
          <w:color w:val="1A1A1A"/>
          <w:sz w:val="26"/>
          <w:szCs w:val="26"/>
        </w:rPr>
        <w:t xml:space="preserve">9. Liability, Term, and General</w:t>
      </w:r>
    </w:p>
    <w:p>
      <w:pPr>
        <w:spacing w:after="120" w:before="160" w:line="276"/>
      </w:pPr>
      <w:r>
        <w:rPr>
          <w:rFonts w:ascii="Calibri" w:cs="Calibri" w:eastAsia="Calibri" w:hAnsi="Calibri"/>
          <w:b/>
          <w:bCs/>
          <w:sz w:val="21"/>
          <w:szCs w:val="21"/>
        </w:rPr>
        <w:t xml:space="preserve">9.1. </w:t>
      </w:r>
      <w:r>
        <w:rPr>
          <w:rFonts w:ascii="Calibri" w:cs="Calibri" w:eastAsia="Calibri" w:hAnsi="Calibri"/>
          <w:b/>
          <w:bCs/>
          <w:sz w:val="21"/>
          <w:szCs w:val="21"/>
        </w:rPr>
        <w:t xml:space="preserve">Liability. </w:t>
      </w:r>
      <w:r>
        <w:rPr>
          <w:rFonts w:ascii="Calibri" w:cs="Calibri" w:eastAsia="Calibri" w:hAnsi="Calibri"/>
          <w:sz w:val="21"/>
          <w:szCs w:val="21"/>
        </w:rPr>
        <w:t xml:space="preserve">Each Party's liability under this DPA is subject to the limitations and exclusions of liability in the Agreement.</w:t>
      </w:r>
    </w:p>
    <w:p>
      <w:pPr>
        <w:spacing w:after="120" w:before="160" w:line="276"/>
      </w:pPr>
      <w:r>
        <w:rPr>
          <w:rFonts w:ascii="Calibri" w:cs="Calibri" w:eastAsia="Calibri" w:hAnsi="Calibri"/>
          <w:b/>
          <w:bCs/>
          <w:sz w:val="21"/>
          <w:szCs w:val="21"/>
        </w:rPr>
        <w:t xml:space="preserve">9.2. </w:t>
      </w:r>
      <w:r>
        <w:rPr>
          <w:rFonts w:ascii="Calibri" w:cs="Calibri" w:eastAsia="Calibri" w:hAnsi="Calibri"/>
          <w:b/>
          <w:bCs/>
          <w:sz w:val="21"/>
          <w:szCs w:val="21"/>
        </w:rPr>
        <w:t xml:space="preserve">Term. </w:t>
      </w:r>
      <w:r>
        <w:rPr>
          <w:rFonts w:ascii="Calibri" w:cs="Calibri" w:eastAsia="Calibri" w:hAnsi="Calibri"/>
          <w:sz w:val="21"/>
          <w:szCs w:val="21"/>
        </w:rPr>
        <w:t xml:space="preserve">This DPA takes effect on its date above and continues for as long as either Party Processes Program Personal Data under the Agreement. Provisions that by their nature should survive, including Sections 4 (final bullet), 5, 6, and 7, survive termination.</w:t>
      </w:r>
    </w:p>
    <w:p>
      <w:pPr>
        <w:spacing w:after="120" w:before="160" w:line="276"/>
      </w:pPr>
      <w:r>
        <w:rPr>
          <w:rFonts w:ascii="Calibri" w:cs="Calibri" w:eastAsia="Calibri" w:hAnsi="Calibri"/>
          <w:b/>
          <w:bCs/>
          <w:sz w:val="21"/>
          <w:szCs w:val="21"/>
        </w:rPr>
        <w:t xml:space="preserve">9.3. </w:t>
      </w:r>
      <w:r>
        <w:rPr>
          <w:rFonts w:ascii="Calibri" w:cs="Calibri" w:eastAsia="Calibri" w:hAnsi="Calibri"/>
          <w:b/>
          <w:bCs/>
          <w:sz w:val="21"/>
          <w:szCs w:val="21"/>
        </w:rPr>
        <w:t xml:space="preserve">Conflict and precedence. </w:t>
      </w:r>
      <w:r>
        <w:rPr>
          <w:rFonts w:ascii="Calibri" w:cs="Calibri" w:eastAsia="Calibri" w:hAnsi="Calibri"/>
          <w:sz w:val="21"/>
          <w:szCs w:val="21"/>
        </w:rPr>
        <w:t xml:space="preserve">In the event of a conflict between this DPA and the Agreement regarding the Processing of Personal Data, this DPA controls.</w:t>
      </w:r>
    </w:p>
    <w:p>
      <w:pPr>
        <w:pStyle w:val="Heading1"/>
        <w:spacing w:after="140" w:before="320"/>
      </w:pPr>
      <w:r>
        <w:rPr>
          <w:rFonts w:ascii="Calibri" w:cs="Calibri" w:eastAsia="Calibri" w:hAnsi="Calibri"/>
          <w:b/>
          <w:bCs/>
          <w:color w:val="1A1A1A"/>
          <w:sz w:val="26"/>
          <w:szCs w:val="26"/>
        </w:rPr>
        <w:t xml:space="preserve">Appendix A — Description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EEEEE" w:sz="2"/>
              <w:left w:val="single" w:color="EEEEEE" w:sz="2"/>
              <w:bottom w:val="single" w:color="EEEEEE" w:sz="2"/>
              <w:right w:val="single" w:color="EEEEEE" w:sz="2"/>
            </w:tcBorders>
            <w:shd w:fill="F7F7F7" w:val="clear"/>
            <w:tcMar>
              <w:top w:type="dxa" w:w="60"/>
              <w:left w:type="dxa" w:w="100"/>
              <w:bottom w:type="dxa" w:w="60"/>
              <w:right w:type="dxa" w:w="100"/>
            </w:tcMar>
          </w:tcPr>
          <w:p>
            <w:r>
              <w:rPr>
                <w:rFonts w:ascii="Calibri" w:cs="Calibri" w:eastAsia="Calibri" w:hAnsi="Calibri"/>
                <w:b/>
                <w:bCs/>
                <w:sz w:val="20"/>
                <w:szCs w:val="20"/>
              </w:rPr>
              <w:t xml:space="preserve">Nature and purpose of Processing</w:t>
            </w:r>
          </w:p>
        </w:tc>
        <w:tc>
          <w:tcPr>
            <w:tcW w:type="dxa" w:w="6160"/>
            <w:tcBorders>
              <w:top w:val="single" w:color="EEEEEE" w:sz="2"/>
              <w:left w:val="single" w:color="EEEEEE" w:sz="2"/>
              <w:bottom w:val="single" w:color="EEEEEE" w:sz="2"/>
              <w:right w:val="single" w:color="EEEEEE" w:sz="2"/>
            </w:tcBorders>
            <w:tcMar>
              <w:top w:type="dxa" w:w="60"/>
              <w:left w:type="dxa" w:w="100"/>
              <w:bottom w:type="dxa" w:w="60"/>
              <w:right w:type="dxa" w:w="100"/>
            </w:tcMar>
          </w:tcPr>
          <w:p>
            <w:r>
              <w:rPr>
                <w:rFonts w:ascii="Calibri" w:cs="Calibri" w:eastAsia="Calibri" w:hAnsi="Calibri"/>
                <w:sz w:val="20"/>
                <w:szCs w:val="20"/>
              </w:rPr>
              <w:t xml:space="preserve">Capturing approved task recordings; generating Derived Data; cataloging and licensing data to approved Commercial Purchasers; administering the Partner Program</w:t>
            </w:r>
          </w:p>
        </w:tc>
      </w:tr>
      <w:tr>
        <w:tc>
          <w:tcPr>
            <w:tcW w:type="dxa" w:w="3200"/>
            <w:tcBorders>
              <w:top w:val="single" w:color="EEEEEE" w:sz="2"/>
              <w:left w:val="single" w:color="EEEEEE" w:sz="2"/>
              <w:bottom w:val="single" w:color="EEEEEE" w:sz="2"/>
              <w:right w:val="single" w:color="EEEEEE" w:sz="2"/>
            </w:tcBorders>
            <w:shd w:fill="F7F7F7" w:val="clear"/>
            <w:tcMar>
              <w:top w:type="dxa" w:w="60"/>
              <w:left w:type="dxa" w:w="100"/>
              <w:bottom w:type="dxa" w:w="60"/>
              <w:right w:type="dxa" w:w="100"/>
            </w:tcMar>
          </w:tcPr>
          <w:p>
            <w:r>
              <w:rPr>
                <w:rFonts w:ascii="Calibri" w:cs="Calibri" w:eastAsia="Calibri" w:hAnsi="Calibri"/>
                <w:b/>
                <w:bCs/>
                <w:sz w:val="20"/>
                <w:szCs w:val="20"/>
              </w:rPr>
              <w:t xml:space="preserve">Categories of data subjects</w:t>
            </w:r>
          </w:p>
        </w:tc>
        <w:tc>
          <w:tcPr>
            <w:tcW w:type="dxa" w:w="6160"/>
            <w:tcBorders>
              <w:top w:val="single" w:color="EEEEEE" w:sz="2"/>
              <w:left w:val="single" w:color="EEEEEE" w:sz="2"/>
              <w:bottom w:val="single" w:color="EEEEEE" w:sz="2"/>
              <w:right w:val="single" w:color="EEEEEE" w:sz="2"/>
            </w:tcBorders>
            <w:tcMar>
              <w:top w:type="dxa" w:w="60"/>
              <w:left w:type="dxa" w:w="100"/>
              <w:bottom w:type="dxa" w:w="60"/>
              <w:right w:type="dxa" w:w="100"/>
            </w:tcMar>
          </w:tcPr>
          <w:p>
            <w:r>
              <w:rPr>
                <w:rFonts w:ascii="Calibri" w:cs="Calibri" w:eastAsia="Calibri" w:hAnsi="Calibri"/>
                <w:sz w:val="20"/>
                <w:szCs w:val="20"/>
              </w:rPr>
              <w:t xml:space="preserve">Adult (18+) staff and volunteers of the Partner authorized to participate</w:t>
            </w:r>
          </w:p>
        </w:tc>
      </w:tr>
      <w:tr>
        <w:tc>
          <w:tcPr>
            <w:tcW w:type="dxa" w:w="3200"/>
            <w:tcBorders>
              <w:top w:val="single" w:color="EEEEEE" w:sz="2"/>
              <w:left w:val="single" w:color="EEEEEE" w:sz="2"/>
              <w:bottom w:val="single" w:color="EEEEEE" w:sz="2"/>
              <w:right w:val="single" w:color="EEEEEE" w:sz="2"/>
            </w:tcBorders>
            <w:shd w:fill="F7F7F7" w:val="clear"/>
            <w:tcMar>
              <w:top w:type="dxa" w:w="60"/>
              <w:left w:type="dxa" w:w="100"/>
              <w:bottom w:type="dxa" w:w="60"/>
              <w:right w:type="dxa" w:w="100"/>
            </w:tcMar>
          </w:tcPr>
          <w:p>
            <w:r>
              <w:rPr>
                <w:rFonts w:ascii="Calibri" w:cs="Calibri" w:eastAsia="Calibri" w:hAnsi="Calibri"/>
                <w:b/>
                <w:bCs/>
                <w:sz w:val="20"/>
                <w:szCs w:val="20"/>
              </w:rPr>
              <w:t xml:space="preserve">Categories of Personal Data</w:t>
            </w:r>
          </w:p>
        </w:tc>
        <w:tc>
          <w:tcPr>
            <w:tcW w:type="dxa" w:w="6160"/>
            <w:tcBorders>
              <w:top w:val="single" w:color="EEEEEE" w:sz="2"/>
              <w:left w:val="single" w:color="EEEEEE" w:sz="2"/>
              <w:bottom w:val="single" w:color="EEEEEE" w:sz="2"/>
              <w:right w:val="single" w:color="EEEEEE" w:sz="2"/>
            </w:tcBorders>
            <w:tcMar>
              <w:top w:type="dxa" w:w="60"/>
              <w:left w:type="dxa" w:w="100"/>
              <w:bottom w:type="dxa" w:w="60"/>
              <w:right w:type="dxa" w:w="100"/>
            </w:tcMar>
          </w:tcPr>
          <w:p>
            <w:r>
              <w:rPr>
                <w:rFonts w:ascii="Calibri" w:cs="Calibri" w:eastAsia="Calibri" w:hAnsi="Calibri"/>
                <w:sz w:val="20"/>
                <w:szCs w:val="20"/>
              </w:rPr>
              <w:t xml:space="preserve">Account and contact data; Submissions (video, images, metadata); Derived Data (hand pose, motion, depth, labels); participation records</w:t>
            </w:r>
          </w:p>
        </w:tc>
      </w:tr>
      <w:tr>
        <w:tc>
          <w:tcPr>
            <w:tcW w:type="dxa" w:w="3200"/>
            <w:tcBorders>
              <w:top w:val="single" w:color="EEEEEE" w:sz="2"/>
              <w:left w:val="single" w:color="EEEEEE" w:sz="2"/>
              <w:bottom w:val="single" w:color="EEEEEE" w:sz="2"/>
              <w:right w:val="single" w:color="EEEEEE" w:sz="2"/>
            </w:tcBorders>
            <w:shd w:fill="F7F7F7" w:val="clear"/>
            <w:tcMar>
              <w:top w:type="dxa" w:w="60"/>
              <w:left w:type="dxa" w:w="100"/>
              <w:bottom w:type="dxa" w:w="60"/>
              <w:right w:type="dxa" w:w="100"/>
            </w:tcMar>
          </w:tcPr>
          <w:p>
            <w:r>
              <w:rPr>
                <w:rFonts w:ascii="Calibri" w:cs="Calibri" w:eastAsia="Calibri" w:hAnsi="Calibri"/>
                <w:b/>
                <w:bCs/>
                <w:sz w:val="20"/>
                <w:szCs w:val="20"/>
              </w:rPr>
              <w:t xml:space="preserve">Sensitive / special-category data</w:t>
            </w:r>
          </w:p>
        </w:tc>
        <w:tc>
          <w:tcPr>
            <w:tcW w:type="dxa" w:w="6160"/>
            <w:tcBorders>
              <w:top w:val="single" w:color="EEEEEE" w:sz="2"/>
              <w:left w:val="single" w:color="EEEEEE" w:sz="2"/>
              <w:bottom w:val="single" w:color="EEEEEE" w:sz="2"/>
              <w:right w:val="single" w:color="EEEEEE" w:sz="2"/>
            </w:tcBorders>
            <w:tcMar>
              <w:top w:type="dxa" w:w="60"/>
              <w:left w:type="dxa" w:w="100"/>
              <w:bottom w:type="dxa" w:w="60"/>
              <w:right w:type="dxa" w:w="100"/>
            </w:tcMar>
          </w:tcPr>
          <w:p>
            <w:r>
              <w:rPr>
                <w:rFonts w:ascii="Calibri" w:cs="Calibri" w:eastAsia="Calibri" w:hAnsi="Calibri"/>
                <w:sz w:val="20"/>
                <w:szCs w:val="20"/>
              </w:rPr>
              <w:t xml:space="preserve">Body- and motion-derived data that may be regulated as biometric under some state laws; handled per the Privacy Policy and separate consent</w:t>
            </w:r>
          </w:p>
        </w:tc>
      </w:tr>
      <w:tr>
        <w:tc>
          <w:tcPr>
            <w:tcW w:type="dxa" w:w="3200"/>
            <w:tcBorders>
              <w:top w:val="single" w:color="EEEEEE" w:sz="2"/>
              <w:left w:val="single" w:color="EEEEEE" w:sz="2"/>
              <w:bottom w:val="single" w:color="EEEEEE" w:sz="2"/>
              <w:right w:val="single" w:color="EEEEEE" w:sz="2"/>
            </w:tcBorders>
            <w:shd w:fill="F7F7F7" w:val="clear"/>
            <w:tcMar>
              <w:top w:type="dxa" w:w="60"/>
              <w:left w:type="dxa" w:w="100"/>
              <w:bottom w:type="dxa" w:w="60"/>
              <w:right w:type="dxa" w:w="100"/>
            </w:tcMar>
          </w:tcPr>
          <w:p>
            <w:r>
              <w:rPr>
                <w:rFonts w:ascii="Calibri" w:cs="Calibri" w:eastAsia="Calibri" w:hAnsi="Calibri"/>
                <w:b/>
                <w:bCs/>
                <w:sz w:val="20"/>
                <w:szCs w:val="20"/>
              </w:rPr>
              <w:t xml:space="preserve">Duration of Processing</w:t>
            </w:r>
          </w:p>
        </w:tc>
        <w:tc>
          <w:tcPr>
            <w:tcW w:type="dxa" w:w="6160"/>
            <w:tcBorders>
              <w:top w:val="single" w:color="EEEEEE" w:sz="2"/>
              <w:left w:val="single" w:color="EEEEEE" w:sz="2"/>
              <w:bottom w:val="single" w:color="EEEEEE" w:sz="2"/>
              <w:right w:val="single" w:color="EEEEEE" w:sz="2"/>
            </w:tcBorders>
            <w:tcMar>
              <w:top w:type="dxa" w:w="60"/>
              <w:left w:type="dxa" w:w="100"/>
              <w:bottom w:type="dxa" w:w="60"/>
              <w:right w:type="dxa" w:w="100"/>
            </w:tcMar>
          </w:tcPr>
          <w:p>
            <w:r>
              <w:rPr>
                <w:rFonts w:ascii="Calibri" w:cs="Calibri" w:eastAsia="Calibri" w:hAnsi="Calibri"/>
                <w:sz w:val="20"/>
                <w:szCs w:val="20"/>
              </w:rPr>
              <w:t xml:space="preserve">The pilot term and any survival period stated in the Agreement</w:t>
            </w:r>
          </w:p>
        </w:tc>
      </w:tr>
      <w:tr>
        <w:tc>
          <w:tcPr>
            <w:tcW w:type="dxa" w:w="3200"/>
            <w:tcBorders>
              <w:top w:val="single" w:color="EEEEEE" w:sz="2"/>
              <w:left w:val="single" w:color="EEEEEE" w:sz="2"/>
              <w:bottom w:val="single" w:color="EEEEEE" w:sz="2"/>
              <w:right w:val="single" w:color="EEEEEE" w:sz="2"/>
            </w:tcBorders>
            <w:shd w:fill="F7F7F7" w:val="clear"/>
            <w:tcMar>
              <w:top w:type="dxa" w:w="60"/>
              <w:left w:type="dxa" w:w="100"/>
              <w:bottom w:type="dxa" w:w="60"/>
              <w:right w:type="dxa" w:w="100"/>
            </w:tcMar>
          </w:tcPr>
          <w:p>
            <w:r>
              <w:rPr>
                <w:rFonts w:ascii="Calibri" w:cs="Calibri" w:eastAsia="Calibri" w:hAnsi="Calibri"/>
                <w:b/>
                <w:bCs/>
                <w:sz w:val="20"/>
                <w:szCs w:val="20"/>
              </w:rPr>
              <w:t xml:space="preserve">Sub-processors (categories)</w:t>
            </w:r>
          </w:p>
        </w:tc>
        <w:tc>
          <w:tcPr>
            <w:tcW w:type="dxa" w:w="6160"/>
            <w:tcBorders>
              <w:top w:val="single" w:color="EEEEEE" w:sz="2"/>
              <w:left w:val="single" w:color="EEEEEE" w:sz="2"/>
              <w:bottom w:val="single" w:color="EEEEEE" w:sz="2"/>
              <w:right w:val="single" w:color="EEEEEE" w:sz="2"/>
            </w:tcBorders>
            <w:tcMar>
              <w:top w:type="dxa" w:w="60"/>
              <w:left w:type="dxa" w:w="100"/>
              <w:bottom w:type="dxa" w:w="60"/>
              <w:right w:type="dxa" w:w="100"/>
            </w:tcMar>
          </w:tcPr>
          <w:p>
            <w:r>
              <w:rPr>
                <w:rFonts w:ascii="Calibri" w:cs="Calibri" w:eastAsia="Calibri" w:hAnsi="Calibri"/>
                <w:sz w:val="20"/>
                <w:szCs w:val="20"/>
              </w:rPr>
              <w:t xml:space="preserve">Cloud hosting and storage (incl. AWS); payment processing (Stripe); analytics and support tooling</w:t>
            </w:r>
          </w:p>
        </w:tc>
      </w:tr>
      <w:tr>
        <w:tc>
          <w:tcPr>
            <w:tcW w:type="dxa" w:w="3200"/>
            <w:tcBorders>
              <w:top w:val="single" w:color="EEEEEE" w:sz="2"/>
              <w:left w:val="single" w:color="EEEEEE" w:sz="2"/>
              <w:bottom w:val="single" w:color="EEEEEE" w:sz="2"/>
              <w:right w:val="single" w:color="EEEEEE" w:sz="2"/>
            </w:tcBorders>
            <w:shd w:fill="F7F7F7" w:val="clear"/>
            <w:tcMar>
              <w:top w:type="dxa" w:w="60"/>
              <w:left w:type="dxa" w:w="100"/>
              <w:bottom w:type="dxa" w:w="60"/>
              <w:right w:type="dxa" w:w="100"/>
            </w:tcMar>
          </w:tcPr>
          <w:p>
            <w:r>
              <w:rPr>
                <w:rFonts w:ascii="Calibri" w:cs="Calibri" w:eastAsia="Calibri" w:hAnsi="Calibri"/>
                <w:b/>
                <w:bCs/>
                <w:sz w:val="20"/>
                <w:szCs w:val="20"/>
              </w:rPr>
              <w:t xml:space="preserve">Processing locations</w:t>
            </w:r>
          </w:p>
        </w:tc>
        <w:tc>
          <w:tcPr>
            <w:tcW w:type="dxa" w:w="6160"/>
            <w:tcBorders>
              <w:top w:val="single" w:color="EEEEEE" w:sz="2"/>
              <w:left w:val="single" w:color="EEEEEE" w:sz="2"/>
              <w:bottom w:val="single" w:color="EEEEEE" w:sz="2"/>
              <w:right w:val="single" w:color="EEEEEE" w:sz="2"/>
            </w:tcBorders>
            <w:tcMar>
              <w:top w:type="dxa" w:w="60"/>
              <w:left w:type="dxa" w:w="100"/>
              <w:bottom w:type="dxa" w:w="60"/>
              <w:right w:type="dxa" w:w="100"/>
            </w:tcMar>
          </w:tcPr>
          <w:p>
            <w:r>
              <w:rPr>
                <w:rFonts w:ascii="Calibri" w:cs="Calibri" w:eastAsia="Calibri" w:hAnsi="Calibri"/>
                <w:sz w:val="20"/>
                <w:szCs w:val="20"/>
              </w:rPr>
              <w:t xml:space="preserve">United States</w:t>
            </w:r>
          </w:p>
        </w:tc>
      </w:tr>
    </w:tbl>
    <w:p>
      <w:pPr>
        <w:pStyle w:val="Heading1"/>
        <w:spacing w:after="140" w:before="320"/>
      </w:pPr>
      <w:r>
        <w:rPr>
          <w:rFonts w:ascii="Calibri" w:cs="Calibri" w:eastAsia="Calibri" w:hAnsi="Calibri"/>
          <w:b/>
          <w:bCs/>
          <w:color w:val="1A1A1A"/>
          <w:sz w:val="26"/>
          <w:szCs w:val="26"/>
        </w:rPr>
        <w:t xml:space="preserve">Signatures</w:t>
      </w:r>
    </w:p>
    <w:p>
      <w:pPr>
        <w:spacing w:after="200" w:line="276"/>
        <w:jc w:val="left"/>
      </w:pPr>
      <w:r>
        <w:rPr>
          <w:rFonts w:ascii="Calibri" w:cs="Calibri" w:eastAsia="Calibri" w:hAnsi="Calibri"/>
          <w:sz w:val="21"/>
          <w:szCs w:val="21"/>
        </w:rPr>
        <w:t xml:space="preserve">This DPA is executed by the Parties' authorized representatives.</w:t>
      </w:r>
    </w:p>
    <w:p>
      <w:pPr>
        <w:spacing w:after="40" w:before="120"/>
      </w:pPr>
      <w:r>
        <w:rPr>
          <w:rFonts w:ascii="Calibri" w:cs="Calibri" w:eastAsia="Calibri" w:hAnsi="Calibri"/>
          <w:b/>
          <w:bCs/>
          <w:sz w:val="21"/>
          <w:szCs w:val="21"/>
        </w:rPr>
        <w:t xml:space="preserve">GOFER AI, INC.</w:t>
      </w:r>
    </w:p>
    <w:p>
      <w:pPr>
        <w:spacing w:after="40" w:before="260"/>
      </w:pPr>
      <w:r>
        <w:rPr>
          <w:rFonts w:ascii="Calibri" w:cs="Calibri" w:eastAsia="Calibri" w:hAnsi="Calibri"/>
          <w:sz w:val="21"/>
          <w:szCs w:val="21"/>
        </w:rPr>
        <w:t xml:space="preserve">____________________________________</w:t>
      </w:r>
    </w:p>
    <w:p>
      <w:pPr>
        <w:spacing w:after="160"/>
      </w:pPr>
      <w:r>
        <w:rPr>
          <w:rFonts w:ascii="Calibri" w:cs="Calibri" w:eastAsia="Calibri" w:hAnsi="Calibri"/>
          <w:color w:val="555555"/>
          <w:sz w:val="18"/>
          <w:szCs w:val="18"/>
        </w:rPr>
        <w:t xml:space="preserve">Authorized signature</w:t>
      </w:r>
    </w:p>
    <w:p>
      <w:pPr>
        <w:spacing w:after="40" w:line="276"/>
        <w:jc w:val="left"/>
      </w:pPr>
      <w:r>
        <w:rPr>
          <w:rFonts w:ascii="Calibri" w:cs="Calibri" w:eastAsia="Calibri" w:hAnsi="Calibri"/>
          <w:b/>
          <w:bCs/>
          <w:sz w:val="21"/>
          <w:szCs w:val="21"/>
        </w:rPr>
        <w:t xml:space="preserve">Name: </w:t>
      </w:r>
      <w:r>
        <w:rPr>
          <w:rFonts w:ascii="Calibri" w:cs="Calibri" w:eastAsia="Calibri" w:hAnsi="Calibri"/>
          <w:sz w:val="21"/>
          <w:szCs w:val="21"/>
        </w:rPr>
        <w:t xml:space="preserve">________________________</w:t>
      </w:r>
    </w:p>
    <w:p>
      <w:pPr>
        <w:spacing w:after="40" w:line="276"/>
        <w:jc w:val="left"/>
      </w:pPr>
      <w:r>
        <w:rPr>
          <w:rFonts w:ascii="Calibri" w:cs="Calibri" w:eastAsia="Calibri" w:hAnsi="Calibri"/>
          <w:b/>
          <w:bCs/>
          <w:sz w:val="21"/>
          <w:szCs w:val="21"/>
        </w:rPr>
        <w:t xml:space="preserve">Title: </w:t>
      </w:r>
      <w:r>
        <w:rPr>
          <w:rFonts w:ascii="Calibri" w:cs="Calibri" w:eastAsia="Calibri" w:hAnsi="Calibri"/>
          <w:sz w:val="21"/>
          <w:szCs w:val="21"/>
        </w:rPr>
        <w:t xml:space="preserve">________________________</w:t>
      </w:r>
    </w:p>
    <w:p>
      <w:pPr>
        <w:spacing w:after="240" w:line="276"/>
        <w:jc w:val="left"/>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________________________</w:t>
      </w:r>
    </w:p>
    <w:p>
      <w:pPr>
        <w:spacing w:after="40" w:before="120"/>
      </w:pPr>
      <w:r>
        <w:rPr>
          <w:rFonts w:ascii="Calibri" w:cs="Calibri" w:eastAsia="Calibri" w:hAnsi="Calibri"/>
          <w:b/>
          <w:bCs/>
          <w:sz w:val="21"/>
          <w:szCs w:val="21"/>
        </w:rPr>
        <w:t xml:space="preserve">PARTNER ORGANIZATION</w:t>
      </w:r>
    </w:p>
    <w:p>
      <w:pPr>
        <w:spacing w:after="40" w:before="260"/>
      </w:pPr>
      <w:r>
        <w:rPr>
          <w:rFonts w:ascii="Calibri" w:cs="Calibri" w:eastAsia="Calibri" w:hAnsi="Calibri"/>
          <w:sz w:val="21"/>
          <w:szCs w:val="21"/>
        </w:rPr>
        <w:t xml:space="preserve">____________________________________</w:t>
      </w:r>
    </w:p>
    <w:p>
      <w:pPr>
        <w:spacing w:after="160"/>
      </w:pPr>
      <w:r>
        <w:rPr>
          <w:rFonts w:ascii="Calibri" w:cs="Calibri" w:eastAsia="Calibri" w:hAnsi="Calibri"/>
          <w:color w:val="555555"/>
          <w:sz w:val="18"/>
          <w:szCs w:val="18"/>
        </w:rPr>
        <w:t xml:space="preserve">Authorized signature</w:t>
      </w:r>
    </w:p>
    <w:p>
      <w:pPr>
        <w:spacing w:after="40" w:line="276"/>
        <w:jc w:val="left"/>
      </w:pPr>
      <w:r>
        <w:rPr>
          <w:rFonts w:ascii="Calibri" w:cs="Calibri" w:eastAsia="Calibri" w:hAnsi="Calibri"/>
          <w:b/>
          <w:bCs/>
          <w:sz w:val="21"/>
          <w:szCs w:val="21"/>
        </w:rPr>
        <w:t xml:space="preserve">Name: </w:t>
      </w:r>
      <w:r>
        <w:rPr>
          <w:rFonts w:ascii="Calibri" w:cs="Calibri" w:eastAsia="Calibri" w:hAnsi="Calibri"/>
          <w:sz w:val="21"/>
          <w:szCs w:val="21"/>
        </w:rPr>
        <w:t xml:space="preserve">________________________</w:t>
      </w:r>
    </w:p>
    <w:p>
      <w:pPr>
        <w:spacing w:after="40" w:line="276"/>
        <w:jc w:val="left"/>
      </w:pPr>
      <w:r>
        <w:rPr>
          <w:rFonts w:ascii="Calibri" w:cs="Calibri" w:eastAsia="Calibri" w:hAnsi="Calibri"/>
          <w:b/>
          <w:bCs/>
          <w:sz w:val="21"/>
          <w:szCs w:val="21"/>
        </w:rPr>
        <w:t xml:space="preserve">Title: </w:t>
      </w:r>
      <w:r>
        <w:rPr>
          <w:rFonts w:ascii="Calibri" w:cs="Calibri" w:eastAsia="Calibri" w:hAnsi="Calibri"/>
          <w:sz w:val="21"/>
          <w:szCs w:val="21"/>
        </w:rPr>
        <w:t xml:space="preserve">________________________</w:t>
      </w:r>
    </w:p>
    <w:p>
      <w:pPr>
        <w:spacing w:after="40" w:line="276"/>
        <w:jc w:val="left"/>
      </w:pPr>
      <w:r>
        <w:rPr>
          <w:rFonts w:ascii="Calibri" w:cs="Calibri" w:eastAsia="Calibri" w:hAnsi="Calibri"/>
          <w:b/>
          <w:bCs/>
          <w:sz w:val="21"/>
          <w:szCs w:val="21"/>
        </w:rPr>
        <w:t xml:space="preserve">Organization: </w:t>
      </w:r>
      <w:r>
        <w:rPr>
          <w:rFonts w:ascii="Calibri" w:cs="Calibri" w:eastAsia="Calibri" w:hAnsi="Calibri"/>
          <w:sz w:val="21"/>
          <w:szCs w:val="21"/>
        </w:rPr>
        <w:t xml:space="preserve">________________________</w:t>
      </w:r>
    </w:p>
    <w:p>
      <w:pPr>
        <w:spacing w:after="120" w:line="276"/>
        <w:jc w:val="left"/>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Gofer AI, Inc.  |  Data Processing Addendum — Draft  |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999999"/>
        <w:sz w:val="16"/>
        <w:szCs w:val="16"/>
      </w:rPr>
      <w:t xml:space="preserve">DRAFT FOR COUNSEL REVIEW — NOT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lvl w:ilvl="1" w15:tentative="1">
      <w:start w:val="1"/>
      <w:numFmt w:val="bullet"/>
      <w:lvlText w:val="–"/>
      <w:lvlJc w:val="left"/>
      <w:pPr>
        <w:ind w:left="11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Addendum</dc:title>
  <dc:creator>Gofer AI, Inc.</dc:creator>
  <cp:lastModifiedBy>Un-named</cp:lastModifiedBy>
  <cp:revision>1</cp:revision>
  <dcterms:created xsi:type="dcterms:W3CDTF">2026-08-20T18:28:28.334Z</dcterms:created>
  <dcterms:modified xsi:type="dcterms:W3CDTF">2026-08-20T18:28:28.356Z</dcterms:modified>
</cp:coreProperties>
</file>

<file path=docProps/custom.xml><?xml version="1.0" encoding="utf-8"?>
<Properties xmlns="http://schemas.openxmlformats.org/officeDocument/2006/custom-properties" xmlns:vt="http://schemas.openxmlformats.org/officeDocument/2006/docPropsVTypes"/>
</file>