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50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20.png" ContentType="image/png"/>
  <Override PartName="/word/media/rId23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Figures</w:t>
      </w:r>
      <w:r>
        <w:t xml:space="preserve"> </w:t>
      </w:r>
      <w:r>
        <w:t xml:space="preserve">for</w:t>
      </w:r>
      <w:r>
        <w:t xml:space="preserve"> </w:t>
      </w:r>
      <w:r>
        <w:t xml:space="preserve">manuscript</w:t>
      </w:r>
      <w:r>
        <w:t xml:space="preserve"> </w:t>
      </w:r>
      <w:r>
        <w:t xml:space="preserve">-</w:t>
      </w:r>
      <w:r>
        <w:t xml:space="preserve"> </w:t>
      </w:r>
      <w:r>
        <w:t xml:space="preserve">ATAC-Seq</w:t>
      </w:r>
    </w:p>
    <w:p>
      <w:pPr>
        <w:pStyle w:val="Date"/>
      </w:pPr>
      <w:r>
        <w:t xml:space="preserve">2023-07-28</w:t>
      </w:r>
    </w:p>
    <w:p>
      <w:pPr>
        <w:pStyle w:val="FirstParagraph"/>
      </w:pPr>
      <w:r>
        <w:rPr>
          <w:bCs/>
          <w:b/>
        </w:rPr>
        <w:t xml:space="preserve">Fig.</w:t>
      </w:r>
      <w:r>
        <w:t xml:space="preserve"> </w:t>
      </w:r>
      <w:r>
        <w:t xml:space="preserve">Fragment size distribution for a representative sample. Left,</w:t>
      </w:r>
      <w:r>
        <w:t xml:space="preserve"> </w:t>
      </w:r>
      <w:r>
        <w:t xml:space="preserve">distribution of the fragment size lengths; right, autocorrelation</w:t>
      </w:r>
      <w:r>
        <w:t xml:space="preserve"> </w:t>
      </w:r>
      <w:r>
        <w:t xml:space="preserve">coefficient showing the expected periodicity.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ragment_size_dist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Fig.</w:t>
      </w:r>
      <w:r>
        <w:t xml:space="preserve"> </w:t>
      </w:r>
      <w:r>
        <w:t xml:space="preserve">Heatmap showing correlation matrix between peaks.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peak_correlation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Fig.</w:t>
      </w:r>
      <w:r>
        <w:t xml:space="preserve"> </w:t>
      </w:r>
      <w:r>
        <w:t xml:space="preserve">Distribution of the TSS. Plot showing the distance from TSS against</w:t>
      </w:r>
      <w:r>
        <w:t xml:space="preserve"> </w:t>
      </w:r>
      <w:r>
        <w:t xml:space="preserve">the read density.</w:t>
      </w:r>
    </w:p>
    <w:p>
      <w:pPr>
        <w:pStyle w:val="BodyText"/>
      </w:pPr>
      <w:r>
        <w:drawing>
          <wp:inline>
            <wp:extent cx="4620126" cy="4158113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s_files/figure-docx/dtss_plot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4158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Fig.</w:t>
      </w:r>
      <w:r>
        <w:t xml:space="preserve"> </w:t>
      </w:r>
      <w:r>
        <w:t xml:space="preserve">Chromatin feature analysis showing the peak distribution across the</w:t>
      </w:r>
      <w:r>
        <w:t xml:space="preserve"> </w:t>
      </w:r>
      <w:r>
        <w:t xml:space="preserve">chromatin.</w:t>
      </w:r>
    </w:p>
    <w:p>
      <w:pPr>
        <w:pStyle w:val="BodyText"/>
      </w:pPr>
      <w:r>
        <w:drawing>
          <wp:inline>
            <wp:extent cx="5334000" cy="1778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peak_features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Fig.</w:t>
      </w:r>
      <w:r>
        <w:t xml:space="preserve"> </w:t>
      </w:r>
      <w:r>
        <w:t xml:space="preserve">Occupancy heatmap for peaks corresponding to selected genes (read</w:t>
      </w:r>
      <w:r>
        <w:t xml:space="preserve"> </w:t>
      </w:r>
      <w:r>
        <w:t xml:space="preserve">from file</w:t>
      </w:r>
      <w:r>
        <w:t xml:space="preserve"> </w:t>
      </w:r>
      <w:r>
        <w:rPr>
          <w:rStyle w:val="VerbatimChar"/>
        </w:rPr>
        <w:t xml:space="preserve">genesets_allgenes.csv</w:t>
      </w:r>
      <w:r>
        <w:t xml:space="preserve">)</w:t>
      </w:r>
    </w:p>
    <w:p>
      <w:pPr>
        <w:pStyle w:val="BodyText"/>
      </w:pPr>
      <w:r>
        <w:drawing>
          <wp:inline>
            <wp:extent cx="5334000" cy="93345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figures_files/figure-docx/unnamed-chunk-3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3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Fig.</w:t>
      </w:r>
      <w:r>
        <w:t xml:space="preserve"> </w:t>
      </w:r>
      <w:r>
        <w:t xml:space="preserve">Occupancy heatmap for peaks corresponding to top 30 differentially</w:t>
      </w:r>
      <w:r>
        <w:t xml:space="preserve"> </w:t>
      </w:r>
      <w:r>
        <w:t xml:space="preserve">binding peaks from each contrast.</w:t>
      </w:r>
    </w:p>
    <w:p>
      <w:pPr>
        <w:pStyle w:val="BodyText"/>
      </w:pPr>
      <w:r>
        <w:drawing>
          <wp:inline>
            <wp:extent cx="5334000" cy="10668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figures_files/figure-docx/unnamed-chunk-4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6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Fig.</w:t>
      </w:r>
      <w:r>
        <w:t xml:space="preserve"> </w:t>
      </w:r>
      <w:r>
        <w:t xml:space="preserve">Volcano plots showing peak fold changes (x axis9 and p-values (y</w:t>
      </w:r>
      <w:r>
        <w:t xml:space="preserve"> </w:t>
      </w:r>
      <w:r>
        <w:t xml:space="preserve">axis).</w:t>
      </w:r>
    </w:p>
    <w:p>
      <w:pPr>
        <w:pStyle w:val="BodyText"/>
      </w:pPr>
      <w:r>
        <w:drawing>
          <wp:inline>
            <wp:extent cx="5334000" cy="80010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figures_files/figure-docx/unnamed-chunk-5-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Fig.</w:t>
      </w:r>
      <w:r>
        <w:t xml:space="preserve"> </w:t>
      </w:r>
      <w:r>
        <w:t xml:space="preserve">Volcano plots showing peak fold changes (x axis9 and p-values (y</w:t>
      </w:r>
      <w:r>
        <w:t xml:space="preserve"> </w:t>
      </w:r>
      <w:r>
        <w:t xml:space="preserve">axis). Colors correspond to peaks associated with genes from the ISG gene set.</w:t>
      </w:r>
    </w:p>
    <w:p>
      <w:pPr>
        <w:pStyle w:val="BodyText"/>
      </w:pPr>
      <w:r>
        <w:drawing>
          <wp:inline>
            <wp:extent cx="5334000" cy="8001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figures_files/figure-docx/unnamed-chunk-6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8001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gures_files/figure-docx/unnamed-chunk-7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Figs. Panel plots.</w:t>
      </w:r>
      <w:r>
        <w:t xml:space="preserve"> </w:t>
      </w:r>
      <w:r>
        <w:t xml:space="preserve">Please use the figures from the report.</w:t>
      </w:r>
    </w:p>
    <w:p>
      <w:pPr>
        <w:pStyle w:val="BodyText"/>
      </w:pPr>
      <w:r>
        <w:rPr>
          <w:bCs/>
          <w:b/>
        </w:rPr>
        <w:t xml:space="preserve">Fig. Motif analysis.</w:t>
      </w:r>
      <w:r>
        <w:t xml:space="preserve"> </w:t>
      </w:r>
      <w:r>
        <w:t xml:space="preserve">Please use the motifs from the report.</w:t>
      </w:r>
    </w:p>
    <w:p>
      <w:pPr>
        <w:pStyle w:val="BodyText"/>
      </w:pPr>
      <w:r>
        <w:rPr>
          <w:bCs/>
          <w:b/>
        </w:rPr>
        <w:t xml:space="preserve">Fig. PCA</w:t>
      </w:r>
      <w:r>
        <w:t xml:space="preserve"> </w:t>
      </w:r>
      <w:r>
        <w:t xml:space="preserve">Principal component analysis (components 1 and 2).</w:t>
      </w:r>
    </w:p>
    <w:p>
      <w:pPr>
        <w:pStyle w:val="BodyText"/>
      </w:pPr>
      <w:r>
        <w:drawing>
          <wp:inline>
            <wp:extent cx="5334000" cy="45720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figures_files/figure-docx/unnamed-chunk-8-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Fig.</w:t>
      </w:r>
      <w:r>
        <w:t xml:space="preserve"> </w:t>
      </w:r>
      <w:r>
        <w:t xml:space="preserve">Evidence plot for cytoprotection (Reactome gene set</w:t>
      </w:r>
      <w:r>
        <w:t xml:space="preserve"> </w:t>
      </w:r>
      <w:r>
        <w:t xml:space="preserve">REACTOME_REGULATION_OF_HMOX1_EXPRESSION_AND_ACTIVITY, ID M41831).</w:t>
      </w:r>
    </w:p>
    <w:p>
      <w:pPr>
        <w:pStyle w:val="BodyText"/>
      </w:pPr>
      <w:r>
        <w:drawing>
          <wp:inline>
            <wp:extent cx="5334000" cy="466725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figures_files/figure-docx/unnamed-chunk-10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  <w:r>
        <w:rPr>
          <w:bCs/>
          <w:b/>
        </w:rPr>
        <w:t xml:space="preserve">Fig. Cluster profiler results separate by up- and down-regulated gene</w:t>
      </w:r>
      <w:r>
        <w:rPr>
          <w:bCs/>
          <w:b/>
        </w:rPr>
        <w:t xml:space="preserve"> </w:t>
      </w:r>
      <w:r>
        <w:rPr>
          <w:bCs/>
          <w:b/>
        </w:rPr>
        <w:t xml:space="preserve">sets.</w:t>
      </w:r>
      <w:r>
        <w:t xml:space="preserve"> </w:t>
      </w:r>
      <w:r>
        <w:t xml:space="preserve">Contrast uni_DMSO_vs_naive_ID0,</w:t>
      </w:r>
      <w:r>
        <w:t xml:space="preserve"> </w:t>
      </w:r>
      <w:r>
        <w:t xml:space="preserve">database GO,</w:t>
      </w:r>
      <w:r>
        <w:t xml:space="preserve"> </w:t>
      </w:r>
      <w:r>
        <w:t xml:space="preserve">subcategory BP.</w:t>
      </w:r>
    </w:p>
    <w:p>
      <w:r>
        <w:br w:type="page"/>
      </w:r>
    </w:p>
    <w:p>
      <w:pPr>
        <w:pStyle w:val="BodyText"/>
      </w:pPr>
      <w:r>
        <w:rPr>
          <w:bCs/>
          <w:b/>
        </w:rPr>
        <w:t xml:space="preserve">Fig. Cluster profiler results separate by up- and down-regulated gene</w:t>
      </w:r>
      <w:r>
        <w:rPr>
          <w:bCs/>
          <w:b/>
        </w:rPr>
        <w:t xml:space="preserve"> </w:t>
      </w:r>
      <w:r>
        <w:rPr>
          <w:bCs/>
          <w:b/>
        </w:rPr>
        <w:t xml:space="preserve">sets.</w:t>
      </w:r>
      <w:r>
        <w:t xml:space="preserve"> </w:t>
      </w:r>
      <w:r>
        <w:t xml:space="preserve">Contrast DMSO_inf_vs_uninf_ID1,</w:t>
      </w:r>
      <w:r>
        <w:t xml:space="preserve"> </w:t>
      </w:r>
      <w:r>
        <w:t xml:space="preserve">database GO,</w:t>
      </w:r>
      <w:r>
        <w:t xml:space="preserve"> </w:t>
      </w:r>
      <w:r>
        <w:t xml:space="preserve">subcategory BP.</w:t>
      </w:r>
    </w:p>
    <w:p>
      <w:pPr>
        <w:pStyle w:val="BodyText"/>
      </w:pPr>
      <w:r>
        <w:drawing>
          <wp:inline>
            <wp:extent cx="5334000" cy="200025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figures_files/figure-docx/unnamed-chunk-19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  <w:r>
        <w:rPr>
          <w:bCs/>
          <w:b/>
        </w:rPr>
        <w:t xml:space="preserve">Fig. Cluster profiler results separate by up- and down-regulated gene</w:t>
      </w:r>
      <w:r>
        <w:rPr>
          <w:bCs/>
          <w:b/>
        </w:rPr>
        <w:t xml:space="preserve"> </w:t>
      </w:r>
      <w:r>
        <w:rPr>
          <w:bCs/>
          <w:b/>
        </w:rPr>
        <w:t xml:space="preserve">sets.</w:t>
      </w:r>
      <w:r>
        <w:t xml:space="preserve"> </w:t>
      </w:r>
      <w:r>
        <w:t xml:space="preserve">Contrast JQ_uninf_vs_naive_ID2,</w:t>
      </w:r>
      <w:r>
        <w:t xml:space="preserve"> </w:t>
      </w:r>
      <w:r>
        <w:t xml:space="preserve">database GO,</w:t>
      </w:r>
      <w:r>
        <w:t xml:space="preserve"> </w:t>
      </w:r>
      <w:r>
        <w:t xml:space="preserve">subcategory BP.</w:t>
      </w:r>
    </w:p>
    <w:p>
      <w:pPr>
        <w:pStyle w:val="BodyText"/>
      </w:pPr>
      <w:r>
        <w:drawing>
          <wp:inline>
            <wp:extent cx="5334000" cy="200025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figures_files/figure-docx/unnamed-chunk-21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  <w:r>
        <w:rPr>
          <w:bCs/>
          <w:b/>
        </w:rPr>
        <w:t xml:space="preserve">Fig. Cluster profiler results separate by up- and down-regulated gene</w:t>
      </w:r>
      <w:r>
        <w:rPr>
          <w:bCs/>
          <w:b/>
        </w:rPr>
        <w:t xml:space="preserve"> </w:t>
      </w:r>
      <w:r>
        <w:rPr>
          <w:bCs/>
          <w:b/>
        </w:rPr>
        <w:t xml:space="preserve">sets.</w:t>
      </w:r>
      <w:r>
        <w:t xml:space="preserve"> </w:t>
      </w:r>
      <w:r>
        <w:t xml:space="preserve">Contrast JQ_inf_vs_uninf_ID3,</w:t>
      </w:r>
      <w:r>
        <w:t xml:space="preserve"> </w:t>
      </w:r>
      <w:r>
        <w:t xml:space="preserve">database GO,</w:t>
      </w:r>
      <w:r>
        <w:t xml:space="preserve"> </w:t>
      </w:r>
      <w:r>
        <w:t xml:space="preserve">subcategory BP.</w:t>
      </w:r>
    </w:p>
    <w:p>
      <w:pPr>
        <w:pStyle w:val="BodyText"/>
      </w:pPr>
      <w:r>
        <w:drawing>
          <wp:inline>
            <wp:extent cx="5334000" cy="200025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figures_files/figure-docx/unnamed-chunk-23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  <w:r>
        <w:rPr>
          <w:bCs/>
          <w:b/>
        </w:rPr>
        <w:t xml:space="preserve">Fig. Cluster profiler results separate by up- and down-regulated gene</w:t>
      </w:r>
      <w:r>
        <w:rPr>
          <w:bCs/>
          <w:b/>
        </w:rPr>
        <w:t xml:space="preserve"> </w:t>
      </w:r>
      <w:r>
        <w:rPr>
          <w:bCs/>
          <w:b/>
        </w:rPr>
        <w:t xml:space="preserve">sets.</w:t>
      </w:r>
      <w:r>
        <w:t xml:space="preserve"> </w:t>
      </w:r>
      <w:r>
        <w:t xml:space="preserve">Contrast interaction_ID4,</w:t>
      </w:r>
      <w:r>
        <w:t xml:space="preserve"> </w:t>
      </w:r>
      <w:r>
        <w:t xml:space="preserve">database GO,</w:t>
      </w:r>
      <w:r>
        <w:t xml:space="preserve"> </w:t>
      </w:r>
      <w:r>
        <w:t xml:space="preserve">subcategory BP.</w:t>
      </w:r>
    </w:p>
    <w:p>
      <w:r>
        <w:br w:type="page"/>
      </w:r>
    </w:p>
    <w:p>
      <w:pPr>
        <w:pStyle w:val="BodyText"/>
      </w:pPr>
      <w:r>
        <w:rPr>
          <w:bCs/>
          <w:b/>
        </w:rPr>
        <w:t xml:space="preserve">Fig. Cluster profiler results separate by up- and down-regulated gene</w:t>
      </w:r>
      <w:r>
        <w:rPr>
          <w:bCs/>
          <w:b/>
        </w:rPr>
        <w:t xml:space="preserve"> </w:t>
      </w:r>
      <w:r>
        <w:rPr>
          <w:bCs/>
          <w:b/>
        </w:rPr>
        <w:t xml:space="preserve">sets.</w:t>
      </w:r>
      <w:r>
        <w:t xml:space="preserve"> </w:t>
      </w:r>
      <w:r>
        <w:t xml:space="preserve">Contrast JQ_uninf_vs_DMSO_uninf_ID5,</w:t>
      </w:r>
      <w:r>
        <w:t xml:space="preserve"> </w:t>
      </w:r>
      <w:r>
        <w:t xml:space="preserve">database GO,</w:t>
      </w:r>
      <w:r>
        <w:t xml:space="preserve"> </w:t>
      </w:r>
      <w:r>
        <w:t xml:space="preserve">subcategory BP.</w:t>
      </w:r>
    </w:p>
    <w:p>
      <w:r>
        <w:br w:type="page"/>
      </w:r>
    </w:p>
    <w:p>
      <w:pPr>
        <w:pStyle w:val="BodyText"/>
      </w:pPr>
      <w:r>
        <w:rPr>
          <w:bCs/>
          <w:b/>
        </w:rPr>
        <w:t xml:space="preserve">Fig. Cluster profiler results separate by up- and down-regulated gene</w:t>
      </w:r>
      <w:r>
        <w:rPr>
          <w:bCs/>
          <w:b/>
        </w:rPr>
        <w:t xml:space="preserve"> </w:t>
      </w:r>
      <w:r>
        <w:rPr>
          <w:bCs/>
          <w:b/>
        </w:rPr>
        <w:t xml:space="preserve">sets.</w:t>
      </w:r>
      <w:r>
        <w:t xml:space="preserve"> </w:t>
      </w:r>
      <w:r>
        <w:t xml:space="preserve">Contrast JQ_inf_vs_DMSO_inf_ID6,</w:t>
      </w:r>
      <w:r>
        <w:t xml:space="preserve"> </w:t>
      </w:r>
      <w:r>
        <w:t xml:space="preserve">database GO,</w:t>
      </w:r>
      <w:r>
        <w:t xml:space="preserve"> </w:t>
      </w:r>
      <w:r>
        <w:t xml:space="preserve">subcategory BP.</w:t>
      </w:r>
    </w:p>
    <w:p>
      <w:pPr>
        <w:pStyle w:val="BodyText"/>
      </w:pPr>
      <w:r>
        <w:drawing>
          <wp:inline>
            <wp:extent cx="5334000" cy="200025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figures_files/figure-docx/unnamed-chunk-29-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  <w:r>
        <w:rPr>
          <w:bCs/>
          <w:b/>
        </w:rPr>
        <w:t xml:space="preserve">Fig.</w:t>
      </w:r>
      <w:r>
        <w:t xml:space="preserve"> </w:t>
      </w:r>
      <w:r>
        <w:t xml:space="preserve">Cluster profiler results, alternate visualization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figures_files/figure-docx/unnamed-chunk-12-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  <w:r>
        <w:rPr>
          <w:bCs/>
          <w:b/>
        </w:rPr>
        <w:t xml:space="preserve">Fig.</w:t>
      </w:r>
      <w:r>
        <w:t xml:space="preserve"> </w:t>
      </w:r>
      <w:r>
        <w:t xml:space="preserve">Distribution of higly occupied fragments (average number of reads &gt;</w:t>
      </w:r>
      <w:r>
        <w:t xml:space="preserve"> </w:t>
      </w:r>
      <w:r>
        <w:t xml:space="preserve">100) by sample group.</w:t>
      </w:r>
    </w:p>
    <w:p>
      <w:pPr>
        <w:pStyle w:val="BodyText"/>
      </w:pPr>
      <w:r>
        <w:drawing>
          <wp:inline>
            <wp:extent cx="4620126" cy="4620126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figures_files/figure-docx/unnamed-chunk-13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4620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  <w:r>
        <w:rPr>
          <w:bCs/>
          <w:b/>
        </w:rPr>
        <w:t xml:space="preserve">Fig.</w:t>
      </w:r>
      <w:r>
        <w:t xml:space="preserve"> </w:t>
      </w:r>
      <w:r>
        <w:t xml:space="preserve">Distribution of highly occupied fragments (average number of reads &gt;</w:t>
      </w:r>
      <w:r>
        <w:t xml:space="preserve"> </w:t>
      </w:r>
      <w:r>
        <w:t xml:space="preserve">100) by sample group.</w:t>
      </w:r>
    </w:p>
    <w:p>
      <w:pPr>
        <w:pStyle w:val="BodyText"/>
      </w:pPr>
      <w:r>
        <w:drawing>
          <wp:inline>
            <wp:extent cx="4620126" cy="4620126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figures_files/figure-docx/unnamed-chunk-14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4620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  <w:r>
        <w:rPr>
          <w:bCs/>
          <w:b/>
        </w:rPr>
        <w:t xml:space="preserve">Table.</w:t>
      </w:r>
      <w:r>
        <w:t xml:space="preserve"> </w:t>
      </w:r>
      <w:r>
        <w:t xml:space="preserve">Distribution of highly occupied fragments (average number of reads &gt;</w:t>
      </w:r>
      <w:r>
        <w:t xml:space="preserve"> </w:t>
      </w:r>
      <w:r>
        <w:t xml:space="preserve">100) by sample group. Values are percentages of peaks assigned</w:t>
      </w:r>
      <w:r>
        <w:t xml:space="preserve"> </w:t>
      </w:r>
      <w:r>
        <w:t xml:space="preserve">to the given region.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480"/>
        <w:gridCol w:w="1184"/>
        <w:gridCol w:w="1332"/>
        <w:gridCol w:w="1184"/>
        <w:gridCol w:w="1332"/>
        <w:gridCol w:w="140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Feature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DMSO infected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DMSO uninfected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JQ-1 infected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JQ-1 uninfected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naive uninfected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3’ UTR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5’ UTR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Distal Intergenic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13.34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13.01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18.54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17.67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13.95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Downstream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Intron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12.22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11.36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18.05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16.80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12.65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Promoter (&lt;=1kb)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65.18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67.43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53.25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55.15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64.73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Promoter (1-2kb)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3.76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4.67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4.80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3.91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Promoter (2-3kb)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2.81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3.40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3.46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3.00</w:t>
            </w:r>
          </w:p>
        </w:tc>
      </w:tr>
    </w:tbl>
    <w:p>
      <w:r>
        <w:br w:type="page"/>
      </w:r>
    </w:p>
    <w:p>
      <w:pPr>
        <w:pStyle w:val="BodyText"/>
      </w:pPr>
      <w:r>
        <w:rPr>
          <w:bCs/>
          <w:b/>
        </w:rPr>
        <w:t xml:space="preserve">Table.</w:t>
      </w:r>
      <w:r>
        <w:t xml:space="preserve"> </w:t>
      </w:r>
      <w:r>
        <w:t xml:space="preserve">Number of peaks significant at FDR &lt; 0.05 in each contrast.</w:t>
      </w:r>
    </w:p>
    <w:tbl>
      <w:tblPr>
        <w:tblStyle w:val="Table"/>
        <w:tblW w:type="pct" w:w="3611"/>
        <w:tblLook w:firstRow="1" w:lastRow="0" w:firstColumn="0" w:lastColumn="0" w:noHBand="0" w:noVBand="0" w:val="0020"/>
      </w:tblPr>
      <w:tblGrid>
        <w:gridCol w:w="3190"/>
        <w:gridCol w:w="880"/>
        <w:gridCol w:w="77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uni_DMSO_vs_naive_ID0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DMSO_inf_vs_uninf_ID1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JQ_uninf_vs_naive_ID2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15609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JQ_inf_vs_uninf_ID3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5064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2092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7156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interaction_ID4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796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539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1335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JQ_uninf_vs_DMSO_uninf_ID5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7679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3755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11434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JQ_inf_vs_DMSO_inf_ID6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17137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8169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25306</w:t>
            </w:r>
          </w:p>
        </w:tc>
      </w:tr>
    </w:tbl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50" Target="media/rId50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 for manuscript - ATAC-Seq</dc:title>
  <dc:creator/>
  <cp:keywords/>
  <dcterms:created xsi:type="dcterms:W3CDTF">2023-07-28T11:37:44Z</dcterms:created>
  <dcterms:modified xsi:type="dcterms:W3CDTF">2023-07-28T11:37:44Z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2023-07-28</vt:lpwstr>
  </property>
  <property fmtid="{D5CDD505-2E9C-101B-9397-08002B2CF9AE}" pid="3" name="nooutput">
    <vt:lpwstr>html_document</vt:lpwstr>
  </property>
  <property fmtid="{D5CDD505-2E9C-101B-9397-08002B2CF9AE}" pid="4" name="output">
    <vt:lpwstr>word_document</vt:lpwstr>
  </property>
</Properties>
</file>