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基于置信度正则的隐私增强实验"/>
    <w:p>
      <w:pPr>
        <w:pStyle w:val="Heading2"/>
      </w:pPr>
      <w:r>
        <w:rPr>
          <w:rFonts w:hint="eastAsia"/>
        </w:rPr>
        <w:t xml:space="preserve">基于置信度正则的隐私增强实验</w:t>
      </w:r>
    </w:p>
    <w:bookmarkStart w:id="9" w:name="设计动机"/>
    <w:p>
      <w:pPr>
        <w:pStyle w:val="Heading3"/>
      </w:pPr>
      <w:r>
        <w:rPr>
          <w:rFonts w:hint="eastAsia"/>
        </w:rPr>
        <w:t xml:space="preserve">设计动机</w:t>
      </w:r>
    </w:p>
    <w:p>
      <w:pPr>
        <w:pStyle w:val="FirstParagraph"/>
      </w:pPr>
      <w:r>
        <w:rPr>
          <w:rFonts w:hint="eastAsia"/>
        </w:rPr>
        <w:t xml:space="preserve">前文消融实验已经表明，LLM-AGR</w:t>
      </w:r>
      <w:r>
        <w:t xml:space="preserve"> </w:t>
      </w:r>
      <w:r>
        <w:rPr>
          <w:rFonts w:hint="eastAsia"/>
        </w:rPr>
        <w:t xml:space="preserve">默认配置中的结构对比损失项</w:t>
      </w:r>
      <w:r>
        <w:t xml:space="preserve"> </w:t>
      </w:r>
      <m:oMath>
        <m:sSub>
          <m:e>
            <m:r>
              <m:rPr>
                <m:scr m:val="script"/>
                <m:sty m:val="p"/>
              </m:rPr>
              <m:t>L</m:t>
            </m:r>
          </m:e>
          <m:sub>
            <m:r>
              <m:t>s</m:t>
            </m:r>
            <m:r>
              <m:t>t</m:t>
            </m:r>
            <m:r>
              <m:t>r</m:t>
            </m:r>
          </m:sub>
        </m:sSub>
      </m:oMath>
      <w:r>
        <w:t xml:space="preserve"> </w:t>
      </w:r>
      <w:r>
        <w:rPr>
          <w:rFonts w:hint="eastAsia"/>
        </w:rPr>
        <w:t xml:space="preserve">是导致成员推断攻击（Membership</w:t>
      </w:r>
      <w:r>
        <w:t xml:space="preserve"> Inference Attack, </w:t>
      </w:r>
      <w:r>
        <w:rPr>
          <w:rFonts w:hint="eastAsia"/>
        </w:rPr>
        <w:t xml:space="preserve">MIA）风险上升的主要原因。因此，后续隐私增强方案不再沿用默认的</w:t>
      </w:r>
      <w:r>
        <w:t xml:space="preserve"> </w:t>
      </w:r>
      <m:oMath>
        <m:sSub>
          <m:e>
            <m:r>
              <m:rPr>
                <m:scr m:val="script"/>
                <m:sty m:val="p"/>
              </m:rPr>
              <m:t>L</m:t>
            </m:r>
          </m:e>
          <m:sub>
            <m:r>
              <m:t>s</m:t>
            </m:r>
            <m:r>
              <m:t>t</m:t>
            </m:r>
            <m:r>
              <m:t>r</m:t>
            </m:r>
          </m:sub>
        </m:sSub>
      </m:oMath>
      <w:r>
        <w:t xml:space="preserve"> </w:t>
      </w:r>
      <w:r>
        <w:rPr>
          <w:rFonts w:hint="eastAsia"/>
        </w:rPr>
        <w:t xml:space="preserve">约束，而是在移除高风险结构对比项的基础上，引入一种更直接面向</w:t>
      </w:r>
      <w:r>
        <w:t xml:space="preserve"> MIA </w:t>
      </w:r>
      <w:r>
        <w:rPr>
          <w:rFonts w:hint="eastAsia"/>
        </w:rPr>
        <w:t xml:space="preserve">风险的训练时正则机制，即置信度正则（confidence</w:t>
      </w:r>
      <w:r>
        <w:t xml:space="preserve"> </w:t>
      </w:r>
      <w:r>
        <w:rPr>
          <w:rFonts w:hint="eastAsia"/>
        </w:rPr>
        <w:t xml:space="preserve">regularization）。</w:t>
      </w:r>
    </w:p>
    <w:p>
      <w:pPr>
        <w:pStyle w:val="BodyText"/>
      </w:pPr>
      <w:r>
        <w:rPr>
          <w:rFonts w:hint="eastAsia"/>
        </w:rPr>
        <w:t xml:space="preserve">该设计的核心思想是：成员推断攻击往往依赖模型在训练样本上的过置信预测。对于排序推荐模型而言，标准</w:t>
      </w:r>
      <w:r>
        <w:t xml:space="preserve"> BPR </w:t>
      </w:r>
      <w:r>
        <w:rPr>
          <w:rFonts w:hint="eastAsia"/>
        </w:rPr>
        <w:t xml:space="preserve">损失会持续拉大正样本与负样本之间的分数差距，使训练集中正样本的预测概率逼近</w:t>
      </w:r>
      <w:r>
        <w:t xml:space="preserve"> </w:t>
      </w:r>
      <w:r>
        <w:rPr>
          <w:rFonts w:hint="eastAsia"/>
        </w:rPr>
        <w:t xml:space="preserve">1、负样本概率逼近</w:t>
      </w:r>
      <w:r>
        <w:t xml:space="preserve"> </w:t>
      </w:r>
      <w:r>
        <w:rPr>
          <w:rFonts w:hint="eastAsia"/>
        </w:rPr>
        <w:t xml:space="preserve">0，从而形成可被攻击器利用的显著成员信号。已有研究指出，模型输出的置信度是黑盒成员推断攻击的重要依据之一</w:t>
      </w:r>
      <w:r>
        <w:rPr>
          <w:rFonts w:hint="eastAsia"/>
        </w:rPr>
        <w:t xml:space="preserve">；同时，抑制过置信输出本身也是经典正则化方向</w:t>
      </w:r>
      <w:r>
        <w:rPr>
          <w:rFonts w:hint="eastAsia"/>
        </w:rPr>
        <w:t xml:space="preserve">。因此，本文尝试在推荐排序目标不变的前提下，对输出置信度进行显式约束，以削弱训练样本与非训练样本之间的可分性。</w:t>
      </w:r>
    </w:p>
    <w:bookmarkEnd w:id="9"/>
    <w:bookmarkStart w:id="10" w:name="方法设计"/>
    <w:p>
      <w:pPr>
        <w:pStyle w:val="Heading3"/>
      </w:pPr>
      <w:r>
        <w:rPr>
          <w:rFonts w:hint="eastAsia"/>
        </w:rPr>
        <w:t xml:space="preserve">方法设计</w:t>
      </w:r>
    </w:p>
    <w:p>
      <w:pPr>
        <w:pStyle w:val="FirstParagraph"/>
      </w:pPr>
      <w:r>
        <w:rPr>
          <w:rFonts w:hint="eastAsia"/>
        </w:rPr>
        <w:t xml:space="preserve">在原始</w:t>
      </w:r>
      <w:r>
        <w:t xml:space="preserve"> </w:t>
      </w:r>
      <w:r>
        <w:rPr>
          <w:rStyle w:val="VerbatimChar"/>
        </w:rPr>
        <w:t xml:space="preserve">lightgcn_agr</w:t>
      </w:r>
      <w:r>
        <w:t xml:space="preserve"> </w:t>
      </w:r>
      <w:r>
        <w:rPr>
          <w:rFonts w:hint="eastAsia"/>
        </w:rPr>
        <w:t xml:space="preserve">模型中，总损失可以写为：</w:t>
      </w:r>
    </w:p>
    <w:p>
      <w:pPr>
        <w:pStyle w:val="BodyText"/>
      </w:pPr>
      <m:oMathPara>
        <m:oMathParaPr>
          <m:jc m:val="center"/>
        </m:oMathParaPr>
        <m:oMath>
          <m:sSub>
            <m:e>
              <m:r>
                <m:rPr>
                  <m:scr m:val="script"/>
                  <m:sty m:val="p"/>
                </m:rPr>
                <m:t>L</m:t>
              </m:r>
            </m:e>
            <m:sub>
              <m:r>
                <m:t>A</m:t>
              </m:r>
              <m:r>
                <m:t>G</m:t>
              </m:r>
              <m:r>
                <m:t>R</m:t>
              </m:r>
            </m:sub>
          </m:sSub>
          <m:r>
            <m:rPr>
              <m:sty m:val="p"/>
            </m:rPr>
            <m:t>=</m:t>
          </m:r>
          <m:sSub>
            <m:e>
              <m:r>
                <m:rPr>
                  <m:scr m:val="script"/>
                  <m:sty m:val="p"/>
                </m:rPr>
                <m:t>L</m:t>
              </m:r>
            </m:e>
            <m:sub>
              <m:r>
                <m:t>b</m:t>
              </m:r>
              <m:r>
                <m:t>p</m:t>
              </m:r>
              <m:r>
                <m:t>r</m:t>
              </m:r>
            </m:sub>
          </m:sSub>
          <m:r>
            <m:rPr>
              <m:sty m:val="p"/>
            </m:rPr>
            <m:t>+</m:t>
          </m:r>
          <m:sSub>
            <m:e>
              <m:r>
                <m:t>λ</m:t>
              </m:r>
            </m:e>
            <m:sub>
              <m:r>
                <m:t>p</m:t>
              </m:r>
              <m:r>
                <m:t>r</m:t>
              </m:r>
              <m:r>
                <m:t>f</m:t>
              </m:r>
            </m:sub>
          </m:sSub>
          <m:sSub>
            <m:e>
              <m:r>
                <m:rPr>
                  <m:scr m:val="script"/>
                  <m:sty m:val="p"/>
                </m:rPr>
                <m:t>L</m:t>
              </m:r>
            </m:e>
            <m:sub>
              <m:r>
                <m:t>p</m:t>
              </m:r>
              <m:r>
                <m:t>r</m:t>
              </m:r>
              <m:r>
                <m:t>f</m:t>
              </m:r>
            </m:sub>
          </m:sSub>
          <m:r>
            <m:rPr>
              <m:sty m:val="p"/>
            </m:rPr>
            <m:t>+</m:t>
          </m:r>
          <m:sSub>
            <m:e>
              <m:r>
                <m:t>λ</m:t>
              </m:r>
            </m:e>
            <m:sub>
              <m:r>
                <m:t>s</m:t>
              </m:r>
              <m:r>
                <m:t>t</m:t>
              </m:r>
              <m:r>
                <m:t>r</m:t>
              </m:r>
            </m:sub>
          </m:sSub>
          <m:sSub>
            <m:e>
              <m:r>
                <m:rPr>
                  <m:scr m:val="script"/>
                  <m:sty m:val="p"/>
                </m:rPr>
                <m:t>L</m:t>
              </m:r>
            </m:e>
            <m:sub>
              <m:r>
                <m:t>s</m:t>
              </m:r>
              <m:r>
                <m:t>t</m:t>
              </m:r>
              <m:r>
                <m:t>r</m:t>
              </m:r>
            </m:sub>
          </m:sSub>
          <m:r>
            <m:rPr>
              <m:sty m:val="p"/>
            </m:rPr>
            <m:t>+</m:t>
          </m:r>
          <m:sSub>
            <m:e>
              <m:r>
                <m:t>λ</m:t>
              </m:r>
            </m:e>
            <m:sub>
              <m:r>
                <m:t>i</m:t>
              </m:r>
              <m:r>
                <m:t>b</m:t>
              </m:r>
            </m:sub>
          </m:sSub>
          <m:sSub>
            <m:e>
              <m:r>
                <m:rPr>
                  <m:scr m:val="script"/>
                  <m:sty m:val="p"/>
                </m:rPr>
                <m:t>L</m:t>
              </m:r>
            </m:e>
            <m:sub>
              <m:r>
                <m:t>h</m:t>
              </m:r>
              <m:r>
                <m:t>s</m:t>
              </m:r>
              <m:r>
                <m:t>i</m:t>
              </m:r>
              <m:r>
                <m:t>c</m:t>
              </m:r>
            </m:sub>
          </m:sSub>
          <m:r>
            <m:rPr>
              <m:sty m:val="p"/>
            </m:rPr>
            <m:t>+</m:t>
          </m:r>
          <m:sSub>
            <m:e>
              <m:r>
                <m:t>λ</m:t>
              </m:r>
            </m:e>
            <m:sub>
              <m:r>
                <m:t>r</m:t>
              </m:r>
              <m:r>
                <m:t>e</m:t>
              </m:r>
              <m:r>
                <m:t>g</m:t>
              </m:r>
            </m:sub>
          </m:sSub>
          <m:sSub>
            <m:e>
              <m:r>
                <m:rPr>
                  <m:scr m:val="script"/>
                  <m:sty m:val="p"/>
                </m:rPr>
                <m:t>L</m:t>
              </m:r>
            </m:e>
            <m:sub>
              <m:r>
                <m:t>r</m:t>
              </m:r>
              <m:r>
                <m:t>e</m:t>
              </m:r>
              <m:r>
                <m:t>g</m:t>
              </m:r>
            </m:sub>
          </m:sSub>
          <m:r>
            <m:rPr>
              <m:sty m:val="p"/>
            </m:rPr>
            <m:t>.</m:t>
          </m:r>
        </m:oMath>
      </m:oMathPara>
    </w:p>
    <w:p>
      <w:pPr>
        <w:pStyle w:val="FirstParagraph"/>
      </w:pPr>
      <w:r>
        <w:rPr>
          <w:rFonts w:hint="eastAsia"/>
        </w:rPr>
        <w:t xml:space="preserve">根据前文结论，本文在置信度正则方案中将结构对比项关闭，即令</w:t>
      </w:r>
      <w:r>
        <w:t xml:space="preserve"> </w:t>
      </w:r>
      <m:oMath>
        <m:sSub>
          <m:e>
            <m:r>
              <m:t>λ</m:t>
            </m:r>
          </m:e>
          <m:sub>
            <m:r>
              <m:t>s</m:t>
            </m:r>
            <m:r>
              <m:t>t</m:t>
            </m:r>
            <m:r>
              <m:t>r</m:t>
            </m:r>
          </m:sub>
        </m:sSub>
        <m:r>
          <m:rPr>
            <m:sty m:val="p"/>
          </m:rPr>
          <m:t>=</m:t>
        </m:r>
        <m:r>
          <m:t>0</m:t>
        </m:r>
      </m:oMath>
      <w:r>
        <w:rPr>
          <w:rFonts w:hint="eastAsia"/>
        </w:rPr>
        <w:t xml:space="preserve">，同时采用实验中表现更稳定的安全底座设置</w:t>
      </w:r>
      <w:r>
        <w:t xml:space="preserve"> </w:t>
      </w:r>
      <m:oMath>
        <m:sSub>
          <m:e>
            <m:r>
              <m:t>λ</m:t>
            </m:r>
          </m:e>
          <m:sub>
            <m:r>
              <m:t>i</m:t>
            </m:r>
            <m:r>
              <m:t>b</m:t>
            </m:r>
          </m:sub>
        </m:sSub>
        <m:r>
          <m:rPr>
            <m:sty m:val="p"/>
          </m:rPr>
          <m:t>=</m:t>
        </m:r>
        <m:r>
          <m:t>0</m:t>
        </m:r>
      </m:oMath>
      <w:r>
        <w:rPr>
          <w:rFonts w:hint="eastAsia"/>
        </w:rPr>
        <w:t xml:space="preserve">。在此基础上，引入新的置信度正则项</w:t>
      </w:r>
      <w:r>
        <w:t xml:space="preserve"> </w:t>
      </w:r>
      <m:oMath>
        <m:sSub>
          <m:e>
            <m:r>
              <m:rPr>
                <m:scr m:val="script"/>
                <m:sty m:val="p"/>
              </m:rPr>
              <m:t>L</m:t>
            </m:r>
          </m:e>
          <m:sub>
            <m:r>
              <m:t>c</m:t>
            </m:r>
            <m:r>
              <m:t>o</m:t>
            </m:r>
            <m:r>
              <m:t>n</m:t>
            </m:r>
            <m:r>
              <m:t>f</m:t>
            </m:r>
          </m:sub>
        </m:sSub>
      </m:oMath>
      <w:r>
        <w:rPr>
          <w:rFonts w:hint="eastAsia"/>
        </w:rPr>
        <w:t xml:space="preserve">，构成新的训练目标：</w:t>
      </w:r>
    </w:p>
    <w:p>
      <w:pPr>
        <w:pStyle w:val="BodyText"/>
      </w:pPr>
      <m:oMathPara>
        <m:oMathParaPr>
          <m:jc m:val="center"/>
        </m:oMathParaPr>
        <m:oMath>
          <m:sSub>
            <m:e>
              <m:r>
                <m:rPr>
                  <m:scr m:val="script"/>
                  <m:sty m:val="p"/>
                </m:rPr>
                <m:t>L</m:t>
              </m:r>
            </m:e>
            <m:sub>
              <m:r>
                <m:t>M</m:t>
              </m:r>
              <m:r>
                <m:t>1</m:t>
              </m:r>
            </m:sub>
          </m:sSub>
          <m:r>
            <m:rPr>
              <m:sty m:val="p"/>
            </m:rPr>
            <m:t>=</m:t>
          </m:r>
          <m:sSub>
            <m:e>
              <m:r>
                <m:rPr>
                  <m:scr m:val="script"/>
                  <m:sty m:val="p"/>
                </m:rPr>
                <m:t>L</m:t>
              </m:r>
            </m:e>
            <m:sub>
              <m:r>
                <m:t>b</m:t>
              </m:r>
              <m:r>
                <m:t>p</m:t>
              </m:r>
              <m:r>
                <m:t>r</m:t>
              </m:r>
            </m:sub>
          </m:sSub>
          <m:r>
            <m:rPr>
              <m:sty m:val="p"/>
            </m:rPr>
            <m:t>+</m:t>
          </m:r>
          <m:sSub>
            <m:e>
              <m:r>
                <m:t>λ</m:t>
              </m:r>
            </m:e>
            <m:sub>
              <m:r>
                <m:t>p</m:t>
              </m:r>
              <m:r>
                <m:t>r</m:t>
              </m:r>
              <m:r>
                <m:t>f</m:t>
              </m:r>
            </m:sub>
          </m:sSub>
          <m:sSub>
            <m:e>
              <m:r>
                <m:rPr>
                  <m:scr m:val="script"/>
                  <m:sty m:val="p"/>
                </m:rPr>
                <m:t>L</m:t>
              </m:r>
            </m:e>
            <m:sub>
              <m:r>
                <m:t>p</m:t>
              </m:r>
              <m:r>
                <m:t>r</m:t>
              </m:r>
              <m:r>
                <m:t>f</m:t>
              </m:r>
            </m:sub>
          </m:sSub>
          <m:r>
            <m:rPr>
              <m:sty m:val="p"/>
            </m:rPr>
            <m:t>+</m:t>
          </m:r>
          <m:sSub>
            <m:e>
              <m:r>
                <m:t>λ</m:t>
              </m:r>
            </m:e>
            <m:sub>
              <m:r>
                <m:t>c</m:t>
              </m:r>
              <m:r>
                <m:t>o</m:t>
              </m:r>
              <m:r>
                <m:t>n</m:t>
              </m:r>
              <m:r>
                <m:t>f</m:t>
              </m:r>
            </m:sub>
          </m:sSub>
          <m:sSub>
            <m:e>
              <m:r>
                <m:rPr>
                  <m:scr m:val="script"/>
                  <m:sty m:val="p"/>
                </m:rPr>
                <m:t>L</m:t>
              </m:r>
            </m:e>
            <m:sub>
              <m:r>
                <m:t>c</m:t>
              </m:r>
              <m:r>
                <m:t>o</m:t>
              </m:r>
              <m:r>
                <m:t>n</m:t>
              </m:r>
              <m:r>
                <m:t>f</m:t>
              </m:r>
            </m:sub>
          </m:sSub>
          <m:r>
            <m:rPr>
              <m:sty m:val="p"/>
            </m:rPr>
            <m:t>+</m:t>
          </m:r>
          <m:sSub>
            <m:e>
              <m:r>
                <m:t>λ</m:t>
              </m:r>
            </m:e>
            <m:sub>
              <m:r>
                <m:t>r</m:t>
              </m:r>
              <m:r>
                <m:t>e</m:t>
              </m:r>
              <m:r>
                <m:t>g</m:t>
              </m:r>
            </m:sub>
          </m:sSub>
          <m:sSub>
            <m:e>
              <m:r>
                <m:rPr>
                  <m:scr m:val="script"/>
                  <m:sty m:val="p"/>
                </m:rPr>
                <m:t>L</m:t>
              </m:r>
            </m:e>
            <m:sub>
              <m:r>
                <m:t>r</m:t>
              </m:r>
              <m:r>
                <m:t>e</m:t>
              </m:r>
              <m:r>
                <m:t>g</m:t>
              </m:r>
            </m:sub>
          </m:sSub>
          <m:r>
            <m:rPr>
              <m:sty m:val="p"/>
            </m:rPr>
            <m:t>.</m:t>
          </m:r>
        </m:oMath>
      </m:oMathPara>
    </w:p>
    <w:p>
      <w:pPr>
        <w:pStyle w:val="FirstParagraph"/>
      </w:pPr>
      <w:r>
        <w:rPr>
          <w:rFonts w:hint="eastAsia"/>
        </w:rPr>
        <w:t xml:space="preserve">设用户</w:t>
      </w:r>
      <w:r>
        <w:t xml:space="preserve"> </w:t>
      </w:r>
      <m:oMath>
        <m:r>
          <m:t>u</m:t>
        </m:r>
      </m:oMath>
      <w:r>
        <w:t xml:space="preserve"> </w:t>
      </w:r>
      <w:r>
        <w:rPr>
          <w:rFonts w:hint="eastAsia"/>
        </w:rPr>
        <w:t xml:space="preserve">对正样本物品</w:t>
      </w:r>
      <w:r>
        <w:t xml:space="preserve"> </w:t>
      </w:r>
      <m:oMath>
        <m:sSup>
          <m:e>
            <m:r>
              <m:t>i</m:t>
            </m:r>
          </m:e>
          <m:sup>
            <m:r>
              <m:rPr>
                <m:sty m:val="p"/>
              </m:rPr>
              <m:t>+</m:t>
            </m:r>
          </m:sup>
        </m:sSup>
      </m:oMath>
      <w:r>
        <w:t xml:space="preserve"> </w:t>
      </w:r>
      <w:r>
        <w:rPr>
          <w:rFonts w:hint="eastAsia"/>
        </w:rPr>
        <w:t xml:space="preserve">和负样本物品</w:t>
      </w:r>
      <w:r>
        <w:t xml:space="preserve"> </w:t>
      </w:r>
      <m:oMath>
        <m:sSup>
          <m:e>
            <m:r>
              <m:t>i</m:t>
            </m:r>
          </m:e>
          <m:sup>
            <m:r>
              <m:rPr>
                <m:sty m:val="p"/>
              </m:rPr>
              <m:t>−</m:t>
            </m:r>
          </m:sup>
        </m:sSup>
      </m:oMath>
      <w:r>
        <w:t xml:space="preserve"> </w:t>
      </w:r>
      <w:r>
        <w:rPr>
          <w:rFonts w:hint="eastAsia"/>
        </w:rPr>
        <w:t xml:space="preserve">的预测分数分别为</w:t>
      </w:r>
      <w:r>
        <w:t xml:space="preserve"> </w:t>
      </w:r>
      <m:oMath>
        <m:sSub>
          <m:e>
            <m:r>
              <m:t>s</m:t>
            </m:r>
          </m:e>
          <m:sub>
            <m:r>
              <m:t>u</m:t>
            </m:r>
            <m:r>
              <m:rPr>
                <m:sty m:val="p"/>
              </m:rPr>
              <m:t>,</m:t>
            </m:r>
            <m:sSup>
              <m:e>
                <m:r>
                  <m:t>i</m:t>
                </m:r>
              </m:e>
              <m:sup>
                <m:r>
                  <m:rPr>
                    <m:sty m:val="p"/>
                  </m:rPr>
                  <m:t>+</m:t>
                </m:r>
              </m:sup>
            </m:sSup>
          </m:sub>
        </m:sSub>
      </m:oMath>
      <w:r>
        <w:t xml:space="preserve"> </w:t>
      </w:r>
      <w:r>
        <w:rPr>
          <w:rFonts w:hint="eastAsia"/>
        </w:rPr>
        <w:t xml:space="preserve">与</w:t>
      </w:r>
      <w:r>
        <w:t xml:space="preserve"> </w:t>
      </w:r>
      <m:oMath>
        <m:sSub>
          <m:e>
            <m:r>
              <m:t>s</m:t>
            </m:r>
          </m:e>
          <m:sub>
            <m:r>
              <m:t>u</m:t>
            </m:r>
            <m:r>
              <m:rPr>
                <m:sty m:val="p"/>
              </m:rPr>
              <m:t>,</m:t>
            </m:r>
            <m:sSup>
              <m:e>
                <m:r>
                  <m:t>i</m:t>
                </m:r>
              </m:e>
              <m:sup>
                <m:r>
                  <m:rPr>
                    <m:sty m:val="p"/>
                  </m:rPr>
                  <m:t>−</m:t>
                </m:r>
              </m:sup>
            </m:sSup>
          </m:sub>
        </m:sSub>
      </m:oMath>
      <w:r>
        <w:rPr>
          <w:rFonts w:hint="eastAsia"/>
        </w:rPr>
        <w:t xml:space="preserve">，记</w:t>
      </w:r>
      <w:r>
        <w:t xml:space="preserve"> </w:t>
      </w:r>
      <m:oMath>
        <m:r>
          <m:t>σ</m:t>
        </m:r>
        <m:r>
          <m:rPr>
            <m:sty m:val="p"/>
          </m:rPr>
          <m:t>(</m:t>
        </m:r>
        <m:r>
          <m:rPr>
            <m:sty m:val="p"/>
          </m:rPr>
          <m:t>⋅</m:t>
        </m:r>
        <m:r>
          <m:rPr>
            <m:sty m:val="p"/>
          </m:rPr>
          <m:t>)</m:t>
        </m:r>
      </m:oMath>
      <w:r>
        <w:t xml:space="preserve"> </w:t>
      </w:r>
      <w:r>
        <w:rPr>
          <w:rFonts w:hint="eastAsia"/>
        </w:rPr>
        <w:t xml:space="preserve">为</w:t>
      </w:r>
      <w:r>
        <w:t xml:space="preserve"> Sigmoid </w:t>
      </w:r>
      <w:r>
        <w:rPr>
          <w:rFonts w:hint="eastAsia"/>
        </w:rPr>
        <w:t xml:space="preserve">函数，则本文使用的置信度正则项定义为：</w:t>
      </w:r>
    </w:p>
    <w:p>
      <w:pPr>
        <w:pStyle w:val="BodyText"/>
      </w:pPr>
      <m:oMathPara>
        <m:oMathParaPr>
          <m:jc m:val="center"/>
        </m:oMathParaPr>
        <m:oMath>
          <m:sSub>
            <m:e>
              <m:r>
                <m:rPr>
                  <m:scr m:val="script"/>
                  <m:sty m:val="p"/>
                </m:rPr>
                <m:t>L</m:t>
              </m:r>
            </m:e>
            <m:sub>
              <m:r>
                <m:t>c</m:t>
              </m:r>
              <m:r>
                <m:t>o</m:t>
              </m:r>
              <m:r>
                <m:t>n</m:t>
              </m:r>
              <m:r>
                <m:t>f</m:t>
              </m:r>
            </m:sub>
          </m:sSub>
          <m:r>
            <m:rPr>
              <m:sty m:val="p"/>
            </m:rPr>
            <m:t>=</m:t>
          </m:r>
          <m:f>
            <m:fPr>
              <m:type m:val="bar"/>
            </m:fPr>
            <m:num>
              <m:r>
                <m:t>1</m:t>
              </m:r>
            </m:num>
            <m:den>
              <m:r>
                <m:rPr>
                  <m:sty m:val="p"/>
                </m:rPr>
                <m:t>|</m:t>
              </m:r>
              <m:r>
                <m:rPr>
                  <m:scr m:val="script"/>
                  <m:sty m:val="p"/>
                </m:rPr>
                <m:t>B</m:t>
              </m:r>
              <m:r>
                <m:rPr>
                  <m:sty m:val="p"/>
                </m:rPr>
                <m:t>|</m:t>
              </m:r>
            </m:den>
          </m:f>
          <m:nary>
            <m:naryPr>
              <m:chr m:val="∑"/>
              <m:limLoc m:val="undOvr"/>
              <m:subHide m:val="off"/>
              <m:supHide m:val="on"/>
            </m:naryPr>
            <m:sub>
              <m:r>
                <m:rPr>
                  <m:sty m:val="p"/>
                </m:rPr>
                <m:t>(</m:t>
              </m:r>
              <m:r>
                <m:t>u</m:t>
              </m:r>
              <m:r>
                <m:rPr>
                  <m:sty m:val="p"/>
                </m:rPr>
                <m:t>,</m:t>
              </m:r>
              <m:sSup>
                <m:e>
                  <m:r>
                    <m:t>i</m:t>
                  </m:r>
                </m:e>
                <m:sup>
                  <m:r>
                    <m:rPr>
                      <m:sty m:val="p"/>
                    </m:rPr>
                    <m:t>+</m:t>
                  </m:r>
                </m:sup>
              </m:sSup>
              <m:r>
                <m:rPr>
                  <m:sty m:val="p"/>
                </m:rPr>
                <m:t>,</m:t>
              </m:r>
              <m:sSup>
                <m:e>
                  <m:r>
                    <m:t>i</m:t>
                  </m:r>
                </m:e>
                <m:sup>
                  <m:r>
                    <m:rPr>
                      <m:sty m:val="p"/>
                    </m:rPr>
                    <m:t>−</m:t>
                  </m:r>
                </m:sup>
              </m:sSup>
              <m:r>
                <m:rPr>
                  <m:sty m:val="p"/>
                </m:rPr>
                <m:t>)</m:t>
              </m:r>
              <m:r>
                <m:rPr>
                  <m:sty m:val="p"/>
                </m:rPr>
                <m:t>∈</m:t>
              </m:r>
              <m:r>
                <m:rPr>
                  <m:scr m:val="script"/>
                  <m:sty m:val="p"/>
                </m:rPr>
                <m:t>B</m:t>
              </m:r>
            </m:sub>
            <m:sup>
              <m:r>
                <m:t>​</m:t>
              </m:r>
            </m:sup>
            <m:e>
              <m:sSup>
                <m:e>
                  <m:d>
                    <m:dPr>
                      <m:begChr m:val="("/>
                      <m:sepChr m:val=""/>
                      <m:endChr m:val=")"/>
                      <m:grow/>
                    </m:dPr>
                    <m:e>
                      <m:r>
                        <m:t>σ</m:t>
                      </m:r>
                      <m:r>
                        <m:rPr>
                          <m:sty m:val="p"/>
                        </m:rPr>
                        <m:t>(</m:t>
                      </m:r>
                      <m:sSub>
                        <m:e>
                          <m:r>
                            <m:t>s</m:t>
                          </m:r>
                        </m:e>
                        <m:sub>
                          <m:r>
                            <m:t>u</m:t>
                          </m:r>
                          <m:r>
                            <m:rPr>
                              <m:sty m:val="p"/>
                            </m:rPr>
                            <m:t>,</m:t>
                          </m:r>
                          <m:sSup>
                            <m:e>
                              <m:r>
                                <m:t>i</m:t>
                              </m:r>
                            </m:e>
                            <m:sup>
                              <m:r>
                                <m:rPr>
                                  <m:sty m:val="p"/>
                                </m:rPr>
                                <m:t>+</m:t>
                              </m:r>
                            </m:sup>
                          </m:sSup>
                        </m:sub>
                      </m:sSub>
                      <m:r>
                        <m:rPr>
                          <m:sty m:val="p"/>
                        </m:rPr>
                        <m:t>)</m:t>
                      </m:r>
                      <m:r>
                        <m:rPr>
                          <m:sty m:val="p"/>
                        </m:rPr>
                        <m:t>−</m:t>
                      </m:r>
                      <m:sSub>
                        <m:e>
                          <m:r>
                            <m:t>τ</m:t>
                          </m:r>
                        </m:e>
                        <m:sub>
                          <m:r>
                            <m:t>p</m:t>
                          </m:r>
                          <m:r>
                            <m:t>o</m:t>
                          </m:r>
                          <m:r>
                            <m:t>s</m:t>
                          </m:r>
                        </m:sub>
                      </m:sSub>
                    </m:e>
                  </m:d>
                </m:e>
                <m:sup>
                  <m:r>
                    <m:t>2</m:t>
                  </m:r>
                </m:sup>
              </m:sSup>
            </m:e>
          </m:nary>
          <m:r>
            <m:rPr>
              <m:sty m:val="p"/>
            </m:rPr>
            <m:t>+</m:t>
          </m:r>
          <m:sSup>
            <m:e>
              <m:d>
                <m:dPr>
                  <m:begChr m:val="("/>
                  <m:sepChr m:val=""/>
                  <m:endChr m:val=")"/>
                  <m:grow/>
                </m:dPr>
                <m:e>
                  <m:r>
                    <m:t>σ</m:t>
                  </m:r>
                  <m:r>
                    <m:rPr>
                      <m:sty m:val="p"/>
                    </m:rPr>
                    <m:t>(</m:t>
                  </m:r>
                  <m:sSub>
                    <m:e>
                      <m:r>
                        <m:t>s</m:t>
                      </m:r>
                    </m:e>
                    <m:sub>
                      <m:r>
                        <m:t>u</m:t>
                      </m:r>
                      <m:r>
                        <m:rPr>
                          <m:sty m:val="p"/>
                        </m:rPr>
                        <m:t>,</m:t>
                      </m:r>
                      <m:sSup>
                        <m:e>
                          <m:r>
                            <m:t>i</m:t>
                          </m:r>
                        </m:e>
                        <m:sup>
                          <m:r>
                            <m:rPr>
                              <m:sty m:val="p"/>
                            </m:rPr>
                            <m:t>−</m:t>
                          </m:r>
                        </m:sup>
                      </m:sSup>
                    </m:sub>
                  </m:sSub>
                  <m:r>
                    <m:rPr>
                      <m:sty m:val="p"/>
                    </m:rPr>
                    <m:t>)</m:t>
                  </m:r>
                  <m:r>
                    <m:rPr>
                      <m:sty m:val="p"/>
                    </m:rPr>
                    <m:t>−</m:t>
                  </m:r>
                  <m:sSub>
                    <m:e>
                      <m:r>
                        <m:t>τ</m:t>
                      </m:r>
                    </m:e>
                    <m:sub>
                      <m:r>
                        <m:t>n</m:t>
                      </m:r>
                      <m:r>
                        <m:t>e</m:t>
                      </m:r>
                      <m:r>
                        <m:t>g</m:t>
                      </m:r>
                    </m:sub>
                  </m:sSub>
                </m:e>
              </m:d>
            </m:e>
            <m:sup>
              <m:r>
                <m:t>2</m:t>
              </m:r>
            </m:sup>
          </m:sSup>
          <m:r>
            <m:rPr>
              <m:sty m:val="p"/>
            </m:rPr>
            <m:t>,</m:t>
          </m:r>
        </m:oMath>
      </m:oMathPara>
    </w:p>
    <w:p>
      <w:pPr>
        <w:pStyle w:val="FirstParagraph"/>
      </w:pPr>
      <w:r>
        <w:rPr>
          <w:rFonts w:hint="eastAsia"/>
        </w:rPr>
        <w:t xml:space="preserve">其中，</w:t>
      </w:r>
      <m:oMath>
        <m:r>
          <m:rPr>
            <m:scr m:val="script"/>
            <m:sty m:val="p"/>
          </m:rPr>
          <m:t>B</m:t>
        </m:r>
      </m:oMath>
      <w:r>
        <w:t xml:space="preserve"> </w:t>
      </w:r>
      <w:r>
        <w:rPr>
          <w:rFonts w:hint="eastAsia"/>
        </w:rPr>
        <w:t xml:space="preserve">表示一个</w:t>
      </w:r>
      <w:r>
        <w:t xml:space="preserve"> </w:t>
      </w:r>
      <w:r>
        <w:rPr>
          <w:rFonts w:hint="eastAsia"/>
        </w:rPr>
        <w:t xml:space="preserve">mini-batch，</w:t>
      </w:r>
      <m:oMath>
        <m:sSub>
          <m:e>
            <m:r>
              <m:t>τ</m:t>
            </m:r>
          </m:e>
          <m:sub>
            <m:r>
              <m:t>p</m:t>
            </m:r>
            <m:r>
              <m:t>o</m:t>
            </m:r>
            <m:r>
              <m:t>s</m:t>
            </m:r>
          </m:sub>
        </m:sSub>
      </m:oMath>
      <w:r>
        <w:t xml:space="preserve"> </w:t>
      </w:r>
      <w:r>
        <w:rPr>
          <w:rFonts w:hint="eastAsia"/>
        </w:rPr>
        <w:t xml:space="preserve">和</w:t>
      </w:r>
      <w:r>
        <w:t xml:space="preserve"> </w:t>
      </w:r>
      <m:oMath>
        <m:sSub>
          <m:e>
            <m:r>
              <m:t>τ</m:t>
            </m:r>
          </m:e>
          <m:sub>
            <m:r>
              <m:t>n</m:t>
            </m:r>
            <m:r>
              <m:t>e</m:t>
            </m:r>
            <m:r>
              <m:t>g</m:t>
            </m:r>
          </m:sub>
        </m:sSub>
      </m:oMath>
      <w:r>
        <w:t xml:space="preserve"> </w:t>
      </w:r>
      <w:r>
        <w:rPr>
          <w:rFonts w:hint="eastAsia"/>
        </w:rPr>
        <w:t xml:space="preserve">分别表示正样本和负样本的目标置信度。直观上，该正则并不改变正负样本的相对排序方向，而是限制模型将正样本概率推得过高、将负样本概率压得过低，从而抑制过度自信的输出分布。最终总损失为：</w:t>
      </w:r>
    </w:p>
    <w:p>
      <w:pPr>
        <w:pStyle w:val="BodyText"/>
      </w:pPr>
      <m:oMathPara>
        <m:oMathParaPr>
          <m:jc m:val="center"/>
        </m:oMathParaPr>
        <m:oMath>
          <m:r>
            <m:rPr>
              <m:scr m:val="script"/>
              <m:sty m:val="p"/>
            </m:rPr>
            <m:t>L</m:t>
          </m:r>
          <m:r>
            <m:rPr>
              <m:sty m:val="p"/>
            </m:rPr>
            <m:t>=</m:t>
          </m:r>
          <m:sSub>
            <m:e>
              <m:r>
                <m:rPr>
                  <m:scr m:val="script"/>
                  <m:sty m:val="p"/>
                </m:rPr>
                <m:t>L</m:t>
              </m:r>
            </m:e>
            <m:sub>
              <m:r>
                <m:t>b</m:t>
              </m:r>
              <m:r>
                <m:t>p</m:t>
              </m:r>
              <m:r>
                <m:t>r</m:t>
              </m:r>
            </m:sub>
          </m:sSub>
          <m:r>
            <m:rPr>
              <m:sty m:val="p"/>
            </m:rPr>
            <m:t>+</m:t>
          </m:r>
          <m:sSub>
            <m:e>
              <m:r>
                <m:t>λ</m:t>
              </m:r>
            </m:e>
            <m:sub>
              <m:r>
                <m:t>c</m:t>
              </m:r>
              <m:r>
                <m:t>o</m:t>
              </m:r>
              <m:r>
                <m:t>n</m:t>
              </m:r>
              <m:r>
                <m:t>f</m:t>
              </m:r>
            </m:sub>
          </m:sSub>
          <m:sSub>
            <m:e>
              <m:r>
                <m:rPr>
                  <m:scr m:val="script"/>
                  <m:sty m:val="p"/>
                </m:rPr>
                <m:t>L</m:t>
              </m:r>
            </m:e>
            <m:sub>
              <m:r>
                <m:t>c</m:t>
              </m:r>
              <m:r>
                <m:t>o</m:t>
              </m:r>
              <m:r>
                <m:t>n</m:t>
              </m:r>
              <m:r>
                <m:t>f</m:t>
              </m:r>
            </m:sub>
          </m:sSub>
          <m:r>
            <m:rPr>
              <m:sty m:val="p"/>
            </m:rPr>
            <m:t>+</m:t>
          </m:r>
          <m:r>
            <m:rPr>
              <m:nor/>
              <m:sty m:val="p"/>
            </m:rPr>
            <m:t>other active terms</m:t>
          </m:r>
          <m:r>
            <m:rPr>
              <m:sty m:val="p"/>
            </m:rPr>
            <m:t>,</m:t>
          </m:r>
        </m:oMath>
      </m:oMathPara>
    </w:p>
    <w:p>
      <w:pPr>
        <w:pStyle w:val="FirstParagraph"/>
      </w:pPr>
      <w:r>
        <w:rPr>
          <w:rFonts w:hint="eastAsia"/>
        </w:rPr>
        <w:t xml:space="preserve">其中在本文的</w:t>
      </w:r>
      <w:r>
        <w:t xml:space="preserve"> M1 </w:t>
      </w:r>
      <w:r>
        <w:rPr>
          <w:rFonts w:hint="eastAsia"/>
        </w:rPr>
        <w:t xml:space="preserve">实验中，</w:t>
      </w:r>
      <w:r>
        <w:rPr>
          <w:rStyle w:val="VerbatimChar"/>
        </w:rPr>
        <w:t xml:space="preserve">str_weight</w:t>
      </w:r>
      <w:r>
        <w:t xml:space="preserve"> </w:t>
      </w:r>
      <w:r>
        <w:rPr>
          <w:rFonts w:hint="eastAsia"/>
        </w:rPr>
        <w:t xml:space="preserve">固定为</w:t>
      </w:r>
      <w:r>
        <w:t xml:space="preserve"> </w:t>
      </w:r>
      <w:r>
        <w:rPr>
          <w:rFonts w:hint="eastAsia"/>
        </w:rPr>
        <w:t xml:space="preserve">0，</w:t>
      </w:r>
      <w:r>
        <w:rPr>
          <w:rStyle w:val="VerbatimChar"/>
        </w:rPr>
        <w:t xml:space="preserve">beta</w:t>
      </w:r>
      <w:r>
        <w:t xml:space="preserve"> </w:t>
      </w:r>
      <w:r>
        <w:rPr>
          <w:rFonts w:hint="eastAsia"/>
        </w:rPr>
        <w:t xml:space="preserve">固定为</w:t>
      </w:r>
      <w:r>
        <w:t xml:space="preserve"> </w:t>
      </w:r>
      <w:r>
        <w:rPr>
          <w:rFonts w:hint="eastAsia"/>
        </w:rPr>
        <w:t xml:space="preserve">0，默认使用</w:t>
      </w:r>
      <w:r>
        <w:t xml:space="preserve"> </w:t>
      </w:r>
      <m:oMath>
        <m:sSub>
          <m:e>
            <m:r>
              <m:t>τ</m:t>
            </m:r>
          </m:e>
          <m:sub>
            <m:r>
              <m:t>p</m:t>
            </m:r>
            <m:r>
              <m:t>o</m:t>
            </m:r>
            <m:r>
              <m:t>s</m:t>
            </m:r>
          </m:sub>
        </m:sSub>
        <m:r>
          <m:rPr>
            <m:sty m:val="p"/>
          </m:rPr>
          <m:t>=</m:t>
        </m:r>
        <m:r>
          <m:t>0.7</m:t>
        </m:r>
      </m:oMath>
      <w:r>
        <w:t xml:space="preserve">、</w:t>
      </w:r>
      <m:oMath>
        <m:sSub>
          <m:e>
            <m:r>
              <m:t>τ</m:t>
            </m:r>
          </m:e>
          <m:sub>
            <m:r>
              <m:t>n</m:t>
            </m:r>
            <m:r>
              <m:t>e</m:t>
            </m:r>
            <m:r>
              <m:t>g</m:t>
            </m:r>
          </m:sub>
        </m:sSub>
        <m:r>
          <m:rPr>
            <m:sty m:val="p"/>
          </m:rPr>
          <m:t>=</m:t>
        </m:r>
        <m:r>
          <m:t>0.3</m:t>
        </m:r>
      </m:oMath>
      <w:r>
        <w:t xml:space="preserve">。</w:t>
      </w:r>
    </w:p>
    <w:bookmarkEnd w:id="10"/>
    <w:bookmarkStart w:id="11" w:name="实验设置"/>
    <w:p>
      <w:pPr>
        <w:pStyle w:val="Heading3"/>
      </w:pPr>
      <w:r>
        <w:rPr>
          <w:rFonts w:hint="eastAsia"/>
        </w:rPr>
        <w:t xml:space="preserve">实验设置</w:t>
      </w:r>
    </w:p>
    <w:p>
      <w:pPr>
        <w:pStyle w:val="FirstParagraph"/>
      </w:pPr>
      <w:r>
        <w:rPr>
          <w:rFonts w:hint="eastAsia"/>
        </w:rPr>
        <w:t xml:space="preserve">置信度正则实验基于</w:t>
      </w:r>
      <w:r>
        <w:t xml:space="preserve"> </w:t>
      </w:r>
      <w:r>
        <w:rPr>
          <w:rStyle w:val="VerbatimChar"/>
        </w:rPr>
        <w:t xml:space="preserve">digital_music</w:t>
      </w:r>
      <w:r>
        <w:t xml:space="preserve"> </w:t>
      </w:r>
      <w:r>
        <w:rPr>
          <w:rFonts w:hint="eastAsia"/>
        </w:rPr>
        <w:t xml:space="preserve">数据集开展，模型为</w:t>
      </w:r>
      <w:r>
        <w:t xml:space="preserve"> </w:t>
      </w:r>
      <w:r>
        <w:rPr>
          <w:rStyle w:val="VerbatimChar"/>
        </w:rPr>
        <w:t xml:space="preserve">lightgcn_agr_conf</w:t>
      </w:r>
      <w:r>
        <w:rPr>
          <w:rFonts w:hint="eastAsia"/>
        </w:rPr>
        <w:t xml:space="preserve">，攻击器采用逻辑回归（LR）成员推断攻击，评价指标包括推荐性能指标</w:t>
      </w:r>
      <w:r>
        <w:t xml:space="preserve"> Recall@20 </w:t>
      </w:r>
      <w:r>
        <w:rPr>
          <w:rFonts w:hint="eastAsia"/>
        </w:rPr>
        <w:t xml:space="preserve">和隐私风险指标</w:t>
      </w:r>
      <w:r>
        <w:t xml:space="preserve"> MIA </w:t>
      </w:r>
      <w:r>
        <w:rPr>
          <w:rFonts w:hint="eastAsia"/>
        </w:rPr>
        <w:t xml:space="preserve">AUC。实验的基础配置继承自安全底座模型，即关闭结构对比项与</w:t>
      </w:r>
      <w:r>
        <w:t xml:space="preserve"> HSIC </w:t>
      </w:r>
      <w:r>
        <w:rPr>
          <w:rFonts w:hint="eastAsia"/>
        </w:rPr>
        <w:t xml:space="preserve">项，仅保留</w:t>
      </w:r>
      <w:r>
        <w:t xml:space="preserve"> BPR </w:t>
      </w:r>
      <w:r>
        <w:rPr>
          <w:rFonts w:hint="eastAsia"/>
        </w:rPr>
        <w:t xml:space="preserve">主目标及轻量语义蒸馏项。围绕置信度正则，本文主要考察两个超参数：</w:t>
      </w:r>
    </w:p>
    <w:p>
      <w:pPr>
        <w:numPr>
          <w:ilvl w:val="0"/>
          <w:numId w:val="1001"/>
        </w:numPr>
      </w:pPr>
      <m:oMath>
        <m:sSub>
          <m:e>
            <m:r>
              <m:t>λ</m:t>
            </m:r>
          </m:e>
          <m:sub>
            <m:r>
              <m:t>c</m:t>
            </m:r>
            <m:r>
              <m:t>o</m:t>
            </m:r>
            <m:r>
              <m:t>n</m:t>
            </m:r>
            <m:r>
              <m:t>f</m:t>
            </m:r>
          </m:sub>
        </m:sSub>
      </m:oMath>
      <w:r>
        <w:rPr>
          <w:rFonts w:hint="eastAsia"/>
        </w:rPr>
        <w:t xml:space="preserve">：置信度正则权重，对应代码中的</w:t>
      </w:r>
      <w:r>
        <w:t xml:space="preserve"> </w:t>
      </w:r>
      <w:r>
        <w:rPr>
          <w:rStyle w:val="VerbatimChar"/>
        </w:rPr>
        <w:t xml:space="preserve">conf_weight</w:t>
      </w:r>
      <w:r>
        <w:rPr>
          <w:rFonts w:hint="eastAsia"/>
        </w:rPr>
        <w:t xml:space="preserve">；</w:t>
      </w:r>
    </w:p>
    <w:p>
      <w:pPr>
        <w:numPr>
          <w:ilvl w:val="0"/>
          <w:numId w:val="1001"/>
        </w:numPr>
      </w:pPr>
      <m:oMath>
        <m:sSub>
          <m:e>
            <m:r>
              <m:t>τ</m:t>
            </m:r>
          </m:e>
          <m:sub>
            <m:r>
              <m:t>p</m:t>
            </m:r>
            <m:r>
              <m:t>o</m:t>
            </m:r>
            <m:r>
              <m:t>s</m:t>
            </m:r>
          </m:sub>
        </m:sSub>
      </m:oMath>
      <w:r>
        <w:rPr>
          <w:rFonts w:hint="eastAsia"/>
        </w:rPr>
        <w:t xml:space="preserve">：正样本目标置信度，对应代码中的</w:t>
      </w:r>
      <w:r>
        <w:t xml:space="preserve"> </w:t>
      </w:r>
      <w:r>
        <w:rPr>
          <w:rStyle w:val="VerbatimChar"/>
        </w:rPr>
        <w:t xml:space="preserve">conf_target</w:t>
      </w:r>
      <w:r>
        <w:t xml:space="preserve">。</w:t>
      </w:r>
    </w:p>
    <w:p>
      <w:pPr>
        <w:pStyle w:val="FirstParagraph"/>
      </w:pPr>
      <w:r>
        <w:rPr>
          <w:rFonts w:hint="eastAsia"/>
        </w:rPr>
        <w:t xml:space="preserve">此外，负样本目标置信度固定为</w:t>
      </w:r>
      <w:r>
        <w:t xml:space="preserve"> </w:t>
      </w:r>
      <m:oMath>
        <m:sSub>
          <m:e>
            <m:r>
              <m:t>τ</m:t>
            </m:r>
          </m:e>
          <m:sub>
            <m:r>
              <m:t>n</m:t>
            </m:r>
            <m:r>
              <m:t>e</m:t>
            </m:r>
            <m:r>
              <m:t>g</m:t>
            </m:r>
          </m:sub>
        </m:sSub>
        <m:r>
          <m:rPr>
            <m:sty m:val="p"/>
          </m:rPr>
          <m:t>=</m:t>
        </m:r>
        <m:r>
          <m:t>0.3</m:t>
        </m:r>
      </m:oMath>
      <w:r>
        <w:rPr>
          <w:rFonts w:hint="eastAsia"/>
        </w:rPr>
        <w:t xml:space="preserve">。主实验首先在</w:t>
      </w:r>
      <w:r>
        <w:t xml:space="preserve"> </w:t>
      </w:r>
      <w:r>
        <w:rPr>
          <w:rStyle w:val="VerbatimChar"/>
        </w:rPr>
        <w:t xml:space="preserve">Phase 8</w:t>
      </w:r>
      <w:r>
        <w:t xml:space="preserve"> </w:t>
      </w:r>
      <w:r>
        <w:rPr>
          <w:rFonts w:hint="eastAsia"/>
        </w:rPr>
        <w:t xml:space="preserve">中完成</w:t>
      </w:r>
      <w:r>
        <w:t xml:space="preserve"> 5 </w:t>
      </w:r>
      <w:r>
        <w:rPr>
          <w:rFonts w:hint="eastAsia"/>
        </w:rPr>
        <w:t xml:space="preserve">个代表性配置的对比，随后在</w:t>
      </w:r>
      <w:r>
        <w:t xml:space="preserve"> </w:t>
      </w:r>
      <w:r>
        <w:rPr>
          <w:rStyle w:val="VerbatimChar"/>
        </w:rPr>
        <w:t xml:space="preserve">Phase 9</w:t>
      </w:r>
      <w:r>
        <w:t xml:space="preserve"> </w:t>
      </w:r>
      <w:r>
        <w:rPr>
          <w:rFonts w:hint="eastAsia"/>
        </w:rPr>
        <w:t xml:space="preserve">和</w:t>
      </w:r>
      <w:r>
        <w:t xml:space="preserve"> </w:t>
      </w:r>
      <w:r>
        <w:rPr>
          <w:rStyle w:val="VerbatimChar"/>
        </w:rPr>
        <w:t xml:space="preserve">Phase 16</w:t>
      </w:r>
      <w:r>
        <w:t xml:space="preserve"> </w:t>
      </w:r>
      <w:r>
        <w:rPr>
          <w:rFonts w:hint="eastAsia"/>
        </w:rPr>
        <w:t xml:space="preserve">中进一步补充更细粒度的权重与目标值搜索，并在</w:t>
      </w:r>
      <w:r>
        <w:t xml:space="preserve"> </w:t>
      </w:r>
      <w:r>
        <w:rPr>
          <w:rStyle w:val="VerbatimChar"/>
        </w:rPr>
        <w:t xml:space="preserve">Phase 12b</w:t>
      </w:r>
      <w:r>
        <w:t xml:space="preserve"> </w:t>
      </w:r>
      <w:r>
        <w:rPr>
          <w:rFonts w:hint="eastAsia"/>
        </w:rPr>
        <w:t xml:space="preserve">中使用</w:t>
      </w:r>
      <w:r>
        <w:t xml:space="preserve"> MLP </w:t>
      </w:r>
      <w:r>
        <w:rPr>
          <w:rFonts w:hint="eastAsia"/>
        </w:rPr>
        <w:t xml:space="preserve">攻击器进行鲁棒性验证。</w:t>
      </w:r>
    </w:p>
    <w:bookmarkEnd w:id="11"/>
    <w:bookmarkStart w:id="13" w:name="主实验结果"/>
    <w:p>
      <w:pPr>
        <w:pStyle w:val="Heading3"/>
      </w:pPr>
      <w:r>
        <w:rPr>
          <w:rFonts w:hint="eastAsia"/>
        </w:rPr>
        <w:t xml:space="preserve">主实验结果</w:t>
      </w:r>
    </w:p>
    <w:p>
      <w:pPr>
        <w:pStyle w:val="FirstParagraph"/>
      </w:pPr>
      <w:r>
        <w:rPr>
          <w:rFonts w:hint="eastAsia"/>
        </w:rPr>
        <w:t xml:space="preserve">以</w:t>
      </w:r>
      <w:r>
        <w:t xml:space="preserve"> LightGCN </w:t>
      </w:r>
      <w:r>
        <w:rPr>
          <w:rFonts w:hint="eastAsia"/>
        </w:rPr>
        <w:t xml:space="preserve">基线为参考，其</w:t>
      </w:r>
      <w:r>
        <w:t xml:space="preserve"> Recall@20 </w:t>
      </w:r>
      <w:r>
        <w:rPr>
          <w:rFonts w:hint="eastAsia"/>
        </w:rPr>
        <w:t xml:space="preserve">为</w:t>
      </w:r>
      <w:r>
        <w:t xml:space="preserve"> </w:t>
      </w:r>
      <w:r>
        <w:rPr>
          <w:rFonts w:hint="eastAsia"/>
        </w:rPr>
        <w:t xml:space="preserve">0.2414，MIA</w:t>
      </w:r>
      <w:r>
        <w:t xml:space="preserve"> AUC </w:t>
      </w:r>
      <w:r>
        <w:rPr>
          <w:rFonts w:hint="eastAsia"/>
        </w:rPr>
        <w:t xml:space="preserve">为</w:t>
      </w:r>
      <w:r>
        <w:t xml:space="preserve"> </w:t>
      </w:r>
      <w:r>
        <w:rPr>
          <w:rFonts w:hint="eastAsia"/>
        </w:rPr>
        <w:t xml:space="preserve">0.9016。表</w:t>
      </w:r>
      <w:r>
        <w:t xml:space="preserve"> </w:t>
      </w:r>
      <w:hyperlink w:anchor="tab:m1-main">
        <w:r>
          <w:rPr>
            <w:rStyle w:val="Hyperlink"/>
          </w:rPr>
          <w:t xml:space="preserve">1</w:t>
        </w:r>
      </w:hyperlink>
      <w:r>
        <w:t xml:space="preserve"> </w:t>
      </w:r>
      <w:r>
        <w:rPr>
          <w:rFonts w:hint="eastAsia"/>
        </w:rPr>
        <w:t xml:space="preserve">给出了置信度正则的主要结果。</w:t>
      </w:r>
    </w:p>
    <w:bookmarkStart w:id="12" w:name="tab:m1-main"/>
    <w:p>
      <w:pPr>
        <w:pStyle w:val="TableCaption"/>
      </w:pPr>
      <w:r>
        <w:rPr>
          <w:rFonts w:hint="eastAsia"/>
        </w:rPr>
        <w:t xml:space="preserve">置信度正则（M1）主实验结果</w:t>
      </w:r>
    </w:p>
    <w:tbl>
      <w:tblPr>
        <w:tblStyle w:val="Table"/>
        <w:tblW w:type="auto" w:w="0"/>
        <w:tblLook w:firstRow="1" w:lastRow="0" w:firstColumn="0" w:lastColumn="0" w:noHBand="0" w:noVBand="0" w:val="0020"/>
        <w:tblCaption w:val="置信度正则（M1）主实验结果"/>
      </w:tblPr>
      <w:tblGrid>
        <w:gridCol w:w="1980"/>
        <w:gridCol w:w="1980"/>
        <w:gridCol w:w="1980"/>
        <w:gridCol w:w="1980"/>
      </w:tblGrid>
      <w:tr>
        <w:trPr>
          <w:tblHeader w:val="on"/>
        </w:trPr>
        <w:tc>
          <w:tcPr/>
          <w:p>
            <w:pPr>
              <w:pStyle w:val="Compact"/>
              <w:jc w:val="center"/>
            </w:pPr>
            <w:r>
              <w:rPr>
                <w:rStyle w:val="VerbatimChar"/>
              </w:rPr>
              <w:t xml:space="preserve">conf_weight</w:t>
            </w:r>
          </w:p>
        </w:tc>
        <w:tc>
          <w:tcPr/>
          <w:p>
            <w:pPr>
              <w:pStyle w:val="Compact"/>
              <w:jc w:val="center"/>
            </w:pPr>
            <w:r>
              <w:rPr>
                <w:rStyle w:val="VerbatimChar"/>
              </w:rPr>
              <w:t xml:space="preserve">conf_target</w:t>
            </w:r>
          </w:p>
        </w:tc>
        <w:tc>
          <w:tcPr/>
          <w:p>
            <w:pPr>
              <w:pStyle w:val="Compact"/>
              <w:jc w:val="center"/>
            </w:pPr>
            <w:r>
              <w:t xml:space="preserve">Recall@20</w:t>
            </w:r>
          </w:p>
        </w:tc>
        <w:tc>
          <w:tcPr/>
          <w:p>
            <w:pPr>
              <w:pStyle w:val="Compact"/>
              <w:jc w:val="center"/>
            </w:pPr>
            <w:r>
              <w:t xml:space="preserve">MIA AUC</w:t>
            </w:r>
          </w:p>
        </w:tc>
      </w:tr>
      <w:tr>
        <w:tc>
          <w:tcPr/>
          <w:p>
            <w:pPr>
              <w:pStyle w:val="Compact"/>
              <w:jc w:val="center"/>
            </w:pPr>
            <w:r>
              <w:t xml:space="preserve">0.1</w:t>
            </w:r>
          </w:p>
        </w:tc>
        <w:tc>
          <w:tcPr/>
          <w:p>
            <w:pPr>
              <w:pStyle w:val="Compact"/>
              <w:jc w:val="center"/>
            </w:pPr>
            <w:r>
              <w:t xml:space="preserve">0.7</w:t>
            </w:r>
          </w:p>
        </w:tc>
        <w:tc>
          <w:tcPr/>
          <w:p>
            <w:pPr>
              <w:pStyle w:val="Compact"/>
              <w:jc w:val="center"/>
            </w:pPr>
            <w:r>
              <w:t xml:space="preserve">0.2418</w:t>
            </w:r>
          </w:p>
        </w:tc>
        <w:tc>
          <w:tcPr/>
          <w:p>
            <w:pPr>
              <w:pStyle w:val="Compact"/>
              <w:jc w:val="center"/>
            </w:pPr>
            <w:r>
              <w:t xml:space="preserve">0.8805</w:t>
            </w:r>
          </w:p>
        </w:tc>
      </w:tr>
      <w:tr>
        <w:tc>
          <w:tcPr/>
          <w:p>
            <w:pPr>
              <w:pStyle w:val="Compact"/>
              <w:jc w:val="center"/>
            </w:pPr>
            <w:r>
              <w:t xml:space="preserve">0.5</w:t>
            </w:r>
          </w:p>
        </w:tc>
        <w:tc>
          <w:tcPr/>
          <w:p>
            <w:pPr>
              <w:pStyle w:val="Compact"/>
              <w:jc w:val="center"/>
            </w:pPr>
            <w:r>
              <w:t xml:space="preserve">0.7</w:t>
            </w:r>
          </w:p>
        </w:tc>
        <w:tc>
          <w:tcPr/>
          <w:p>
            <w:pPr>
              <w:pStyle w:val="Compact"/>
              <w:jc w:val="center"/>
            </w:pPr>
            <w:r>
              <w:t xml:space="preserve">0.2465</w:t>
            </w:r>
          </w:p>
        </w:tc>
        <w:tc>
          <w:tcPr/>
          <w:p>
            <w:pPr>
              <w:pStyle w:val="Compact"/>
              <w:jc w:val="center"/>
            </w:pPr>
            <w:r>
              <w:t xml:space="preserve">0.8870</w:t>
            </w:r>
          </w:p>
        </w:tc>
      </w:tr>
      <w:tr>
        <w:tc>
          <w:tcPr/>
          <w:p>
            <w:pPr>
              <w:pStyle w:val="Compact"/>
              <w:jc w:val="center"/>
            </w:pPr>
            <w:r>
              <w:t xml:space="preserve">2.0</w:t>
            </w:r>
          </w:p>
        </w:tc>
        <w:tc>
          <w:tcPr/>
          <w:p>
            <w:pPr>
              <w:pStyle w:val="Compact"/>
              <w:jc w:val="center"/>
            </w:pPr>
            <w:r>
              <w:t xml:space="preserve">0.7</w:t>
            </w:r>
          </w:p>
        </w:tc>
        <w:tc>
          <w:tcPr/>
          <w:p>
            <w:pPr>
              <w:pStyle w:val="Compact"/>
              <w:jc w:val="center"/>
            </w:pPr>
            <w:r>
              <w:t xml:space="preserve">0.2425</w:t>
            </w:r>
          </w:p>
        </w:tc>
        <w:tc>
          <w:tcPr/>
          <w:p>
            <w:pPr>
              <w:pStyle w:val="Compact"/>
              <w:jc w:val="center"/>
            </w:pPr>
            <w:r>
              <w:t xml:space="preserve">0.8997</w:t>
            </w:r>
          </w:p>
        </w:tc>
      </w:tr>
      <w:tr>
        <w:tc>
          <w:tcPr/>
          <w:p>
            <w:pPr>
              <w:pStyle w:val="Compact"/>
              <w:jc w:val="center"/>
            </w:pPr>
            <w:r>
              <w:t xml:space="preserve">0.5</w:t>
            </w:r>
          </w:p>
        </w:tc>
        <w:tc>
          <w:tcPr/>
          <w:p>
            <w:pPr>
              <w:pStyle w:val="Compact"/>
              <w:jc w:val="center"/>
            </w:pPr>
            <w:r>
              <w:t xml:space="preserve">0.55</w:t>
            </w:r>
          </w:p>
        </w:tc>
        <w:tc>
          <w:tcPr/>
          <w:p>
            <w:pPr>
              <w:pStyle w:val="Compact"/>
              <w:jc w:val="center"/>
            </w:pPr>
            <w:r>
              <w:t xml:space="preserve">0.2500</w:t>
            </w:r>
          </w:p>
        </w:tc>
        <w:tc>
          <w:tcPr/>
          <w:p>
            <w:pPr>
              <w:pStyle w:val="Compact"/>
              <w:jc w:val="center"/>
            </w:pPr>
            <w:r>
              <w:t xml:space="preserve">0.8920</w:t>
            </w:r>
          </w:p>
        </w:tc>
      </w:tr>
      <w:tr>
        <w:tc>
          <w:tcPr/>
          <w:p>
            <w:pPr>
              <w:pStyle w:val="Compact"/>
              <w:jc w:val="center"/>
            </w:pPr>
            <w:r>
              <w:t xml:space="preserve">5.0</w:t>
            </w:r>
          </w:p>
        </w:tc>
        <w:tc>
          <w:tcPr/>
          <w:p>
            <w:pPr>
              <w:pStyle w:val="Compact"/>
              <w:jc w:val="center"/>
            </w:pPr>
            <w:r>
              <w:t xml:space="preserve">0.6</w:t>
            </w:r>
          </w:p>
        </w:tc>
        <w:tc>
          <w:tcPr/>
          <w:p>
            <w:pPr>
              <w:pStyle w:val="Compact"/>
              <w:jc w:val="center"/>
            </w:pPr>
            <w:r>
              <w:t xml:space="preserve">0.2269</w:t>
            </w:r>
          </w:p>
        </w:tc>
        <w:tc>
          <w:tcPr/>
          <w:p>
            <w:pPr>
              <w:pStyle w:val="Compact"/>
              <w:jc w:val="center"/>
            </w:pPr>
            <w:r>
              <w:t xml:space="preserve">0.8871</w:t>
            </w:r>
          </w:p>
        </w:tc>
      </w:tr>
    </w:tbl>
    <w:bookmarkEnd w:id="12"/>
    <w:p>
      <w:pPr>
        <w:pStyle w:val="BodyText"/>
      </w:pPr>
      <w:r>
        <w:rPr>
          <w:rFonts w:hint="eastAsia"/>
        </w:rPr>
        <w:t xml:space="preserve">从表</w:t>
      </w:r>
      <w:r>
        <w:t xml:space="preserve"> </w:t>
      </w:r>
      <w:hyperlink w:anchor="tab:m1-main">
        <w:r>
          <w:rPr>
            <w:rStyle w:val="Hyperlink"/>
          </w:rPr>
          <w:t xml:space="preserve">1</w:t>
        </w:r>
      </w:hyperlink>
      <w:r>
        <w:t xml:space="preserve"> </w:t>
      </w:r>
      <w:r>
        <w:rPr>
          <w:rFonts w:hint="eastAsia"/>
        </w:rPr>
        <w:t xml:space="preserve">可以看出，置信度正则整体上实现了比</w:t>
      </w:r>
      <w:r>
        <w:t xml:space="preserve"> LightGCN </w:t>
      </w:r>
      <w:r>
        <w:rPr>
          <w:rFonts w:hint="eastAsia"/>
        </w:rPr>
        <w:t xml:space="preserve">更优的隐私–效用折中。具体而言，轻量配置</w:t>
      </w:r>
      <w:r>
        <w:t xml:space="preserve"> </w:t>
      </w:r>
      <w:r>
        <w:rPr>
          <w:rStyle w:val="VerbatimChar"/>
        </w:rPr>
        <w:t xml:space="preserve">conf_weight</w:t>
      </w:r>
      <w:r>
        <w:t xml:space="preserve">=0.1、</w:t>
      </w:r>
      <w:r>
        <w:rPr>
          <w:rStyle w:val="VerbatimChar"/>
        </w:rPr>
        <w:t xml:space="preserve">conf_target</w:t>
      </w:r>
      <w:r>
        <w:t xml:space="preserve">=0.7 </w:t>
      </w:r>
      <w:r>
        <w:rPr>
          <w:rFonts w:hint="eastAsia"/>
        </w:rPr>
        <w:t xml:space="preserve">时，Recall@20</w:t>
      </w:r>
      <w:r>
        <w:t xml:space="preserve"> </w:t>
      </w:r>
      <w:r>
        <w:rPr>
          <w:rFonts w:hint="eastAsia"/>
        </w:rPr>
        <w:t xml:space="preserve">为</w:t>
      </w:r>
      <w:r>
        <w:t xml:space="preserve"> </w:t>
      </w:r>
      <w:r>
        <w:rPr>
          <w:rFonts w:hint="eastAsia"/>
        </w:rPr>
        <w:t xml:space="preserve">0.2418，与</w:t>
      </w:r>
      <w:r>
        <w:t xml:space="preserve"> LightGCN </w:t>
      </w:r>
      <w:r>
        <w:rPr>
          <w:rFonts w:hint="eastAsia"/>
        </w:rPr>
        <w:t xml:space="preserve">基本持平，但</w:t>
      </w:r>
      <w:r>
        <w:t xml:space="preserve"> AUC </w:t>
      </w:r>
      <w:r>
        <w:rPr>
          <w:rFonts w:hint="eastAsia"/>
        </w:rPr>
        <w:t xml:space="preserve">降至</w:t>
      </w:r>
      <w:r>
        <w:t xml:space="preserve"> </w:t>
      </w:r>
      <w:r>
        <w:rPr>
          <w:rFonts w:hint="eastAsia"/>
        </w:rPr>
        <w:t xml:space="preserve">0.8805，相比基线下降</w:t>
      </w:r>
      <w:r>
        <w:t xml:space="preserve"> 2.1 </w:t>
      </w:r>
      <w:r>
        <w:rPr>
          <w:rFonts w:hint="eastAsia"/>
        </w:rPr>
        <w:t xml:space="preserve">个百分点，说明仅通过轻度抑制过置信输出，就可以显著削弱成员推断风险。另一方面，配置</w:t>
      </w:r>
      <w:r>
        <w:t xml:space="preserve"> </w:t>
      </w:r>
      <w:r>
        <w:rPr>
          <w:rStyle w:val="VerbatimChar"/>
        </w:rPr>
        <w:t xml:space="preserve">conf_weight</w:t>
      </w:r>
      <w:r>
        <w:t xml:space="preserve">=0.5、</w:t>
      </w:r>
      <w:r>
        <w:rPr>
          <w:rStyle w:val="VerbatimChar"/>
        </w:rPr>
        <w:t xml:space="preserve">conf_target</w:t>
      </w:r>
      <w:r>
        <w:t xml:space="preserve">=0.7 </w:t>
      </w:r>
      <w:r>
        <w:rPr>
          <w:rFonts w:hint="eastAsia"/>
        </w:rPr>
        <w:t xml:space="preserve">时，Recall@20</w:t>
      </w:r>
      <w:r>
        <w:t xml:space="preserve"> </w:t>
      </w:r>
      <w:r>
        <w:rPr>
          <w:rFonts w:hint="eastAsia"/>
        </w:rPr>
        <w:t xml:space="preserve">提升至</w:t>
      </w:r>
      <w:r>
        <w:t xml:space="preserve"> </w:t>
      </w:r>
      <w:r>
        <w:rPr>
          <w:rFonts w:hint="eastAsia"/>
        </w:rPr>
        <w:t xml:space="preserve">0.2465，高于</w:t>
      </w:r>
      <w:r>
        <w:t xml:space="preserve"> LightGCN </w:t>
      </w:r>
      <w:r>
        <w:rPr>
          <w:rFonts w:hint="eastAsia"/>
        </w:rPr>
        <w:t xml:space="preserve">2.1%，同时</w:t>
      </w:r>
      <w:r>
        <w:t xml:space="preserve"> AUC </w:t>
      </w:r>
      <w:r>
        <w:rPr>
          <w:rFonts w:hint="eastAsia"/>
        </w:rPr>
        <w:t xml:space="preserve">为</w:t>
      </w:r>
      <w:r>
        <w:t xml:space="preserve"> </w:t>
      </w:r>
      <w:r>
        <w:rPr>
          <w:rFonts w:hint="eastAsia"/>
        </w:rPr>
        <w:t xml:space="preserve">0.8870，仍低于基线</w:t>
      </w:r>
      <w:r>
        <w:t xml:space="preserve"> 1.5 </w:t>
      </w:r>
      <w:r>
        <w:rPr>
          <w:rFonts w:hint="eastAsia"/>
        </w:rPr>
        <w:t xml:space="preserve">个百分点，表现出更均衡的安全–性能优势。</w:t>
      </w:r>
    </w:p>
    <w:p>
      <w:pPr>
        <w:pStyle w:val="BodyText"/>
      </w:pPr>
      <w:r>
        <w:rPr>
          <w:rFonts w:hint="eastAsia"/>
        </w:rPr>
        <w:t xml:space="preserve">实验还表明，置信度正则并非越强越好。当</w:t>
      </w:r>
      <w:r>
        <w:t xml:space="preserve"> </w:t>
      </w:r>
      <w:r>
        <w:rPr>
          <w:rStyle w:val="VerbatimChar"/>
        </w:rPr>
        <w:t xml:space="preserve">conf_weight</w:t>
      </w:r>
      <w:r>
        <w:t xml:space="preserve"> </w:t>
      </w:r>
      <w:r>
        <w:rPr>
          <w:rFonts w:hint="eastAsia"/>
        </w:rPr>
        <w:t xml:space="preserve">增大到</w:t>
      </w:r>
      <w:r>
        <w:t xml:space="preserve"> 2.0 </w:t>
      </w:r>
      <w:r>
        <w:rPr>
          <w:rFonts w:hint="eastAsia"/>
        </w:rPr>
        <w:t xml:space="preserve">甚至</w:t>
      </w:r>
      <w:r>
        <w:t xml:space="preserve"> 5.0 </w:t>
      </w:r>
      <w:r>
        <w:rPr>
          <w:rFonts w:hint="eastAsia"/>
        </w:rPr>
        <w:t xml:space="preserve">时，AUC</w:t>
      </w:r>
      <w:r>
        <w:t xml:space="preserve"> </w:t>
      </w:r>
      <w:r>
        <w:rPr>
          <w:rFonts w:hint="eastAsia"/>
        </w:rPr>
        <w:t xml:space="preserve">降幅不再明显扩大，推荐性能反而开始退化；特别是</w:t>
      </w:r>
      <w:r>
        <w:t xml:space="preserve"> </w:t>
      </w:r>
      <w:r>
        <w:rPr>
          <w:rStyle w:val="VerbatimChar"/>
        </w:rPr>
        <w:t xml:space="preserve">conf_weight</w:t>
      </w:r>
      <w:r>
        <w:t xml:space="preserve">=5.0 </w:t>
      </w:r>
      <w:r>
        <w:rPr>
          <w:rFonts w:hint="eastAsia"/>
        </w:rPr>
        <w:t xml:space="preserve">时，Recall@20</w:t>
      </w:r>
      <w:r>
        <w:t xml:space="preserve"> </w:t>
      </w:r>
      <w:r>
        <w:rPr>
          <w:rFonts w:hint="eastAsia"/>
        </w:rPr>
        <w:t xml:space="preserve">明显下降至</w:t>
      </w:r>
      <w:r>
        <w:t xml:space="preserve"> </w:t>
      </w:r>
      <w:r>
        <w:rPr>
          <w:rFonts w:hint="eastAsia"/>
        </w:rPr>
        <w:t xml:space="preserve">0.2269。这说明过强的置信度约束会压缩模型的判别能力，使推荐质量受损。</w:t>
      </w:r>
    </w:p>
    <w:bookmarkEnd w:id="13"/>
    <w:bookmarkStart w:id="17" w:name="补充结果与参数分析"/>
    <w:p>
      <w:pPr>
        <w:pStyle w:val="Heading3"/>
      </w:pPr>
      <w:r>
        <w:rPr>
          <w:rFonts w:hint="eastAsia"/>
        </w:rPr>
        <w:t xml:space="preserve">补充结果与参数分析</w:t>
      </w:r>
    </w:p>
    <w:bookmarkStart w:id="14" w:name="更长-patience-下的权重细化"/>
    <w:p>
      <w:pPr>
        <w:pStyle w:val="Heading4"/>
      </w:pPr>
      <w:r>
        <w:rPr>
          <w:rFonts w:hint="eastAsia"/>
        </w:rPr>
        <w:t xml:space="preserve">更长</w:t>
      </w:r>
      <w:r>
        <w:t xml:space="preserve"> patience </w:t>
      </w:r>
      <w:r>
        <w:rPr>
          <w:rFonts w:hint="eastAsia"/>
        </w:rPr>
        <w:t xml:space="preserve">下的权重细化</w:t>
      </w:r>
    </w:p>
    <w:p>
      <w:pPr>
        <w:pStyle w:val="FirstParagraph"/>
      </w:pPr>
      <w:r>
        <w:rPr>
          <w:rFonts w:hint="eastAsia"/>
        </w:rPr>
        <w:t xml:space="preserve">在</w:t>
      </w:r>
      <w:r>
        <w:t xml:space="preserve"> </w:t>
      </w:r>
      <w:r>
        <w:rPr>
          <w:rStyle w:val="VerbatimChar"/>
        </w:rPr>
        <w:t xml:space="preserve">Phase 9</w:t>
      </w:r>
      <w:r>
        <w:t xml:space="preserve"> </w:t>
      </w:r>
      <w:r>
        <w:rPr>
          <w:rFonts w:hint="eastAsia"/>
        </w:rPr>
        <w:t xml:space="preserve">中，本文补充了更长</w:t>
      </w:r>
      <w:r>
        <w:t xml:space="preserve"> patience </w:t>
      </w:r>
      <w:r>
        <w:rPr>
          <w:rFonts w:hint="eastAsia"/>
        </w:rPr>
        <w:t xml:space="preserve">设置下的两组结果：</w:t>
      </w:r>
      <w:r>
        <w:rPr>
          <w:rStyle w:val="VerbatimChar"/>
        </w:rPr>
        <w:t xml:space="preserve">conf_weight</w:t>
      </w:r>
      <w:r>
        <w:t xml:space="preserve">=0.3、</w:t>
      </w:r>
      <w:r>
        <w:rPr>
          <w:rStyle w:val="VerbatimChar"/>
        </w:rPr>
        <w:t xml:space="preserve">conf_target</w:t>
      </w:r>
      <w:r>
        <w:t xml:space="preserve">=0.7 </w:t>
      </w:r>
      <w:r>
        <w:rPr>
          <w:rFonts w:hint="eastAsia"/>
        </w:rPr>
        <w:t xml:space="preserve">时，Recall@20</w:t>
      </w:r>
      <w:r>
        <w:t xml:space="preserve"> </w:t>
      </w:r>
      <w:r>
        <w:rPr>
          <w:rFonts w:hint="eastAsia"/>
        </w:rPr>
        <w:t xml:space="preserve">为</w:t>
      </w:r>
      <w:r>
        <w:t xml:space="preserve"> </w:t>
      </w:r>
      <w:r>
        <w:rPr>
          <w:rFonts w:hint="eastAsia"/>
        </w:rPr>
        <w:t xml:space="preserve">0.2491，AUC</w:t>
      </w:r>
      <w:r>
        <w:t xml:space="preserve"> </w:t>
      </w:r>
      <w:r>
        <w:rPr>
          <w:rFonts w:hint="eastAsia"/>
        </w:rPr>
        <w:t xml:space="preserve">为</w:t>
      </w:r>
      <w:r>
        <w:t xml:space="preserve"> </w:t>
      </w:r>
      <w:r>
        <w:rPr>
          <w:rFonts w:hint="eastAsia"/>
        </w:rPr>
        <w:t xml:space="preserve">0.8945；</w:t>
      </w:r>
      <w:r>
        <w:rPr>
          <w:rStyle w:val="VerbatimChar"/>
        </w:rPr>
        <w:t xml:space="preserve">conf_weight</w:t>
      </w:r>
      <w:r>
        <w:t xml:space="preserve">=1.0、</w:t>
      </w:r>
      <w:r>
        <w:rPr>
          <w:rStyle w:val="VerbatimChar"/>
        </w:rPr>
        <w:t xml:space="preserve">conf_target</w:t>
      </w:r>
      <w:r>
        <w:t xml:space="preserve">=0.7 </w:t>
      </w:r>
      <w:r>
        <w:rPr>
          <w:rFonts w:hint="eastAsia"/>
        </w:rPr>
        <w:t xml:space="preserve">时，Recall@20</w:t>
      </w:r>
      <w:r>
        <w:t xml:space="preserve"> </w:t>
      </w:r>
      <w:r>
        <w:rPr>
          <w:rFonts w:hint="eastAsia"/>
        </w:rPr>
        <w:t xml:space="preserve">为</w:t>
      </w:r>
      <w:r>
        <w:t xml:space="preserve"> </w:t>
      </w:r>
      <w:r>
        <w:rPr>
          <w:rFonts w:hint="eastAsia"/>
        </w:rPr>
        <w:t xml:space="preserve">0.2462，AUC</w:t>
      </w:r>
      <w:r>
        <w:t xml:space="preserve"> </w:t>
      </w:r>
      <w:r>
        <w:rPr>
          <w:rFonts w:hint="eastAsia"/>
        </w:rPr>
        <w:t xml:space="preserve">为</w:t>
      </w:r>
      <w:r>
        <w:t xml:space="preserve"> </w:t>
      </w:r>
      <w:r>
        <w:rPr>
          <w:rFonts w:hint="eastAsia"/>
        </w:rPr>
        <w:t xml:space="preserve">0.8949。两者均未超过主实验中的最佳</w:t>
      </w:r>
      <w:r>
        <w:t xml:space="preserve"> Pareto </w:t>
      </w:r>
      <w:r>
        <w:rPr>
          <w:rFonts w:hint="eastAsia"/>
        </w:rPr>
        <w:t xml:space="preserve">点，说明简单延长训练耐心并不能进一步放大</w:t>
      </w:r>
      <w:r>
        <w:t xml:space="preserve"> M1 </w:t>
      </w:r>
      <w:r>
        <w:rPr>
          <w:rFonts w:hint="eastAsia"/>
        </w:rPr>
        <w:t xml:space="preserve">的隐私收益。</w:t>
      </w:r>
    </w:p>
    <w:bookmarkEnd w:id="14"/>
    <w:bookmarkStart w:id="15" w:name="目标置信度细扫"/>
    <w:p>
      <w:pPr>
        <w:pStyle w:val="Heading4"/>
      </w:pPr>
      <w:r>
        <w:rPr>
          <w:rFonts w:hint="eastAsia"/>
        </w:rPr>
        <w:t xml:space="preserve">目标置信度细扫</w:t>
      </w:r>
    </w:p>
    <w:p>
      <w:pPr>
        <w:pStyle w:val="FirstParagraph"/>
      </w:pPr>
      <w:r>
        <w:rPr>
          <w:rFonts w:hint="eastAsia"/>
        </w:rPr>
        <w:t xml:space="preserve">在</w:t>
      </w:r>
      <w:r>
        <w:t xml:space="preserve"> </w:t>
      </w:r>
      <w:r>
        <w:rPr>
          <w:rStyle w:val="VerbatimChar"/>
        </w:rPr>
        <w:t xml:space="preserve">Phase 16</w:t>
      </w:r>
      <w:r>
        <w:t xml:space="preserve"> </w:t>
      </w:r>
      <w:r>
        <w:rPr>
          <w:rFonts w:hint="eastAsia"/>
        </w:rPr>
        <w:t xml:space="preserve">中，固定</w:t>
      </w:r>
      <w:r>
        <w:t xml:space="preserve"> </w:t>
      </w:r>
      <w:r>
        <w:rPr>
          <w:rStyle w:val="VerbatimChar"/>
        </w:rPr>
        <w:t xml:space="preserve">conf_weight</w:t>
      </w:r>
      <w:r>
        <w:rPr>
          <w:rFonts w:hint="eastAsia"/>
        </w:rPr>
        <w:t xml:space="preserve">=0.3，对</w:t>
      </w:r>
      <w:r>
        <w:t xml:space="preserve"> </w:t>
      </w:r>
      <w:r>
        <w:rPr>
          <w:rStyle w:val="VerbatimChar"/>
        </w:rPr>
        <w:t xml:space="preserve">conf_target</w:t>
      </w:r>
      <w:r>
        <w:t xml:space="preserve"> </w:t>
      </w:r>
      <w:r>
        <w:rPr>
          <w:rFonts w:hint="eastAsia"/>
        </w:rPr>
        <w:t xml:space="preserve">进行了更细粒度搜索。结果显示，当</w:t>
      </w:r>
      <w:r>
        <w:t xml:space="preserve"> </w:t>
      </w:r>
      <w:r>
        <w:rPr>
          <w:rStyle w:val="VerbatimChar"/>
        </w:rPr>
        <w:t xml:space="preserve">conf_target</w:t>
      </w:r>
      <w:r>
        <w:t xml:space="preserve"> </w:t>
      </w:r>
      <w:r>
        <w:rPr>
          <w:rFonts w:hint="eastAsia"/>
        </w:rPr>
        <w:t xml:space="preserve">从</w:t>
      </w:r>
      <w:r>
        <w:t xml:space="preserve"> 0.4 </w:t>
      </w:r>
      <w:r>
        <w:rPr>
          <w:rFonts w:hint="eastAsia"/>
        </w:rPr>
        <w:t xml:space="preserve">增加到</w:t>
      </w:r>
      <w:r>
        <w:t xml:space="preserve"> 0.9 </w:t>
      </w:r>
      <w:r>
        <w:rPr>
          <w:rFonts w:hint="eastAsia"/>
        </w:rPr>
        <w:t xml:space="preserve">时，Recall@20</w:t>
      </w:r>
      <w:r>
        <w:t xml:space="preserve"> </w:t>
      </w:r>
      <w:r>
        <w:rPr>
          <w:rFonts w:hint="eastAsia"/>
        </w:rPr>
        <w:t xml:space="preserve">大致保持在</w:t>
      </w:r>
      <w:r>
        <w:t xml:space="preserve"> 0.2480–0.2505 </w:t>
      </w:r>
      <w:r>
        <w:rPr>
          <w:rFonts w:hint="eastAsia"/>
        </w:rPr>
        <w:t xml:space="preserve">区间，AUC</w:t>
      </w:r>
      <w:r>
        <w:t xml:space="preserve"> </w:t>
      </w:r>
      <w:r>
        <w:rPr>
          <w:rFonts w:hint="eastAsia"/>
        </w:rPr>
        <w:t xml:space="preserve">在</w:t>
      </w:r>
      <w:r>
        <w:t xml:space="preserve"> 0.8933–0.8962 </w:t>
      </w:r>
      <w:r>
        <w:rPr>
          <w:rFonts w:hint="eastAsia"/>
        </w:rPr>
        <w:t xml:space="preserve">之间轻微波动。这说明</w:t>
      </w:r>
      <w:r>
        <w:t xml:space="preserve"> </w:t>
      </w:r>
      <w:r>
        <w:rPr>
          <w:rStyle w:val="VerbatimChar"/>
        </w:rPr>
        <w:t xml:space="preserve">conf_target</w:t>
      </w:r>
      <w:r>
        <w:t xml:space="preserve"> </w:t>
      </w:r>
      <w:r>
        <w:rPr>
          <w:rFonts w:hint="eastAsia"/>
        </w:rPr>
        <w:t xml:space="preserve">确实提供了可调旋钮，但其影响相对温和，不改变</w:t>
      </w:r>
      <w:r>
        <w:t xml:space="preserve"> M1 </w:t>
      </w:r>
      <w:r>
        <w:rPr>
          <w:rFonts w:hint="eastAsia"/>
        </w:rPr>
        <w:t xml:space="preserve">的总体规律：中等强度的输出收缩最有利于取得稳定的隐私–效用平衡。</w:t>
      </w:r>
    </w:p>
    <w:bookmarkEnd w:id="15"/>
    <w:bookmarkStart w:id="16" w:name="llm-aware-target-的失败对照"/>
    <w:p>
      <w:pPr>
        <w:pStyle w:val="Heading4"/>
      </w:pPr>
      <w:r>
        <w:t xml:space="preserve">LLM-aware target </w:t>
      </w:r>
      <w:r>
        <w:rPr>
          <w:rFonts w:hint="eastAsia"/>
        </w:rPr>
        <w:t xml:space="preserve">的失败对照</w:t>
      </w:r>
    </w:p>
    <w:p>
      <w:pPr>
        <w:pStyle w:val="FirstParagraph"/>
      </w:pPr>
      <w:r>
        <w:rPr>
          <w:rFonts w:hint="eastAsia"/>
        </w:rPr>
        <w:t xml:space="preserve">本文还尝试过引入基于用户与物品语义相似度的自适应目标置信度，即令目标值随</w:t>
      </w:r>
      <w:r>
        <w:t xml:space="preserve"> LLM </w:t>
      </w:r>
      <w:r>
        <w:rPr>
          <w:rFonts w:hint="eastAsia"/>
        </w:rPr>
        <w:t xml:space="preserve">语义余弦相似度动态变化。然而在</w:t>
      </w:r>
      <w:r>
        <w:t xml:space="preserve"> </w:t>
      </w:r>
      <w:r>
        <w:rPr>
          <w:rStyle w:val="VerbatimChar"/>
        </w:rPr>
        <w:t xml:space="preserve">Phase 10</w:t>
      </w:r>
      <w:r>
        <w:t xml:space="preserve"> </w:t>
      </w:r>
      <w:r>
        <w:rPr>
          <w:rFonts w:hint="eastAsia"/>
        </w:rPr>
        <w:t xml:space="preserve">中，该变体的</w:t>
      </w:r>
      <w:r>
        <w:t xml:space="preserve"> AUC </w:t>
      </w:r>
      <w:r>
        <w:rPr>
          <w:rFonts w:hint="eastAsia"/>
        </w:rPr>
        <w:t xml:space="preserve">基本落在</w:t>
      </w:r>
      <w:r>
        <w:t xml:space="preserve"> 0.8928–0.8964 </w:t>
      </w:r>
      <w:r>
        <w:rPr>
          <w:rFonts w:hint="eastAsia"/>
        </w:rPr>
        <w:t xml:space="preserve">区间，未优于标准的固定目标版本。因此，后续论文主线仅保留</w:t>
      </w:r>
      <w:r>
        <w:t xml:space="preserve"> plain </w:t>
      </w:r>
      <w:r>
        <w:rPr>
          <w:rFonts w:hint="eastAsia"/>
        </w:rPr>
        <w:t xml:space="preserve">M1，而将该变体作为补充探索结果。</w:t>
      </w:r>
    </w:p>
    <w:bookmarkEnd w:id="16"/>
    <w:bookmarkEnd w:id="17"/>
    <w:bookmarkStart w:id="18" w:name="鲁棒性验证"/>
    <w:p>
      <w:pPr>
        <w:pStyle w:val="Heading3"/>
      </w:pPr>
      <w:r>
        <w:rPr>
          <w:rFonts w:hint="eastAsia"/>
        </w:rPr>
        <w:t xml:space="preserve">鲁棒性验证</w:t>
      </w:r>
    </w:p>
    <w:p>
      <w:pPr>
        <w:pStyle w:val="FirstParagraph"/>
      </w:pPr>
      <w:r>
        <w:rPr>
          <w:rFonts w:hint="eastAsia"/>
        </w:rPr>
        <w:t xml:space="preserve">为了验证置信度正则并非只对单一攻击器有效，本文进一步使用</w:t>
      </w:r>
      <w:r>
        <w:t xml:space="preserve"> MLP </w:t>
      </w:r>
      <w:r>
        <w:rPr>
          <w:rFonts w:hint="eastAsia"/>
        </w:rPr>
        <w:t xml:space="preserve">攻击器进行复核。结果表明，LightGCN</w:t>
      </w:r>
      <w:r>
        <w:t xml:space="preserve"> </w:t>
      </w:r>
      <w:r>
        <w:rPr>
          <w:rFonts w:hint="eastAsia"/>
        </w:rPr>
        <w:t xml:space="preserve">基线在</w:t>
      </w:r>
      <w:r>
        <w:t xml:space="preserve"> MLP </w:t>
      </w:r>
      <w:r>
        <w:rPr>
          <w:rFonts w:hint="eastAsia"/>
        </w:rPr>
        <w:t xml:space="preserve">攻击下的</w:t>
      </w:r>
      <w:r>
        <w:t xml:space="preserve"> AUC </w:t>
      </w:r>
      <w:r>
        <w:rPr>
          <w:rFonts w:hint="eastAsia"/>
        </w:rPr>
        <w:t xml:space="preserve">为</w:t>
      </w:r>
      <w:r>
        <w:t xml:space="preserve"> </w:t>
      </w:r>
      <w:r>
        <w:rPr>
          <w:rFonts w:hint="eastAsia"/>
        </w:rPr>
        <w:t xml:space="preserve">0.9165，而</w:t>
      </w:r>
      <w:r>
        <w:t xml:space="preserve"> </w:t>
      </w:r>
      <w:r>
        <w:rPr>
          <w:rStyle w:val="VerbatimChar"/>
        </w:rPr>
        <w:t xml:space="preserve">conf_weight</w:t>
      </w:r>
      <w:r>
        <w:t xml:space="preserve">=0.1、</w:t>
      </w:r>
      <w:r>
        <w:rPr>
          <w:rStyle w:val="VerbatimChar"/>
        </w:rPr>
        <w:t xml:space="preserve">conf_target</w:t>
      </w:r>
      <w:r>
        <w:t xml:space="preserve">=0.7 </w:t>
      </w:r>
      <w:r>
        <w:rPr>
          <w:rFonts w:hint="eastAsia"/>
        </w:rPr>
        <w:t xml:space="preserve">时</w:t>
      </w:r>
      <w:r>
        <w:t xml:space="preserve"> AUC </w:t>
      </w:r>
      <w:r>
        <w:rPr>
          <w:rFonts w:hint="eastAsia"/>
        </w:rPr>
        <w:t xml:space="preserve">为</w:t>
      </w:r>
      <w:r>
        <w:t xml:space="preserve"> </w:t>
      </w:r>
      <w:r>
        <w:rPr>
          <w:rFonts w:hint="eastAsia"/>
        </w:rPr>
        <w:t xml:space="preserve">0.8918，</w:t>
      </w:r>
      <w:r>
        <w:rPr>
          <w:rStyle w:val="VerbatimChar"/>
        </w:rPr>
        <w:t xml:space="preserve">conf_weight</w:t>
      </w:r>
      <w:r>
        <w:t xml:space="preserve">=0.5、</w:t>
      </w:r>
      <w:r>
        <w:rPr>
          <w:rStyle w:val="VerbatimChar"/>
        </w:rPr>
        <w:t xml:space="preserve">conf_target</w:t>
      </w:r>
      <w:r>
        <w:t xml:space="preserve">=0.7 </w:t>
      </w:r>
      <w:r>
        <w:rPr>
          <w:rFonts w:hint="eastAsia"/>
        </w:rPr>
        <w:t xml:space="preserve">时</w:t>
      </w:r>
      <w:r>
        <w:t xml:space="preserve"> AUC </w:t>
      </w:r>
      <w:r>
        <w:rPr>
          <w:rFonts w:hint="eastAsia"/>
        </w:rPr>
        <w:t xml:space="preserve">为</w:t>
      </w:r>
      <w:r>
        <w:t xml:space="preserve"> </w:t>
      </w:r>
      <w:r>
        <w:rPr>
          <w:rFonts w:hint="eastAsia"/>
        </w:rPr>
        <w:t xml:space="preserve">0.9006。可见，尽管攻击器能力增强，M1</w:t>
      </w:r>
      <w:r>
        <w:t xml:space="preserve"> </w:t>
      </w:r>
      <w:r>
        <w:rPr>
          <w:rFonts w:hint="eastAsia"/>
        </w:rPr>
        <w:t xml:space="preserve">方案仍保持了与</w:t>
      </w:r>
      <w:r>
        <w:t xml:space="preserve"> LR </w:t>
      </w:r>
      <w:r>
        <w:rPr>
          <w:rFonts w:hint="eastAsia"/>
        </w:rPr>
        <w:t xml:space="preserve">实验一致的相对排序，说明其防御效果具有一定鲁棒性。</w:t>
      </w:r>
    </w:p>
    <w:p>
      <w:pPr>
        <w:pStyle w:val="BodyText"/>
      </w:pPr>
      <w:r>
        <w:rPr>
          <w:rFonts w:hint="eastAsia"/>
        </w:rPr>
        <w:t xml:space="preserve">此外，多种子结果也支持上述结论。以</w:t>
      </w:r>
      <w:r>
        <w:t xml:space="preserve"> </w:t>
      </w:r>
      <w:r>
        <w:rPr>
          <w:rStyle w:val="VerbatimChar"/>
        </w:rPr>
        <w:t xml:space="preserve">conf_weight</w:t>
      </w:r>
      <w:r>
        <w:t xml:space="preserve">=0.1、</w:t>
      </w:r>
      <w:r>
        <w:rPr>
          <w:rStyle w:val="VerbatimChar"/>
        </w:rPr>
        <w:t xml:space="preserve">conf_target</w:t>
      </w:r>
      <w:r>
        <w:t xml:space="preserve">=0.7 </w:t>
      </w:r>
      <w:r>
        <w:rPr>
          <w:rFonts w:hint="eastAsia"/>
        </w:rPr>
        <w:t xml:space="preserve">为例，在</w:t>
      </w:r>
      <w:r>
        <w:t xml:space="preserve"> seed 2025、2026、2027 </w:t>
      </w:r>
      <w:r>
        <w:rPr>
          <w:rFonts w:hint="eastAsia"/>
        </w:rPr>
        <w:t xml:space="preserve">下的</w:t>
      </w:r>
      <w:r>
        <w:t xml:space="preserve"> AUC </w:t>
      </w:r>
      <w:r>
        <w:rPr>
          <w:rFonts w:hint="eastAsia"/>
        </w:rPr>
        <w:t xml:space="preserve">分别为</w:t>
      </w:r>
      <w:r>
        <w:t xml:space="preserve"> 0.8805、0.8909 </w:t>
      </w:r>
      <w:r>
        <w:rPr>
          <w:rFonts w:hint="eastAsia"/>
        </w:rPr>
        <w:t xml:space="preserve">和</w:t>
      </w:r>
      <w:r>
        <w:t xml:space="preserve"> </w:t>
      </w:r>
      <w:r>
        <w:rPr>
          <w:rFonts w:hint="eastAsia"/>
        </w:rPr>
        <w:t xml:space="preserve">0.8909，对应</w:t>
      </w:r>
      <w:r>
        <w:t xml:space="preserve"> Recall@20 </w:t>
      </w:r>
      <w:r>
        <w:rPr>
          <w:rFonts w:hint="eastAsia"/>
        </w:rPr>
        <w:t xml:space="preserve">分别为</w:t>
      </w:r>
      <w:r>
        <w:t xml:space="preserve"> 0.2418、0.2476 </w:t>
      </w:r>
      <w:r>
        <w:rPr>
          <w:rFonts w:hint="eastAsia"/>
        </w:rPr>
        <w:t xml:space="preserve">和</w:t>
      </w:r>
      <w:r>
        <w:t xml:space="preserve"> </w:t>
      </w:r>
      <w:r>
        <w:rPr>
          <w:rFonts w:hint="eastAsia"/>
        </w:rPr>
        <w:t xml:space="preserve">0.2476。尽管绝对数值存在一定波动，但整体上始终优于默认</w:t>
      </w:r>
      <w:r>
        <w:t xml:space="preserve"> AGR </w:t>
      </w:r>
      <w:r>
        <w:rPr>
          <w:rFonts w:hint="eastAsia"/>
        </w:rPr>
        <w:t xml:space="preserve">配置，且在多数情况下优于</w:t>
      </w:r>
      <w:r>
        <w:t xml:space="preserve"> LightGCN </w:t>
      </w:r>
      <w:r>
        <w:rPr>
          <w:rFonts w:hint="eastAsia"/>
        </w:rPr>
        <w:t xml:space="preserve">基线，说明置信度正则带来的安全收益不是偶然现象。</w:t>
      </w:r>
    </w:p>
    <w:bookmarkEnd w:id="18"/>
    <w:bookmarkStart w:id="19" w:name="结果讨论"/>
    <w:p>
      <w:pPr>
        <w:pStyle w:val="Heading3"/>
      </w:pPr>
      <w:r>
        <w:rPr>
          <w:rFonts w:hint="eastAsia"/>
        </w:rPr>
        <w:t xml:space="preserve">结果讨论</w:t>
      </w:r>
    </w:p>
    <w:p>
      <w:pPr>
        <w:pStyle w:val="FirstParagraph"/>
      </w:pPr>
      <w:r>
        <w:rPr>
          <w:rFonts w:hint="eastAsia"/>
        </w:rPr>
        <w:t xml:space="preserve">综合实验结果可以看出，置信度正则适合作为去除结构对比项之后的第一类轻量隐私增强方案。与默认</w:t>
      </w:r>
      <w:r>
        <w:t xml:space="preserve"> AGR </w:t>
      </w:r>
      <w:r>
        <w:rPr>
          <w:rFonts w:hint="eastAsia"/>
        </w:rPr>
        <w:t xml:space="preserve">相比，它不再依赖高风险的结构对比目标，而是直接约束输出层的过置信行为，从机制上切断了成员推断攻击最容易利用的信号来源。与更激进的嵌入压缩方法相比，M1</w:t>
      </w:r>
      <w:r>
        <w:t xml:space="preserve"> </w:t>
      </w:r>
      <w:r>
        <w:rPr>
          <w:rFonts w:hint="eastAsia"/>
        </w:rPr>
        <w:t xml:space="preserve">不会显著牺牲推荐效果；与对抗训练相比，它实现简单、训练稳定、额外开销小。因此，在本文的整体方案中，M1</w:t>
      </w:r>
      <w:r>
        <w:t xml:space="preserve"> </w:t>
      </w:r>
      <w:r>
        <w:rPr>
          <w:rFonts w:hint="eastAsia"/>
        </w:rPr>
        <w:t xml:space="preserve">更适合作为低成本、强可解释的基础防御模块，并为后续与</w:t>
      </w:r>
      <w:r>
        <w:t xml:space="preserve"> M4 </w:t>
      </w:r>
      <w:r>
        <w:rPr>
          <w:rFonts w:hint="eastAsia"/>
        </w:rPr>
        <w:t xml:space="preserve">的组合实验提供了良好的起点。</w:t>
      </w:r>
    </w:p>
    <w:bookmarkEnd w:id="19"/>
    <w:bookmarkStart w:id="20" w:name="与相关工作的关系"/>
    <w:p>
      <w:pPr>
        <w:pStyle w:val="Heading3"/>
      </w:pPr>
      <w:r>
        <w:rPr>
          <w:rFonts w:hint="eastAsia"/>
        </w:rPr>
        <w:t xml:space="preserve">与相关工作的关系</w:t>
      </w:r>
    </w:p>
    <w:p>
      <w:pPr>
        <w:pStyle w:val="FirstParagraph"/>
      </w:pPr>
      <w:r>
        <w:rPr>
          <w:rFonts w:hint="eastAsia"/>
        </w:rPr>
        <w:t xml:space="preserve">本文的</w:t>
      </w:r>
      <w:r>
        <w:t xml:space="preserve"> M1 </w:t>
      </w:r>
      <w:r>
        <w:rPr>
          <w:rFonts w:hint="eastAsia"/>
        </w:rPr>
        <w:t xml:space="preserve">方案与已有工作在思想上具有明确关联。首先，MemGuard</w:t>
      </w:r>
      <w:r>
        <w:t xml:space="preserve"> </w:t>
      </w:r>
      <w:r>
        <w:rPr>
          <w:rFonts w:hint="eastAsia"/>
        </w:rPr>
        <w:t xml:space="preserve">指出，黑盒成员推断攻击高度依赖模型输出置信度，因此通过扰动或控制输出分布可以显著削弱攻击效果</w:t>
      </w:r>
      <w:r>
        <w:rPr>
          <w:rFonts w:hint="eastAsia"/>
        </w:rPr>
        <w:t xml:space="preserve">。其次，Pereyra</w:t>
      </w:r>
      <w:r>
        <w:t xml:space="preserve"> </w:t>
      </w:r>
      <w:r>
        <w:rPr>
          <w:rFonts w:hint="eastAsia"/>
        </w:rPr>
        <w:t xml:space="preserve">等人的</w:t>
      </w:r>
      <w:r>
        <w:t xml:space="preserve"> confidence penalty </w:t>
      </w:r>
      <w:r>
        <w:rPr>
          <w:rFonts w:hint="eastAsia"/>
        </w:rPr>
        <w:t xml:space="preserve">说明，抑制模型过置信预测本身就是一种有效的正则化方式</w:t>
      </w:r>
      <w:r>
        <w:rPr>
          <w:rFonts w:hint="eastAsia"/>
        </w:rPr>
        <w:t xml:space="preserve">。更进一步，Chen</w:t>
      </w:r>
      <w:r>
        <w:t xml:space="preserve"> </w:t>
      </w:r>
      <w:r>
        <w:rPr>
          <w:rFonts w:hint="eastAsia"/>
        </w:rPr>
        <w:t xml:space="preserve">和</w:t>
      </w:r>
      <w:r>
        <w:t xml:space="preserve"> Pattabiraman </w:t>
      </w:r>
      <w:r>
        <w:rPr>
          <w:rFonts w:hint="eastAsia"/>
        </w:rPr>
        <w:t xml:space="preserve">直接从成员推断防御角度提出，应通过降低模型过置信程度来缓解成员泄漏</w:t>
      </w:r>
      <w:r>
        <w:rPr>
          <w:rFonts w:hint="eastAsia"/>
        </w:rPr>
        <w:t xml:space="preserve">。此外，针对推荐系统场景，已有研究证明成员推断攻击同样能够有效攻击推荐模型，从而为本文的实验背景提供了直接支撑</w:t>
      </w:r>
      <w:r>
        <w:t xml:space="preserve">.</w:t>
      </w:r>
    </w:p>
    <w:p>
      <w:pPr>
        <w:pStyle w:val="BodyText"/>
      </w:pPr>
      <w:r>
        <w:rPr>
          <w:rFonts w:hint="eastAsia"/>
        </w:rPr>
        <w:t xml:space="preserve">需要说明的是，本文的置信度正则并非对上述某一方法的直接复现，而是结合</w:t>
      </w:r>
      <w:r>
        <w:t xml:space="preserve"> BPR </w:t>
      </w:r>
      <w:r>
        <w:rPr>
          <w:rFonts w:hint="eastAsia"/>
        </w:rPr>
        <w:t xml:space="preserve">排序目标与推荐系统</w:t>
      </w:r>
      <w:r>
        <w:t xml:space="preserve"> MIA </w:t>
      </w:r>
      <w:r>
        <w:rPr>
          <w:rFonts w:hint="eastAsia"/>
        </w:rPr>
        <w:t xml:space="preserve">场景所设计的项目内实现变体。其创新点主要体现在：一方面，它将输出约束从分类概率推广到正负样本对的排序分数；另一方面，它与前文消融发现紧密衔接，作为替代高风险</w:t>
      </w:r>
      <w:r>
        <w:t xml:space="preserve"> </w:t>
      </w:r>
      <m:oMath>
        <m:sSub>
          <m:e>
            <m:r>
              <m:rPr>
                <m:scr m:val="script"/>
                <m:sty m:val="p"/>
              </m:rPr>
              <m:t>L</m:t>
            </m:r>
          </m:e>
          <m:sub>
            <m:r>
              <m:t>s</m:t>
            </m:r>
            <m:r>
              <m:t>t</m:t>
            </m:r>
            <m:r>
              <m:t>r</m:t>
            </m:r>
          </m:sub>
        </m:sSub>
      </m:oMath>
      <w:r>
        <w:t xml:space="preserve"> </w:t>
      </w:r>
      <w:r>
        <w:rPr>
          <w:rFonts w:hint="eastAsia"/>
        </w:rPr>
        <w:t xml:space="preserve">的训练约束被系统验证。</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2026-05-10T05:45:21Z</dcterms:created>
  <dcterms:modified xsi:type="dcterms:W3CDTF">2026-05-10T05:45:21Z</dcterms:modified>
</cp:coreProperties>
</file>

<file path=docProps/custom.xml><?xml version="1.0" encoding="utf-8"?>
<Properties xmlns="http://schemas.openxmlformats.org/officeDocument/2006/custom-properties" xmlns:vt="http://schemas.openxmlformats.org/officeDocument/2006/docPropsVTypes"/>
</file>