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‘child[ren]’</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390C4B"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422971"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&lt;&lt;caseNumber&gt;&gt;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&lt;&lt;courtName&gt;&gt;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&gt;&gt;&lt;&lt;cs_{$</w:t>
      </w:r>
      <w:r w:rsidR="0034157C" w:rsidRPr="00195D41">
        <w:rPr>
          <w:rFonts w:ascii="Times New Roman" w:hAnsi="Times New Roman"/>
          <w:b/>
          <w:color w:val="FF0000"/>
          <w:sz w:val="24"/>
          <w:szCs w:val="24"/>
        </w:rPr>
        <w:t>idx=</w:t>
      </w:r>
      <w:r w:rsidR="005007AA" w:rsidRPr="00195D41">
        <w:rPr>
          <w:rFonts w:ascii="Times New Roman" w:hAnsi="Times New Roman"/>
          <w:b/>
          <w:color w:val="FF0000"/>
          <w:sz w:val="24"/>
          <w:szCs w:val="24"/>
        </w:rPr>
        <w:t>1}&gt;&gt;</w:t>
      </w:r>
      <w:r w:rsidR="00397E43" w:rsidRPr="00195D41">
        <w:rPr>
          <w:rFonts w:ascii="Times New Roman" w:hAnsi="Times New Roman"/>
          <w:b/>
          <w:color w:val="FF0000"/>
          <w:sz w:val="24"/>
          <w:szCs w:val="24"/>
        </w:rPr>
        <w:t>ren</w:t>
      </w:r>
      <w:r w:rsidR="0034157C" w:rsidRPr="00195D41">
        <w:rPr>
          <w:rFonts w:ascii="Times New Roman" w:hAnsi="Times New Roman"/>
          <w:b/>
          <w:color w:val="FF0000"/>
          <w:sz w:val="24"/>
          <w:szCs w:val="24"/>
        </w:rPr>
        <w:t>&lt;&lt;es_&gt;&gt;</w:t>
      </w:r>
      <w:r w:rsidR="005007AA" w:rsidRPr="00195D41">
        <w:rPr>
          <w:rFonts w:ascii="Times New Roman" w:hAnsi="Times New Roman"/>
          <w:b/>
          <w:color w:val="FF0000"/>
          <w:sz w:val="24"/>
          <w:szCs w:val="24"/>
        </w:rPr>
        <w:t>&lt;&lt;es_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1F0C16"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r w:rsidR="007179F8">
        <w:rPr>
          <w:rFonts w:ascii="Times New Roman" w:hAnsi="Times New Roman"/>
          <w:b/>
          <w:color w:val="FF0000"/>
          <w:sz w:val="24"/>
          <w:szCs w:val="24"/>
        </w:rPr>
        <w:t>childrenNames</w:t>
      </w:r>
      <w:r w:rsidRPr="000B6B9A">
        <w:rPr>
          <w:rFonts w:ascii="Times New Roman" w:hAnsi="Times New Roman"/>
          <w:b/>
          <w:color w:val="FF0000"/>
          <w:sz w:val="24"/>
          <w:szCs w:val="24"/>
        </w:rPr>
        <w:t>[0]&gt;&gt;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&lt;&lt;{dateFormat(</w:t>
      </w:r>
      <w:r w:rsidR="00987D61">
        <w:rPr>
          <w:rFonts w:ascii="Times New Roman" w:hAnsi="Times New Roman"/>
          <w:b/>
          <w:color w:val="FF0000"/>
          <w:sz w:val="24"/>
          <w:szCs w:val="24"/>
          <w:lang w:val="en-US"/>
        </w:rPr>
        <w:t>dateOfBirth</w:t>
      </w:r>
      <w:r w:rsidRPr="000B6B9A">
        <w:rPr>
          <w:rFonts w:ascii="Times New Roman" w:hAnsi="Times New Roman"/>
          <w:b/>
          <w:color w:val="FF0000"/>
          <w:sz w:val="24"/>
          <w:szCs w:val="24"/>
          <w:lang w:val="en-US"/>
        </w:rPr>
        <w:t>, ‘dd MM yy’, ‘yyyy-MM-dd’)}&gt;&gt;</w:t>
      </w:r>
    </w:p>
    <w:p w:rsidR="0033020E"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r w:rsidR="007179F8">
        <w:rPr>
          <w:rFonts w:ascii="Times New Roman" w:hAnsi="Times New Roman"/>
          <w:b/>
          <w:color w:val="FF0000"/>
          <w:sz w:val="24"/>
          <w:szCs w:val="24"/>
        </w:rPr>
        <w:t>childrenNames</w:t>
      </w:r>
      <w:r w:rsidRPr="000B6B9A">
        <w:rPr>
          <w:rFonts w:ascii="Times New Roman" w:hAnsi="Times New Roman"/>
          <w:b/>
          <w:color w:val="FF0000"/>
          <w:sz w:val="24"/>
          <w:szCs w:val="24"/>
        </w:rPr>
        <w:t>[1]&gt;&gt;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&lt;&lt;{dateFormat(</w:t>
      </w:r>
      <w:r w:rsidR="00987D61">
        <w:rPr>
          <w:rFonts w:ascii="Times New Roman" w:hAnsi="Times New Roman"/>
          <w:b/>
          <w:color w:val="FF0000"/>
          <w:sz w:val="24"/>
          <w:szCs w:val="24"/>
          <w:lang w:val="en-US"/>
        </w:rPr>
        <w:t>dateOfBirth</w:t>
      </w:r>
      <w:r w:rsidRPr="000B6B9A">
        <w:rPr>
          <w:rFonts w:ascii="Times New Roman" w:hAnsi="Times New Roman"/>
          <w:b/>
          <w:color w:val="FF0000"/>
          <w:sz w:val="24"/>
          <w:szCs w:val="24"/>
          <w:lang w:val="en-US"/>
        </w:rPr>
        <w:t>, ‘dd MM yy’, ‘yyyy-MM-dd’)}&gt;&gt;</w:t>
      </w:r>
    </w:p>
    <w:p w:rsidR="00907420" w:rsidRDefault="00907420" w:rsidP="007540C6">
      <w:pPr>
        <w:rPr>
          <w:rFonts w:ascii="Times New Roman" w:hAnsi="Times New Roman"/>
          <w:b/>
          <w:sz w:val="24"/>
          <w:szCs w:val="24"/>
        </w:rPr>
      </w:pP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&lt;&lt;{toUpperCase(nameOfJudge)}&gt;&gt;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&lt;&lt;{dateFormat(</w:t>
      </w:r>
      <w:r w:rsidR="00A92E46">
        <w:rPr>
          <w:rFonts w:ascii="Times New Roman" w:hAnsi="Times New Roman"/>
          <w:b/>
          <w:color w:val="FF0000"/>
          <w:sz w:val="24"/>
          <w:szCs w:val="24"/>
        </w:rPr>
        <w:t>courtDate</w:t>
      </w:r>
      <w:r w:rsidR="008E2FB8">
        <w:rPr>
          <w:rFonts w:ascii="Times New Roman" w:hAnsi="Times New Roman"/>
          <w:b/>
          <w:color w:val="FF0000"/>
          <w:sz w:val="24"/>
          <w:szCs w:val="24"/>
        </w:rPr>
        <w:t>, ‘dd MM yy’, ‘yyyy-MM-dd’</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&lt;&lt;{dateFormat(</w:t>
      </w:r>
      <w:r w:rsidR="00A92E46">
        <w:rPr>
          <w:rFonts w:ascii="Times New Roman" w:hAnsi="Times New Roman"/>
          <w:b/>
          <w:color w:val="FF0000"/>
          <w:sz w:val="24"/>
          <w:szCs w:val="24"/>
        </w:rPr>
        <w:t>courtDate</w:t>
      </w:r>
      <w:r w:rsidR="009026E0">
        <w:rPr>
          <w:rFonts w:ascii="Times New Roman" w:hAnsi="Times New Roman"/>
          <w:b/>
          <w:color w:val="FF0000"/>
          <w:sz w:val="24"/>
          <w:szCs w:val="24"/>
        </w:rPr>
        <w:t>, ‘dd MM yy’, ‘yyyy-MM-dd’)}&gt;&gt;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&lt;&lt;localAuthority&gt;&gt;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r w:rsidR="0066567D">
        <w:rPr>
          <w:rFonts w:ascii="Times New Roman" w:hAnsi="Times New Roman"/>
          <w:color w:val="FF0000"/>
          <w:sz w:val="24"/>
          <w:szCs w:val="24"/>
        </w:rPr>
        <w:t>rs_</w:t>
      </w:r>
      <w:r>
        <w:rPr>
          <w:rFonts w:ascii="Times New Roman" w:hAnsi="Times New Roman"/>
          <w:color w:val="FF0000"/>
          <w:sz w:val="24"/>
          <w:szCs w:val="24"/>
        </w:rPr>
        <w:t>respondent&gt;&gt;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r w:rsidR="00D95390">
        <w:rPr>
          <w:rFonts w:ascii="Times New Roman" w:hAnsi="Times New Roman"/>
          <w:color w:val="FF0000"/>
          <w:sz w:val="24"/>
          <w:szCs w:val="24"/>
        </w:rPr>
        <w:t>personName</w:t>
      </w:r>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r w:rsidR="0066567D">
        <w:rPr>
          <w:rFonts w:ascii="Times New Roman" w:hAnsi="Times New Roman"/>
          <w:color w:val="FF0000"/>
          <w:sz w:val="24"/>
          <w:szCs w:val="24"/>
        </w:rPr>
        <w:t>es_</w:t>
      </w:r>
      <w:r>
        <w:rPr>
          <w:rFonts w:ascii="Times New Roman" w:hAnsi="Times New Roman"/>
          <w:color w:val="FF0000"/>
          <w:sz w:val="24"/>
          <w:szCs w:val="24"/>
        </w:rPr>
        <w:t>respondent&gt;&gt;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r>
        <w:rPr>
          <w:rFonts w:ascii="Times New Roman" w:hAnsi="Times New Roman"/>
          <w:b/>
          <w:sz w:val="24"/>
          <w:szCs w:val="24"/>
        </w:rPr>
        <w:t>Alternatively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F16596"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&gt;&gt;&lt;&lt;cs_{$idx=1}&gt;&gt;ren&lt;&lt;es_&gt;&gt;&lt;&lt;es_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lastRenderedPageBreak/>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Allocation</w:t>
      </w:r>
    </w:p>
    <w:p w:rsidR="00332150" w:rsidRDefault="00807FE7" w:rsidP="007540C6">
      <w:pPr>
        <w:numPr>
          <w:ilvl w:val="0"/>
          <w:numId w:val="4"/>
        </w:numPr>
        <w:rPr>
          <w:rFonts w:ascii="Times New Roman" w:hAnsi="Times New Roman"/>
          <w:sz w:val="24"/>
          <w:szCs w:val="24"/>
        </w:rPr>
      </w:pPr>
      <w:r>
        <w:rPr>
          <w:rFonts w:ascii="Times New Roman" w:hAnsi="Times New Roman"/>
          <w:sz w:val="24"/>
          <w:szCs w:val="24"/>
        </w:rPr>
        <w:t>&lt;&lt;standardDirectionOne&gt;&gt;</w:t>
      </w:r>
      <w:bookmarkStart w:id="1" w:name="_GoBack"/>
      <w:bookmarkEnd w:id="1"/>
    </w:p>
    <w:p w:rsidR="0077625E" w:rsidRPr="0077625E" w:rsidRDefault="0077625E"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F16596" w:rsidRPr="00F16596" w:rsidRDefault="0077625E" w:rsidP="00F16596">
      <w:pPr>
        <w:pStyle w:val="ListParagraph"/>
        <w:numPr>
          <w:ilvl w:val="0"/>
          <w:numId w:val="4"/>
        </w:numPr>
        <w:rPr>
          <w:rFonts w:ascii="Times New Roman" w:hAnsi="Times New Roman"/>
          <w:color w:val="FF0000"/>
          <w:sz w:val="24"/>
          <w:szCs w:val="24"/>
        </w:rPr>
      </w:pPr>
      <w:r w:rsidRPr="00F16596">
        <w:rPr>
          <w:rFonts w:ascii="Times New Roman" w:hAnsi="Times New Roman"/>
          <w:sz w:val="24"/>
          <w:szCs w:val="24"/>
        </w:rPr>
        <w:t xml:space="preserve">A children’s guardian </w:t>
      </w:r>
      <w:r w:rsidR="00FE60E6" w:rsidRPr="00F16596">
        <w:rPr>
          <w:rFonts w:ascii="Times New Roman" w:hAnsi="Times New Roman"/>
          <w:sz w:val="24"/>
          <w:szCs w:val="24"/>
        </w:rPr>
        <w:t xml:space="preserve">must </w:t>
      </w:r>
      <w:r w:rsidRPr="00F16596">
        <w:rPr>
          <w:rFonts w:ascii="Times New Roman" w:hAnsi="Times New Roman"/>
          <w:sz w:val="24"/>
          <w:szCs w:val="24"/>
        </w:rPr>
        <w:t>be appointed for the child</w:t>
      </w:r>
      <w:r w:rsidR="00F1659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F1659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F16596" w:rsidRPr="00F16596">
        <w:rPr>
          <w:rFonts w:ascii="Times New Roman" w:hAnsi="Times New Roman"/>
          <w:color w:val="FF0000"/>
          <w:sz w:val="24"/>
          <w:szCs w:val="24"/>
        </w:rPr>
        <w:t>&gt;&gt;</w:t>
      </w:r>
    </w:p>
    <w:p w:rsidR="0077625E" w:rsidRPr="009226F7" w:rsidRDefault="0077625E" w:rsidP="00F16596">
      <w:pPr>
        <w:pStyle w:val="ListParagraph"/>
        <w:ind w:left="567"/>
        <w:rPr>
          <w:rFonts w:ascii="Times New Roman" w:hAnsi="Times New Roman"/>
          <w:sz w:val="24"/>
          <w:szCs w:val="24"/>
        </w:rPr>
      </w:pPr>
      <w:r w:rsidRPr="00DD1AC3">
        <w:rPr>
          <w:rFonts w:ascii="Times New Roman" w:hAnsi="Times New Roman"/>
          <w:color w:val="FF0000"/>
          <w:sz w:val="24"/>
          <w:szCs w:val="24"/>
        </w:rPr>
        <w:t xml:space="preserve"> [preferably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DD1AC3">
        <w:rPr>
          <w:rFonts w:ascii="Times New Roman" w:hAnsi="Times New Roman"/>
          <w:color w:val="FF0000"/>
          <w:sz w:val="24"/>
          <w:szCs w:val="24"/>
        </w:rPr>
        <w:t>]</w:t>
      </w:r>
      <w:r w:rsidRPr="009226F7">
        <w:rPr>
          <w:rFonts w:ascii="Times New Roman" w:hAnsi="Times New Roman"/>
          <w:sz w:val="24"/>
          <w:szCs w:val="24"/>
        </w:rPr>
        <w:t>.</w:t>
      </w:r>
    </w:p>
    <w:p w:rsidR="00286898" w:rsidRPr="0077625E" w:rsidRDefault="00286898"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583D8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w:t>
      </w:r>
      <w:r w:rsidR="00583D86">
        <w:rPr>
          <w:rFonts w:ascii="Times New Roman" w:hAnsi="Times New Roman"/>
          <w:color w:val="FF0000"/>
          <w:sz w:val="24"/>
          <w:szCs w:val="24"/>
        </w:rPr>
        <w:t xml:space="preserve">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r w:rsidR="003B2E5B">
        <w:rPr>
          <w:rFonts w:ascii="Times New Roman" w:hAnsi="Times New Roman"/>
          <w:color w:val="FF0000"/>
          <w:sz w:val="24"/>
          <w:szCs w:val="24"/>
        </w:rPr>
        <w:t>courtName</w:t>
      </w:r>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583D86" w:rsidRPr="008B3231">
        <w:rPr>
          <w:rFonts w:ascii="Times New Roman" w:hAnsi="Times New Roman"/>
          <w:color w:val="FF0000"/>
          <w:sz w:val="24"/>
          <w:szCs w:val="24"/>
        </w:rPr>
        <w:t>, ‘dd MM yy’, ‘yyyy-MM-dd’)}&gt;&gt;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CA7829" w:rsidRPr="00EF56B2">
        <w:rPr>
          <w:rFonts w:ascii="Times New Roman" w:hAnsi="Times New Roman"/>
          <w:color w:val="FF0000"/>
          <w:sz w:val="24"/>
          <w:szCs w:val="24"/>
        </w:rPr>
        <w:t>[</w:t>
      </w:r>
      <w:r w:rsidR="00FE60E6" w:rsidRPr="00EF56B2">
        <w:rPr>
          <w:rFonts w:ascii="Times New Roman" w:hAnsi="Times New Roman"/>
          <w:i/>
          <w:color w:val="FF0000"/>
          <w:sz w:val="24"/>
          <w:szCs w:val="24"/>
        </w:rPr>
        <w:t>time estimate</w:t>
      </w:r>
      <w:r w:rsidR="00CA7829" w:rsidRPr="00EF56B2">
        <w:rPr>
          <w:rFonts w:ascii="Times New Roman" w:hAnsi="Times New Roman"/>
          <w:color w:val="FF0000"/>
          <w:sz w:val="24"/>
          <w:szCs w:val="24"/>
        </w:rPr>
        <w: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lastRenderedPageBreak/>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y wish to be a potential reserve carer for any child if their preferred plan proves 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b/>
          <w:color w:val="FF0000"/>
          <w:sz w:val="24"/>
          <w:szCs w:val="24"/>
        </w:rPr>
        <w:t xml:space="preserve">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directed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third</w:t>
      </w:r>
      <w:r w:rsidR="00EB7CE9" w:rsidRPr="009226F7">
        <w:rPr>
          <w:rFonts w:ascii="Times New Roman" w:hAnsi="Times New Roman"/>
          <w:sz w:val="24"/>
          <w:szCs w:val="24"/>
        </w:rPr>
        <w:t xml:space="preserve"> </w:t>
      </w:r>
      <w:r w:rsidRPr="009226F7">
        <w:rPr>
          <w:rFonts w:ascii="Times New Roman" w:hAnsi="Times New Roman"/>
          <w:sz w:val="24"/>
          <w:szCs w:val="24"/>
        </w:rPr>
        <w:t>party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F97081" w:rsidRPr="009226F7">
        <w:rPr>
          <w:rFonts w:ascii="Times New Roman" w:hAnsi="Times New Roman"/>
          <w:sz w:val="24"/>
          <w:szCs w:val="24"/>
        </w:rPr>
        <w:t xml:space="preserve">send to </w:t>
      </w:r>
      <w:r w:rsidR="00F97081" w:rsidRPr="009226F7">
        <w:rPr>
          <w:rFonts w:ascii="Times New Roman" w:hAnsi="Times New Roman"/>
          <w:sz w:val="24"/>
          <w:szCs w:val="24"/>
        </w:rPr>
        <w:lastRenderedPageBreak/>
        <w:t>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a statement of the benefits of the proposed assessment compared to its impact on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specific timescales for each part of the assessment including any part of the assessment of the parent</w:t>
      </w:r>
      <w:r w:rsidR="006219C8" w:rsidRPr="008B3231">
        <w:rPr>
          <w:rFonts w:ascii="Times New Roman" w:hAnsi="Times New Roman"/>
          <w:color w:val="FF0000"/>
          <w:sz w:val="24"/>
          <w:szCs w:val="24"/>
        </w:rPr>
        <w:t>&lt;&lt;rs_</w:t>
      </w:r>
      <w:r w:rsidR="006219C8">
        <w:rPr>
          <w:rFonts w:ascii="Times New Roman" w:hAnsi="Times New Roman"/>
          <w:color w:val="FF0000"/>
          <w:sz w:val="24"/>
          <w:szCs w:val="24"/>
        </w:rPr>
        <w:t>parents</w:t>
      </w:r>
      <w:r w:rsidR="006219C8" w:rsidRPr="008B3231">
        <w:rPr>
          <w:rFonts w:ascii="Times New Roman" w:hAnsi="Times New Roman"/>
          <w:color w:val="FF0000"/>
          <w:sz w:val="24"/>
          <w:szCs w:val="24"/>
        </w:rPr>
        <w:t>&gt;&gt;&lt;&lt;cs_{$idx=1}&gt;&gt;</w:t>
      </w:r>
      <w:r w:rsidR="006219C8">
        <w:rPr>
          <w:rFonts w:ascii="Times New Roman" w:hAnsi="Times New Roman"/>
          <w:color w:val="FF0000"/>
          <w:sz w:val="24"/>
          <w:szCs w:val="24"/>
        </w:rPr>
        <w:t>s</w:t>
      </w:r>
      <w:r w:rsidR="006219C8" w:rsidRPr="008B3231">
        <w:rPr>
          <w:rFonts w:ascii="Times New Roman" w:hAnsi="Times New Roman"/>
          <w:color w:val="FF0000"/>
          <w:sz w:val="24"/>
          <w:szCs w:val="24"/>
        </w:rPr>
        <w:t>&lt;&lt;es_&gt;&gt;&lt;&lt;es_</w:t>
      </w:r>
      <w:r w:rsidR="006219C8">
        <w:rPr>
          <w:rFonts w:ascii="Times New Roman" w:hAnsi="Times New Roman"/>
          <w:color w:val="FF0000"/>
          <w:sz w:val="24"/>
          <w:szCs w:val="24"/>
        </w:rPr>
        <w:t>parents</w:t>
      </w:r>
      <w:r w:rsidR="006219C8" w:rsidRPr="008B3231">
        <w:rPr>
          <w:rFonts w:ascii="Times New Roman" w:hAnsi="Times New Roman"/>
          <w:color w:val="FF0000"/>
          <w:sz w:val="24"/>
          <w:szCs w:val="24"/>
        </w:rPr>
        <w:t>&gt;&gt;</w:t>
      </w:r>
      <w:r w:rsidR="009870E9">
        <w:rPr>
          <w:rFonts w:ascii="Times New Roman" w:hAnsi="Times New Roman"/>
          <w:color w:val="FF0000"/>
          <w:sz w:val="24"/>
          <w:szCs w:val="24"/>
        </w:rPr>
        <w:t xml:space="preserve"> </w:t>
      </w:r>
      <w:r w:rsidRPr="0027027D">
        <w:rPr>
          <w:rFonts w:ascii="Times New Roman" w:hAnsi="Times New Roman"/>
          <w:sz w:val="24"/>
          <w:szCs w:val="24"/>
        </w:rPr>
        <w:t>alone and with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t xml:space="preserve">Dated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child(ren)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shown </w:t>
      </w:r>
      <w:r w:rsidRPr="00DD1AC3">
        <w:rPr>
          <w:rFonts w:ascii="Times New Roman" w:hAnsi="Times New Roman"/>
          <w:color w:val="FF0000"/>
          <w:sz w:val="24"/>
          <w:szCs w:val="24"/>
        </w:rPr>
        <w:t xml:space="preserve"> [and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&lt;&lt;typeOfHearing&gt;&gt;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r w:rsidR="003B2E5B">
        <w:rPr>
          <w:rFonts w:ascii="Times New Roman" w:hAnsi="Times New Roman"/>
          <w:color w:val="FF0000"/>
          <w:sz w:val="24"/>
          <w:szCs w:val="24"/>
        </w:rPr>
        <w:t>courtName</w:t>
      </w:r>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9870E9" w:rsidRDefault="009870E9" w:rsidP="007540C6">
      <w:pPr>
        <w:pStyle w:val="ListParagraph"/>
        <w:ind w:left="360"/>
        <w:rPr>
          <w:rFonts w:ascii="Times New Roman" w:hAnsi="Times New Roman"/>
          <w:sz w:val="24"/>
          <w:szCs w:val="24"/>
        </w:rPr>
      </w:pPr>
      <w:r w:rsidRPr="009439CE">
        <w:rPr>
          <w:szCs w:val="24"/>
          <w:lang w:val="en-US"/>
        </w:rPr>
        <w:t>&lt;&lt;{</w:t>
      </w:r>
      <w:r w:rsidRPr="0021130B">
        <w:rPr>
          <w:b/>
          <w:szCs w:val="24"/>
          <w:lang w:val="en-US"/>
        </w:rPr>
        <w:t>map</w:t>
      </w:r>
      <w:r w:rsidRPr="009439CE">
        <w:rPr>
          <w:szCs w:val="24"/>
          <w:lang w:val="en-US"/>
        </w:rPr>
        <w:t>(gender, ‘M’, ’</w:t>
      </w:r>
      <w:r>
        <w:rPr>
          <w:szCs w:val="24"/>
          <w:lang w:val="en-US"/>
        </w:rPr>
        <w:t>his</w:t>
      </w:r>
      <w:r w:rsidRPr="009439CE">
        <w:rPr>
          <w:szCs w:val="24"/>
          <w:lang w:val="en-US"/>
        </w:rPr>
        <w:t>’, ‘F’, ‘</w:t>
      </w:r>
      <w:r>
        <w:rPr>
          <w:szCs w:val="24"/>
          <w:lang w:val="en-US"/>
        </w:rPr>
        <w:t>her</w:t>
      </w:r>
      <w:r w:rsidRPr="009439CE">
        <w:rPr>
          <w:szCs w:val="24"/>
          <w:lang w:val="en-US"/>
        </w:rPr>
        <w:t>’, ‘Other’)}&gt;&gt;</w:t>
      </w: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‘his’,’F’,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‘his’,’F’,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w:t>
      </w:r>
      <w:r w:rsidRPr="009226F7">
        <w:rPr>
          <w:rFonts w:ascii="Times New Roman" w:hAnsi="Times New Roman"/>
          <w:sz w:val="24"/>
          <w:szCs w:val="24"/>
        </w:rPr>
        <w:lastRenderedPageBreak/>
        <w:t>language</w:t>
      </w:r>
      <w:r w:rsidR="0028014B" w:rsidRPr="008B3231">
        <w:rPr>
          <w:rFonts w:ascii="Times New Roman" w:hAnsi="Times New Roman"/>
          <w:color w:val="FF0000"/>
          <w:sz w:val="24"/>
          <w:szCs w:val="24"/>
        </w:rPr>
        <w:t>&lt;&lt;rs_</w:t>
      </w:r>
      <w:r w:rsidR="0028014B">
        <w:rPr>
          <w:rFonts w:ascii="Times New Roman" w:hAnsi="Times New Roman"/>
          <w:color w:val="FF0000"/>
          <w:sz w:val="24"/>
          <w:szCs w:val="24"/>
        </w:rPr>
        <w:t>languages</w:t>
      </w:r>
      <w:r w:rsidR="0028014B" w:rsidRPr="008B3231">
        <w:rPr>
          <w:rFonts w:ascii="Times New Roman" w:hAnsi="Times New Roman"/>
          <w:color w:val="FF0000"/>
          <w:sz w:val="24"/>
          <w:szCs w:val="24"/>
        </w:rPr>
        <w:t>&gt;&gt;&lt;&lt;cs_{$idx=1}&gt;&gt;</w:t>
      </w:r>
      <w:r w:rsidR="0028014B">
        <w:rPr>
          <w:rFonts w:ascii="Times New Roman" w:hAnsi="Times New Roman"/>
          <w:color w:val="FF0000"/>
          <w:sz w:val="24"/>
          <w:szCs w:val="24"/>
        </w:rPr>
        <w:t>s</w:t>
      </w:r>
      <w:r w:rsidR="0028014B" w:rsidRPr="008B3231">
        <w:rPr>
          <w:rFonts w:ascii="Times New Roman" w:hAnsi="Times New Roman"/>
          <w:color w:val="FF0000"/>
          <w:sz w:val="24"/>
          <w:szCs w:val="24"/>
        </w:rPr>
        <w:t>&lt;&lt;es_&gt;&gt;&lt;&lt;es_</w:t>
      </w:r>
      <w:r w:rsidR="0028014B">
        <w:rPr>
          <w:rFonts w:ascii="Times New Roman" w:hAnsi="Times New Roman"/>
          <w:color w:val="FF0000"/>
          <w:sz w:val="24"/>
          <w:szCs w:val="24"/>
        </w:rPr>
        <w:t>languages</w:t>
      </w:r>
      <w:r w:rsidR="0028014B" w:rsidRPr="008B3231">
        <w:rPr>
          <w:rFonts w:ascii="Times New Roman" w:hAnsi="Times New Roman"/>
          <w:color w:val="FF0000"/>
          <w:sz w:val="24"/>
          <w:szCs w:val="24"/>
        </w:rPr>
        <w:t>&gt;&gt;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&lt;&lt;languages[*]&gt;&gt;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BF39BC" w:rsidRPr="008B3231">
        <w:rPr>
          <w:rFonts w:ascii="Times New Roman" w:hAnsi="Times New Roman"/>
          <w:color w:val="FF0000"/>
          <w:sz w:val="24"/>
          <w:szCs w:val="24"/>
        </w:rPr>
        <w:t>, ‘dd MM yy’, ‘yyyy-MM-dd’)}&gt;&gt;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&lt;&lt;rs_</w:t>
      </w:r>
      <w:r w:rsidR="009E3145">
        <w:rPr>
          <w:rFonts w:ascii="Times New Roman" w:hAnsi="Times New Roman"/>
          <w:color w:val="FF0000"/>
          <w:sz w:val="24"/>
          <w:szCs w:val="24"/>
        </w:rPr>
        <w:t>languages</w:t>
      </w:r>
      <w:r w:rsidR="009E3145" w:rsidRPr="008B3231">
        <w:rPr>
          <w:rFonts w:ascii="Times New Roman" w:hAnsi="Times New Roman"/>
          <w:color w:val="FF0000"/>
          <w:sz w:val="24"/>
          <w:szCs w:val="24"/>
        </w:rPr>
        <w:t>&gt;&gt;&lt;&lt;cs_{$idx=1}&gt;&gt;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&lt;&lt;es_&gt;&gt;&lt;&lt;es_</w:t>
      </w:r>
      <w:r w:rsidR="009E3145">
        <w:rPr>
          <w:rFonts w:ascii="Times New Roman" w:hAnsi="Times New Roman"/>
          <w:color w:val="FF0000"/>
          <w:sz w:val="24"/>
          <w:szCs w:val="24"/>
        </w:rPr>
        <w:t>languages</w:t>
      </w:r>
      <w:r w:rsidR="009E3145" w:rsidRPr="008B3231">
        <w:rPr>
          <w:rFonts w:ascii="Times New Roman" w:hAnsi="Times New Roman"/>
          <w:color w:val="FF0000"/>
          <w:sz w:val="24"/>
          <w:szCs w:val="24"/>
        </w:rPr>
        <w:t>&gt;&gt;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&lt;&lt;rs_</w:t>
      </w:r>
      <w:r w:rsidR="009E3145">
        <w:rPr>
          <w:rFonts w:ascii="Times New Roman" w:hAnsi="Times New Roman"/>
          <w:color w:val="FF0000"/>
          <w:sz w:val="24"/>
          <w:szCs w:val="24"/>
        </w:rPr>
        <w:t>orders</w:t>
      </w:r>
      <w:r w:rsidR="009E3145" w:rsidRPr="008B3231">
        <w:rPr>
          <w:rFonts w:ascii="Times New Roman" w:hAnsi="Times New Roman"/>
          <w:color w:val="FF0000"/>
          <w:sz w:val="24"/>
          <w:szCs w:val="24"/>
        </w:rPr>
        <w:t>&gt;&gt;&lt;&lt;cs_{$idx=1}&gt;&gt;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&lt;&lt;es_&gt;&gt;&lt;&lt;es_</w:t>
      </w:r>
      <w:r w:rsidR="009E3145">
        <w:rPr>
          <w:rFonts w:ascii="Times New Roman" w:hAnsi="Times New Roman"/>
          <w:color w:val="FF0000"/>
          <w:sz w:val="24"/>
          <w:szCs w:val="24"/>
        </w:rPr>
        <w:t>orders</w:t>
      </w:r>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r w:rsidR="007179F8">
        <w:rPr>
          <w:rFonts w:ascii="Times New Roman" w:hAnsi="Times New Roman"/>
          <w:color w:val="FF0000"/>
          <w:sz w:val="24"/>
          <w:szCs w:val="24"/>
        </w:rPr>
        <w:t>childrenNames</w:t>
      </w:r>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BF39BC" w:rsidRPr="008B3231">
        <w:rPr>
          <w:rFonts w:ascii="Times New Roman" w:hAnsi="Times New Roman"/>
          <w:color w:val="FF0000"/>
          <w:sz w:val="24"/>
          <w:szCs w:val="24"/>
        </w:rPr>
        <w:t>, ‘dd MM yy’, ‘yyyy-MM-dd’)}&gt;&gt;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&lt;&lt;caseNumber&gt;&gt;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&lt;&lt;caseNumber&gt;&gt;</w:t>
      </w:r>
      <w:r w:rsidRPr="009226F7">
        <w:rPr>
          <w:rFonts w:ascii="Times New Roman" w:hAnsi="Times New Roman"/>
          <w:sz w:val="24"/>
          <w:szCs w:val="24"/>
        </w:rPr>
        <w:t xml:space="preserve"> </w:t>
      </w:r>
      <w:r>
        <w:rPr>
          <w:rFonts w:ascii="Times New Roman" w:hAnsi="Times New Roman"/>
          <w:sz w:val="24"/>
          <w:szCs w:val="24"/>
        </w:rPr>
        <w:lastRenderedPageBreak/>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C4B" w:rsidRDefault="00390C4B" w:rsidP="000F42B0">
      <w:r>
        <w:separator/>
      </w:r>
    </w:p>
  </w:endnote>
  <w:endnote w:type="continuationSeparator" w:id="0">
    <w:p w:rsidR="00390C4B" w:rsidRDefault="00390C4B" w:rsidP="000F42B0">
      <w:r>
        <w:continuationSeparator/>
      </w:r>
    </w:p>
  </w:endnote>
  <w:endnote w:type="continuationNotice" w:id="1">
    <w:p w:rsidR="00390C4B" w:rsidRDefault="00390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C4B" w:rsidRDefault="00390C4B" w:rsidP="000F42B0">
      <w:r>
        <w:separator/>
      </w:r>
    </w:p>
  </w:footnote>
  <w:footnote w:type="continuationSeparator" w:id="0">
    <w:p w:rsidR="00390C4B" w:rsidRDefault="00390C4B" w:rsidP="000F42B0">
      <w:r>
        <w:continuationSeparator/>
      </w:r>
    </w:p>
  </w:footnote>
  <w:footnote w:type="continuationNotice" w:id="1">
    <w:p w:rsidR="00390C4B" w:rsidRDefault="00390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203CF"/>
    <w:rsid w:val="001247F4"/>
    <w:rsid w:val="00151547"/>
    <w:rsid w:val="00164522"/>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410C"/>
    <w:rsid w:val="002D7950"/>
    <w:rsid w:val="002E31AC"/>
    <w:rsid w:val="002E5CE6"/>
    <w:rsid w:val="002E739E"/>
    <w:rsid w:val="002F587C"/>
    <w:rsid w:val="00312B01"/>
    <w:rsid w:val="003201D5"/>
    <w:rsid w:val="0033020E"/>
    <w:rsid w:val="00332150"/>
    <w:rsid w:val="0034157C"/>
    <w:rsid w:val="00370D99"/>
    <w:rsid w:val="00383C64"/>
    <w:rsid w:val="00390C4B"/>
    <w:rsid w:val="003926D1"/>
    <w:rsid w:val="003949D3"/>
    <w:rsid w:val="00397E43"/>
    <w:rsid w:val="003B015B"/>
    <w:rsid w:val="003B2E5B"/>
    <w:rsid w:val="003C69FC"/>
    <w:rsid w:val="004123FF"/>
    <w:rsid w:val="0041608D"/>
    <w:rsid w:val="00417AF9"/>
    <w:rsid w:val="004319AC"/>
    <w:rsid w:val="00437892"/>
    <w:rsid w:val="00474418"/>
    <w:rsid w:val="00474ECC"/>
    <w:rsid w:val="00484072"/>
    <w:rsid w:val="004847E2"/>
    <w:rsid w:val="004948AB"/>
    <w:rsid w:val="004B1D09"/>
    <w:rsid w:val="004D44ED"/>
    <w:rsid w:val="004E3E9D"/>
    <w:rsid w:val="005007AA"/>
    <w:rsid w:val="005453C9"/>
    <w:rsid w:val="0055096E"/>
    <w:rsid w:val="00554182"/>
    <w:rsid w:val="005573A5"/>
    <w:rsid w:val="0056751C"/>
    <w:rsid w:val="00583D86"/>
    <w:rsid w:val="00587696"/>
    <w:rsid w:val="005C2664"/>
    <w:rsid w:val="005D160C"/>
    <w:rsid w:val="005D21BD"/>
    <w:rsid w:val="005E036B"/>
    <w:rsid w:val="005F2083"/>
    <w:rsid w:val="005F516E"/>
    <w:rsid w:val="00602B0C"/>
    <w:rsid w:val="006219C8"/>
    <w:rsid w:val="00624045"/>
    <w:rsid w:val="00624F05"/>
    <w:rsid w:val="0063384C"/>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7625E"/>
    <w:rsid w:val="00776ADA"/>
    <w:rsid w:val="007B2610"/>
    <w:rsid w:val="007C28BF"/>
    <w:rsid w:val="007D0CF1"/>
    <w:rsid w:val="007E34CC"/>
    <w:rsid w:val="007F484F"/>
    <w:rsid w:val="00804492"/>
    <w:rsid w:val="00807FE7"/>
    <w:rsid w:val="0081041F"/>
    <w:rsid w:val="00811437"/>
    <w:rsid w:val="008172C7"/>
    <w:rsid w:val="0083286D"/>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5D5A"/>
    <w:rsid w:val="00985D56"/>
    <w:rsid w:val="009870E9"/>
    <w:rsid w:val="00987D61"/>
    <w:rsid w:val="0099651D"/>
    <w:rsid w:val="009A1762"/>
    <w:rsid w:val="009E2325"/>
    <w:rsid w:val="009E3145"/>
    <w:rsid w:val="009F1FA7"/>
    <w:rsid w:val="009F76E2"/>
    <w:rsid w:val="00A00402"/>
    <w:rsid w:val="00A01624"/>
    <w:rsid w:val="00A20E1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65C"/>
    <w:rsid w:val="00BF39BC"/>
    <w:rsid w:val="00C06B83"/>
    <w:rsid w:val="00C10637"/>
    <w:rsid w:val="00C20033"/>
    <w:rsid w:val="00C209E6"/>
    <w:rsid w:val="00C23C79"/>
    <w:rsid w:val="00C26CF7"/>
    <w:rsid w:val="00C328BC"/>
    <w:rsid w:val="00C60580"/>
    <w:rsid w:val="00C75871"/>
    <w:rsid w:val="00CA7829"/>
    <w:rsid w:val="00CB5A87"/>
    <w:rsid w:val="00CD0117"/>
    <w:rsid w:val="00CD3A67"/>
    <w:rsid w:val="00CF0797"/>
    <w:rsid w:val="00CF7609"/>
    <w:rsid w:val="00D0058B"/>
    <w:rsid w:val="00D10A92"/>
    <w:rsid w:val="00D136F6"/>
    <w:rsid w:val="00D37E54"/>
    <w:rsid w:val="00D63DC3"/>
    <w:rsid w:val="00D759F3"/>
    <w:rsid w:val="00D95390"/>
    <w:rsid w:val="00DA5336"/>
    <w:rsid w:val="00DB4C40"/>
    <w:rsid w:val="00DB7526"/>
    <w:rsid w:val="00DB7FB7"/>
    <w:rsid w:val="00DD1AC3"/>
    <w:rsid w:val="00DD6AF7"/>
    <w:rsid w:val="00DD7103"/>
    <w:rsid w:val="00DE7636"/>
    <w:rsid w:val="00DF698D"/>
    <w:rsid w:val="00E16B7B"/>
    <w:rsid w:val="00E40A2C"/>
    <w:rsid w:val="00E5321C"/>
    <w:rsid w:val="00E65A20"/>
    <w:rsid w:val="00E67F3D"/>
    <w:rsid w:val="00E70054"/>
    <w:rsid w:val="00E83BDB"/>
    <w:rsid w:val="00E97689"/>
    <w:rsid w:val="00EA42B2"/>
    <w:rsid w:val="00EB2CFC"/>
    <w:rsid w:val="00EB7CE9"/>
    <w:rsid w:val="00ED02A1"/>
    <w:rsid w:val="00ED1438"/>
    <w:rsid w:val="00ED1CF8"/>
    <w:rsid w:val="00ED5459"/>
    <w:rsid w:val="00EE6298"/>
    <w:rsid w:val="00EF56B2"/>
    <w:rsid w:val="00EF7B2C"/>
    <w:rsid w:val="00F03A36"/>
    <w:rsid w:val="00F16596"/>
    <w:rsid w:val="00F25634"/>
    <w:rsid w:val="00F40041"/>
    <w:rsid w:val="00F4043B"/>
    <w:rsid w:val="00F82F32"/>
    <w:rsid w:val="00F87B31"/>
    <w:rsid w:val="00F96F39"/>
    <w:rsid w:val="00F97081"/>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B8AB"/>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E32A8-E35C-0845-960A-F21C0E61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99</cp:revision>
  <cp:lastPrinted>2018-02-26T07:38:00Z</cp:lastPrinted>
  <dcterms:created xsi:type="dcterms:W3CDTF">2019-05-09T10:56:00Z</dcterms:created>
  <dcterms:modified xsi:type="dcterms:W3CDTF">2019-05-15T09:54:00Z</dcterms:modified>
</cp:coreProperties>
</file>