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FA" w:rsidRDefault="001F00FA" w:rsidP="001F00FA">
      <w:pPr>
        <w:jc w:val="center"/>
        <w:rPr>
          <w:rFonts w:ascii="Bell MT" w:hAnsi="Bell MT"/>
          <w:b/>
          <w:sz w:val="28"/>
          <w:szCs w:val="28"/>
        </w:rPr>
      </w:pPr>
      <w:bookmarkStart w:id="0" w:name="_GoBack"/>
      <w:bookmarkEnd w:id="0"/>
      <w:r w:rsidRPr="001F00FA">
        <w:rPr>
          <w:rFonts w:ascii="Bell MT" w:hAnsi="Bell MT"/>
          <w:b/>
          <w:sz w:val="28"/>
          <w:szCs w:val="28"/>
        </w:rPr>
        <w:t>Annexe 1 – Applets</w:t>
      </w:r>
    </w:p>
    <w:p w:rsidR="001F00FA" w:rsidRPr="001F00FA" w:rsidRDefault="001F00FA" w:rsidP="001F00FA">
      <w:pPr>
        <w:rPr>
          <w:rFonts w:ascii="Bell MT" w:hAnsi="Bell MT"/>
          <w:sz w:val="28"/>
          <w:szCs w:val="28"/>
        </w:rPr>
      </w:pPr>
    </w:p>
    <w:p w:rsidR="001F00FA" w:rsidRDefault="001F00FA" w:rsidP="001F00FA">
      <w:pPr>
        <w:rPr>
          <w:rFonts w:ascii="Bell MT" w:hAnsi="Bell MT"/>
          <w:sz w:val="28"/>
          <w:szCs w:val="28"/>
        </w:rPr>
      </w:pPr>
    </w:p>
    <w:p w:rsidR="001F00FA" w:rsidRDefault="001F00FA" w:rsidP="001F00FA">
      <w:pPr>
        <w:pStyle w:val="Paragraphedeliste"/>
        <w:numPr>
          <w:ilvl w:val="0"/>
          <w:numId w:val="1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Le contexte graphique </w:t>
      </w:r>
      <w:r w:rsidRPr="001F00FA">
        <w:rPr>
          <w:rFonts w:cs="Courier New"/>
          <w:sz w:val="24"/>
        </w:rPr>
        <w:t>Graphics2D</w:t>
      </w:r>
    </w:p>
    <w:p w:rsidR="001F00FA" w:rsidRDefault="001F00FA" w:rsidP="001F00FA"/>
    <w:p w:rsidR="001F00FA" w:rsidRDefault="001F00FA" w:rsidP="001F00FA"/>
    <w:p w:rsidR="001F00FA" w:rsidRPr="001F00FA" w:rsidRDefault="001F00FA" w:rsidP="001F00FA">
      <w:pPr>
        <w:numPr>
          <w:ilvl w:val="0"/>
          <w:numId w:val="2"/>
        </w:numPr>
        <w:spacing w:line="276" w:lineRule="auto"/>
        <w:contextualSpacing/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>En général, un contexte graphique représen</w:t>
      </w:r>
      <w:r w:rsidR="00320740">
        <w:rPr>
          <w:rFonts w:ascii="Calibri" w:eastAsia="Calibri" w:hAnsi="Calibri"/>
          <w:b/>
          <w:sz w:val="22"/>
          <w:szCs w:val="22"/>
          <w:lang w:eastAsia="en-US"/>
        </w:rPr>
        <w:t>te une zone de dessin ( zone d'a</w:t>
      </w:r>
      <w:r>
        <w:rPr>
          <w:rFonts w:ascii="Calibri" w:eastAsia="Calibri" w:hAnsi="Calibri"/>
          <w:b/>
          <w:sz w:val="22"/>
          <w:szCs w:val="22"/>
          <w:lang w:eastAsia="en-US"/>
        </w:rPr>
        <w:t>ffichage d'un composant, page d'imprimante, tampon ( buffer ) d'une image, etc. ). Il contient des informations sur la zone en question et fournit des méthodes en conséquence, à l'image d'une palette lorsqu'on fait une peinture.</w:t>
      </w:r>
    </w:p>
    <w:p w:rsidR="001F00FA" w:rsidRPr="001F00FA" w:rsidRDefault="00320740" w:rsidP="001F00FA">
      <w:pPr>
        <w:numPr>
          <w:ilvl w:val="0"/>
          <w:numId w:val="2"/>
        </w:numPr>
        <w:spacing w:line="276" w:lineRule="auto"/>
        <w:contextualSpacing/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Tw Cen MT" w:eastAsia="Calibri" w:hAnsi="Tw Cen MT"/>
          <w:sz w:val="22"/>
          <w:szCs w:val="22"/>
          <w:lang w:eastAsia="en-US"/>
        </w:rPr>
        <w:t>l</w:t>
      </w:r>
      <w:r w:rsidR="001F00FA" w:rsidRPr="001F00FA">
        <w:rPr>
          <w:rFonts w:ascii="Tw Cen MT" w:eastAsia="Calibri" w:hAnsi="Tw Cen MT"/>
          <w:sz w:val="22"/>
          <w:szCs w:val="22"/>
          <w:lang w:eastAsia="en-US"/>
        </w:rPr>
        <w:t>e contexte graphique</w:t>
      </w:r>
      <w:r>
        <w:rPr>
          <w:rFonts w:ascii="Tw Cen MT" w:eastAsia="Calibri" w:hAnsi="Tw Cen MT"/>
          <w:sz w:val="22"/>
          <w:szCs w:val="22"/>
          <w:lang w:eastAsia="en-US"/>
        </w:rPr>
        <w:t xml:space="preserve"> </w:t>
      </w:r>
      <w:r w:rsidRPr="00320740">
        <w:rPr>
          <w:rFonts w:eastAsia="Calibri" w:cs="Courier New"/>
          <w:sz w:val="22"/>
          <w:szCs w:val="22"/>
          <w:lang w:eastAsia="en-US"/>
        </w:rPr>
        <w:t>Graphics2D</w:t>
      </w:r>
      <w:r w:rsidR="001F00FA" w:rsidRPr="001F00FA">
        <w:rPr>
          <w:rFonts w:ascii="Tw Cen MT" w:eastAsia="Calibri" w:hAnsi="Tw Cen MT"/>
          <w:sz w:val="22"/>
          <w:szCs w:val="22"/>
          <w:lang w:eastAsia="en-US"/>
        </w:rPr>
        <w:t xml:space="preserve"> ( sous-classe de</w:t>
      </w:r>
      <w:r w:rsidR="001F00FA" w:rsidRPr="001F00FA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="001F00FA" w:rsidRPr="001F00FA">
        <w:rPr>
          <w:rFonts w:eastAsia="Calibri" w:cs="Courier New"/>
          <w:sz w:val="22"/>
          <w:szCs w:val="22"/>
          <w:lang w:eastAsia="en-US"/>
        </w:rPr>
        <w:t>Graphics</w:t>
      </w:r>
      <w:proofErr w:type="spellEnd"/>
      <w:r w:rsidR="001F00FA" w:rsidRPr="001F00FA">
        <w:rPr>
          <w:rFonts w:ascii="Calibri" w:eastAsia="Calibri" w:hAnsi="Calibri"/>
          <w:sz w:val="22"/>
          <w:szCs w:val="22"/>
          <w:lang w:eastAsia="en-US"/>
        </w:rPr>
        <w:t xml:space="preserve"> ) </w:t>
      </w:r>
      <w:r w:rsidR="001F00FA" w:rsidRPr="001F00FA">
        <w:rPr>
          <w:rFonts w:ascii="Tw Cen MT" w:eastAsia="Calibri" w:hAnsi="Tw Cen MT"/>
          <w:sz w:val="22"/>
          <w:szCs w:val="22"/>
          <w:lang w:eastAsia="en-US"/>
        </w:rPr>
        <w:t xml:space="preserve">permet de raffiner beaucoup l'apparence visuelle de notre dessin personnalisé ( custom </w:t>
      </w:r>
      <w:proofErr w:type="spellStart"/>
      <w:r w:rsidR="001F00FA" w:rsidRPr="001F00FA">
        <w:rPr>
          <w:rFonts w:ascii="Tw Cen MT" w:eastAsia="Calibri" w:hAnsi="Tw Cen MT"/>
          <w:sz w:val="22"/>
          <w:szCs w:val="22"/>
          <w:lang w:eastAsia="en-US"/>
        </w:rPr>
        <w:t>drawing</w:t>
      </w:r>
      <w:proofErr w:type="spellEnd"/>
      <w:r w:rsidR="001F00FA" w:rsidRPr="001F00FA">
        <w:rPr>
          <w:rFonts w:ascii="Tw Cen MT" w:eastAsia="Calibri" w:hAnsi="Tw Cen MT"/>
          <w:sz w:val="22"/>
          <w:szCs w:val="22"/>
          <w:lang w:eastAsia="en-US"/>
        </w:rPr>
        <w:t xml:space="preserve"> )</w:t>
      </w:r>
      <w:r w:rsidR="001F00FA" w:rsidRPr="001F00FA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1F00FA" w:rsidRPr="001F00FA" w:rsidRDefault="00320740" w:rsidP="001F00FA">
      <w:pPr>
        <w:numPr>
          <w:ilvl w:val="0"/>
          <w:numId w:val="2"/>
        </w:numPr>
        <w:spacing w:line="276" w:lineRule="auto"/>
        <w:contextualSpacing/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Tw Cen MT" w:eastAsia="Calibri" w:hAnsi="Tw Cen MT"/>
          <w:sz w:val="22"/>
          <w:szCs w:val="22"/>
          <w:lang w:eastAsia="en-US"/>
        </w:rPr>
        <w:t xml:space="preserve">en fait, le paramètre est un objet </w:t>
      </w:r>
      <w:r w:rsidRPr="00320740">
        <w:rPr>
          <w:rFonts w:eastAsia="Calibri" w:cs="Courier New"/>
          <w:szCs w:val="20"/>
          <w:lang w:eastAsia="en-US"/>
        </w:rPr>
        <w:t>Graphics2D</w:t>
      </w:r>
      <w:r>
        <w:rPr>
          <w:rFonts w:ascii="Tw Cen MT" w:eastAsia="Calibri" w:hAnsi="Tw Cen MT"/>
          <w:sz w:val="22"/>
          <w:szCs w:val="22"/>
          <w:lang w:eastAsia="en-US"/>
        </w:rPr>
        <w:t xml:space="preserve">, on lui a simplement donné dans la définition de la méthode </w:t>
      </w:r>
      <w:proofErr w:type="spellStart"/>
      <w:r w:rsidRPr="00320740">
        <w:rPr>
          <w:rFonts w:eastAsia="Calibri" w:cs="Courier New"/>
          <w:szCs w:val="20"/>
          <w:lang w:eastAsia="en-US"/>
        </w:rPr>
        <w:t>paint</w:t>
      </w:r>
      <w:proofErr w:type="spellEnd"/>
      <w:r>
        <w:rPr>
          <w:rFonts w:ascii="Tw Cen MT" w:eastAsia="Calibri" w:hAnsi="Tw Cen MT"/>
          <w:sz w:val="22"/>
          <w:szCs w:val="22"/>
          <w:lang w:eastAsia="en-US"/>
        </w:rPr>
        <w:t xml:space="preserve"> un type de référence plus général, soit </w:t>
      </w:r>
      <w:proofErr w:type="spellStart"/>
      <w:r w:rsidRPr="00320740">
        <w:rPr>
          <w:rFonts w:eastAsia="Calibri" w:cs="Courier New"/>
          <w:szCs w:val="20"/>
          <w:lang w:eastAsia="en-US"/>
        </w:rPr>
        <w:t>Graphics</w:t>
      </w:r>
      <w:proofErr w:type="spellEnd"/>
      <w:r>
        <w:rPr>
          <w:rFonts w:ascii="Tw Cen MT" w:eastAsia="Calibri" w:hAnsi="Tw Cen MT"/>
          <w:sz w:val="22"/>
          <w:szCs w:val="22"/>
          <w:lang w:eastAsia="en-US"/>
        </w:rPr>
        <w:t xml:space="preserve">. On peut donc le </w:t>
      </w:r>
      <w:proofErr w:type="spellStart"/>
      <w:r>
        <w:rPr>
          <w:rFonts w:ascii="Tw Cen MT" w:eastAsia="Calibri" w:hAnsi="Tw Cen MT"/>
          <w:sz w:val="22"/>
          <w:szCs w:val="22"/>
          <w:lang w:eastAsia="en-US"/>
        </w:rPr>
        <w:t>transtyper</w:t>
      </w:r>
      <w:proofErr w:type="spellEnd"/>
      <w:r>
        <w:rPr>
          <w:rFonts w:ascii="Tw Cen MT" w:eastAsia="Calibri" w:hAnsi="Tw Cen MT"/>
          <w:sz w:val="22"/>
          <w:szCs w:val="22"/>
          <w:lang w:eastAsia="en-US"/>
        </w:rPr>
        <w:t xml:space="preserve"> afin d'atteindre des méthodes exclusives à la classe </w:t>
      </w:r>
      <w:r w:rsidRPr="00320740">
        <w:rPr>
          <w:rFonts w:eastAsia="Calibri" w:cs="Courier New"/>
          <w:sz w:val="22"/>
          <w:szCs w:val="22"/>
          <w:lang w:eastAsia="en-US"/>
        </w:rPr>
        <w:t>Graphics2D</w:t>
      </w:r>
      <w:r>
        <w:rPr>
          <w:rFonts w:ascii="Tw Cen MT" w:eastAsia="Calibri" w:hAnsi="Tw Cen MT"/>
          <w:sz w:val="22"/>
          <w:szCs w:val="22"/>
          <w:lang w:eastAsia="en-US"/>
        </w:rPr>
        <w:t xml:space="preserve"> :</w:t>
      </w:r>
    </w:p>
    <w:p w:rsidR="001F00FA" w:rsidRPr="001F00FA" w:rsidRDefault="001F00FA" w:rsidP="001F00FA">
      <w:pPr>
        <w:spacing w:line="276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1F00FA" w:rsidRPr="001F00FA" w:rsidRDefault="001F00FA" w:rsidP="001F00FA">
      <w:pPr>
        <w:spacing w:line="276" w:lineRule="auto"/>
        <w:ind w:left="3540"/>
        <w:jc w:val="both"/>
        <w:rPr>
          <w:rFonts w:eastAsia="Calibri" w:cs="Courier New"/>
          <w:szCs w:val="20"/>
          <w:lang w:eastAsia="en-US"/>
        </w:rPr>
      </w:pPr>
      <w:r w:rsidRPr="001F00FA">
        <w:rPr>
          <w:rFonts w:eastAsia="Calibri" w:cs="Courier New"/>
          <w:szCs w:val="20"/>
          <w:lang w:eastAsia="en-US"/>
        </w:rPr>
        <w:t xml:space="preserve">public </w:t>
      </w:r>
      <w:proofErr w:type="spellStart"/>
      <w:r w:rsidRPr="001F00FA">
        <w:rPr>
          <w:rFonts w:eastAsia="Calibri" w:cs="Courier New"/>
          <w:szCs w:val="20"/>
          <w:lang w:eastAsia="en-US"/>
        </w:rPr>
        <w:t>void</w:t>
      </w:r>
      <w:proofErr w:type="spellEnd"/>
      <w:r w:rsidRPr="001F00FA">
        <w:rPr>
          <w:rFonts w:eastAsia="Calibri" w:cs="Courier New"/>
          <w:szCs w:val="20"/>
          <w:lang w:eastAsia="en-US"/>
        </w:rPr>
        <w:t xml:space="preserve"> </w:t>
      </w:r>
      <w:proofErr w:type="spellStart"/>
      <w:r w:rsidRPr="001F00FA">
        <w:rPr>
          <w:rFonts w:eastAsia="Calibri" w:cs="Courier New"/>
          <w:szCs w:val="20"/>
          <w:lang w:eastAsia="en-US"/>
        </w:rPr>
        <w:t>paint</w:t>
      </w:r>
      <w:proofErr w:type="spellEnd"/>
      <w:r w:rsidRPr="001F00FA">
        <w:rPr>
          <w:rFonts w:eastAsia="Calibri" w:cs="Courier New"/>
          <w:szCs w:val="20"/>
          <w:lang w:eastAsia="en-US"/>
        </w:rPr>
        <w:t xml:space="preserve"> ( </w:t>
      </w:r>
      <w:proofErr w:type="spellStart"/>
      <w:r w:rsidRPr="001F00FA">
        <w:rPr>
          <w:rFonts w:eastAsia="Calibri" w:cs="Courier New"/>
          <w:szCs w:val="20"/>
          <w:lang w:eastAsia="en-US"/>
        </w:rPr>
        <w:t>Graphics</w:t>
      </w:r>
      <w:proofErr w:type="spellEnd"/>
      <w:r w:rsidRPr="001F00FA">
        <w:rPr>
          <w:rFonts w:eastAsia="Calibri" w:cs="Courier New"/>
          <w:szCs w:val="20"/>
          <w:lang w:eastAsia="en-US"/>
        </w:rPr>
        <w:t xml:space="preserve"> g )</w:t>
      </w:r>
    </w:p>
    <w:p w:rsidR="001F00FA" w:rsidRPr="001F00FA" w:rsidRDefault="001F00FA" w:rsidP="001F00FA">
      <w:pPr>
        <w:spacing w:line="276" w:lineRule="auto"/>
        <w:ind w:left="3540"/>
        <w:jc w:val="both"/>
        <w:rPr>
          <w:rFonts w:eastAsia="Calibri" w:cs="Courier New"/>
          <w:szCs w:val="20"/>
          <w:lang w:eastAsia="en-US"/>
        </w:rPr>
      </w:pPr>
      <w:r w:rsidRPr="001F00FA">
        <w:rPr>
          <w:rFonts w:eastAsia="Calibri" w:cs="Courier New"/>
          <w:szCs w:val="20"/>
          <w:lang w:eastAsia="en-US"/>
        </w:rPr>
        <w:t>{</w:t>
      </w:r>
    </w:p>
    <w:p w:rsidR="001F00FA" w:rsidRPr="001F00FA" w:rsidRDefault="001F00FA" w:rsidP="001F00FA">
      <w:pPr>
        <w:spacing w:line="276" w:lineRule="auto"/>
        <w:ind w:left="3540"/>
        <w:jc w:val="both"/>
        <w:rPr>
          <w:rFonts w:eastAsia="Calibri" w:cs="Courier New"/>
          <w:szCs w:val="20"/>
          <w:lang w:eastAsia="en-US"/>
        </w:rPr>
      </w:pPr>
      <w:r w:rsidRPr="001F00FA">
        <w:rPr>
          <w:rFonts w:eastAsia="Calibri" w:cs="Courier New"/>
          <w:szCs w:val="20"/>
          <w:lang w:eastAsia="en-US"/>
        </w:rPr>
        <w:t xml:space="preserve">Graphics2D g2 = ( Graphics2D ) g ; </w:t>
      </w:r>
    </w:p>
    <w:p w:rsidR="001F00FA" w:rsidRPr="001F00FA" w:rsidRDefault="001F00FA" w:rsidP="001F00FA">
      <w:pPr>
        <w:spacing w:line="276" w:lineRule="auto"/>
        <w:ind w:left="3540"/>
        <w:jc w:val="both"/>
        <w:rPr>
          <w:rFonts w:eastAsia="Calibri" w:cs="Courier New"/>
          <w:szCs w:val="20"/>
          <w:lang w:eastAsia="en-US"/>
        </w:rPr>
      </w:pPr>
      <w:r w:rsidRPr="001F00FA">
        <w:rPr>
          <w:rFonts w:eastAsia="Calibri" w:cs="Courier New"/>
          <w:szCs w:val="20"/>
          <w:lang w:eastAsia="en-US"/>
        </w:rPr>
        <w:t>}</w:t>
      </w:r>
    </w:p>
    <w:p w:rsidR="001F00FA" w:rsidRDefault="001F00FA" w:rsidP="001F00FA">
      <w:pPr>
        <w:spacing w:line="276" w:lineRule="auto"/>
        <w:ind w:left="360"/>
        <w:jc w:val="both"/>
        <w:rPr>
          <w:rFonts w:eastAsia="Calibri" w:cs="Courier New"/>
          <w:szCs w:val="20"/>
          <w:lang w:eastAsia="en-US"/>
        </w:rPr>
      </w:pPr>
    </w:p>
    <w:p w:rsidR="001F00FA" w:rsidRPr="001F00FA" w:rsidRDefault="001F00FA" w:rsidP="001F00FA">
      <w:pPr>
        <w:spacing w:line="276" w:lineRule="auto"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</w:p>
    <w:p w:rsidR="001F00FA" w:rsidRPr="001F00FA" w:rsidRDefault="001F00FA" w:rsidP="001F00FA">
      <w:pPr>
        <w:numPr>
          <w:ilvl w:val="0"/>
          <w:numId w:val="3"/>
        </w:numPr>
        <w:spacing w:line="276" w:lineRule="auto"/>
        <w:contextualSpacing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>certaines améliorations</w:t>
      </w:r>
      <w:r>
        <w:rPr>
          <w:rFonts w:ascii="Tw Cen MT" w:eastAsia="Calibri" w:hAnsi="Tw Cen MT" w:cs="Courier New"/>
          <w:sz w:val="22"/>
          <w:szCs w:val="22"/>
          <w:lang w:eastAsia="en-US"/>
        </w:rPr>
        <w:t>/ajouts</w:t>
      </w: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</w:t>
      </w:r>
      <w:r>
        <w:rPr>
          <w:rFonts w:ascii="Tw Cen MT" w:eastAsia="Calibri" w:hAnsi="Tw Cen MT" w:cs="Courier New"/>
          <w:sz w:val="22"/>
          <w:szCs w:val="22"/>
          <w:lang w:eastAsia="en-US"/>
        </w:rPr>
        <w:t>de la classe</w:t>
      </w: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</w:t>
      </w:r>
      <w:r w:rsidRPr="001F00FA">
        <w:rPr>
          <w:rFonts w:eastAsia="Calibri" w:cs="Courier New"/>
          <w:sz w:val="22"/>
          <w:szCs w:val="22"/>
          <w:lang w:eastAsia="en-US"/>
        </w:rPr>
        <w:t>Graphics2D</w:t>
      </w: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:</w:t>
      </w:r>
    </w:p>
    <w:p w:rsidR="001F00FA" w:rsidRPr="001F00FA" w:rsidRDefault="001F00FA" w:rsidP="001F00FA">
      <w:pPr>
        <w:spacing w:line="276" w:lineRule="auto"/>
        <w:ind w:left="720"/>
        <w:contextualSpacing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</w:p>
    <w:p w:rsidR="001F00FA" w:rsidRPr="001F00FA" w:rsidRDefault="001F00FA" w:rsidP="001F00FA">
      <w:pPr>
        <w:numPr>
          <w:ilvl w:val="1"/>
          <w:numId w:val="3"/>
        </w:numPr>
        <w:spacing w:line="276" w:lineRule="auto"/>
        <w:contextualSpacing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anticrénelage ( </w:t>
      </w:r>
      <w:proofErr w:type="spellStart"/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>antialias</w:t>
      </w:r>
      <w:proofErr w:type="spellEnd"/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) : _______________________________________</w:t>
      </w:r>
      <w:r>
        <w:rPr>
          <w:rFonts w:ascii="Tw Cen MT" w:eastAsia="Calibri" w:hAnsi="Tw Cen MT" w:cs="Courier New"/>
          <w:sz w:val="22"/>
          <w:szCs w:val="22"/>
          <w:lang w:eastAsia="en-US"/>
        </w:rPr>
        <w:t>__________</w:t>
      </w:r>
    </w:p>
    <w:p w:rsidR="001F00FA" w:rsidRPr="001F00FA" w:rsidRDefault="001F00FA" w:rsidP="001F00FA">
      <w:pPr>
        <w:numPr>
          <w:ilvl w:val="1"/>
          <w:numId w:val="3"/>
        </w:numPr>
        <w:spacing w:line="276" w:lineRule="auto"/>
        <w:contextualSpacing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modèles de remplissages ( gradient entre autres ) </w:t>
      </w: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sym w:font="Wingdings" w:char="F0E0"/>
      </w: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à partir de la méthode </w:t>
      </w:r>
      <w:proofErr w:type="spellStart"/>
      <w:r w:rsidRPr="001F00FA">
        <w:rPr>
          <w:rFonts w:eastAsia="Calibri" w:cs="Courier New"/>
          <w:szCs w:val="20"/>
          <w:lang w:eastAsia="en-US"/>
        </w:rPr>
        <w:t>setPaint</w:t>
      </w:r>
      <w:proofErr w:type="spellEnd"/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prenant en paramètre un objet mettant en œuvre l'interface </w:t>
      </w:r>
      <w:proofErr w:type="spellStart"/>
      <w:r w:rsidRPr="001F00FA">
        <w:rPr>
          <w:rFonts w:eastAsia="Calibri" w:cs="Courier New"/>
          <w:sz w:val="22"/>
          <w:szCs w:val="22"/>
          <w:lang w:eastAsia="en-US"/>
        </w:rPr>
        <w:t>Paint</w:t>
      </w:r>
      <w:proofErr w:type="spellEnd"/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( </w:t>
      </w:r>
      <w:proofErr w:type="spellStart"/>
      <w:r w:rsidRPr="001F00FA">
        <w:rPr>
          <w:rFonts w:eastAsia="Calibri" w:cs="Courier New"/>
          <w:sz w:val="22"/>
          <w:szCs w:val="22"/>
          <w:lang w:eastAsia="en-US"/>
        </w:rPr>
        <w:t>GradientPaint</w:t>
      </w:r>
      <w:proofErr w:type="spellEnd"/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par exemple ) </w:t>
      </w:r>
    </w:p>
    <w:p w:rsidR="001F00FA" w:rsidRPr="001F00FA" w:rsidRDefault="001F00FA" w:rsidP="001F00FA">
      <w:pPr>
        <w:spacing w:line="276" w:lineRule="auto"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</w:p>
    <w:p w:rsidR="001F00FA" w:rsidRPr="001F00FA" w:rsidRDefault="001F00FA" w:rsidP="001F00FA">
      <w:pPr>
        <w:spacing w:line="276" w:lineRule="auto"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</w:p>
    <w:p w:rsidR="001F00FA" w:rsidRPr="001F00FA" w:rsidRDefault="001F00FA" w:rsidP="001F00FA">
      <w:pPr>
        <w:spacing w:line="276" w:lineRule="auto"/>
        <w:jc w:val="center"/>
        <w:rPr>
          <w:rFonts w:ascii="Tw Cen MT" w:eastAsia="Calibri" w:hAnsi="Tw Cen MT" w:cs="Courier New"/>
          <w:sz w:val="22"/>
          <w:szCs w:val="22"/>
          <w:lang w:eastAsia="en-US"/>
        </w:rPr>
      </w:pPr>
      <w:r w:rsidRPr="001F00FA">
        <w:rPr>
          <w:rFonts w:ascii="Tw Cen MT" w:eastAsia="Calibri" w:hAnsi="Tw Cen MT" w:cs="Courier New"/>
          <w:noProof/>
          <w:sz w:val="22"/>
          <w:szCs w:val="22"/>
        </w:rPr>
        <w:drawing>
          <wp:inline distT="0" distB="0" distL="0" distR="0">
            <wp:extent cx="2994660" cy="2094807"/>
            <wp:effectExtent l="0" t="0" r="0" b="1270"/>
            <wp:docPr id="1" name="Image 1" descr="J:\B43\H10\notes de cours nv\sché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B43\H10\notes de cours nv\sché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038" b="2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73" cy="209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0FA" w:rsidRPr="001F00FA" w:rsidRDefault="001F00FA" w:rsidP="001F00FA">
      <w:pPr>
        <w:spacing w:line="276" w:lineRule="auto"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</w:p>
    <w:p w:rsidR="001F00FA" w:rsidRPr="001F00FA" w:rsidRDefault="001F00FA" w:rsidP="001F00FA">
      <w:pPr>
        <w:spacing w:line="276" w:lineRule="auto"/>
        <w:jc w:val="both"/>
        <w:rPr>
          <w:rFonts w:ascii="Tw Cen MT" w:eastAsia="Calibri" w:hAnsi="Tw Cen MT" w:cs="Courier New"/>
          <w:sz w:val="22"/>
          <w:szCs w:val="22"/>
          <w:lang w:eastAsia="en-US"/>
        </w:rPr>
      </w:pPr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**** le même </w:t>
      </w:r>
      <w:proofErr w:type="spellStart"/>
      <w:r w:rsidRPr="001F00FA">
        <w:rPr>
          <w:rFonts w:eastAsia="Calibri" w:cs="Courier New"/>
          <w:szCs w:val="20"/>
          <w:lang w:eastAsia="en-US"/>
        </w:rPr>
        <w:t>GradientPaint</w:t>
      </w:r>
      <w:proofErr w:type="spellEnd"/>
      <w:r w:rsidRPr="001F00FA">
        <w:rPr>
          <w:rFonts w:ascii="Tw Cen MT" w:eastAsia="Calibri" w:hAnsi="Tw Cen MT" w:cs="Courier New"/>
          <w:sz w:val="22"/>
          <w:szCs w:val="22"/>
          <w:lang w:eastAsia="en-US"/>
        </w:rPr>
        <w:t xml:space="preserve"> peut s’appliquer à plusieurs formes si sa grandeur englobe plusieurs formes</w:t>
      </w:r>
    </w:p>
    <w:p w:rsidR="001F00FA" w:rsidRPr="001F00FA" w:rsidRDefault="001F00FA" w:rsidP="001F00FA">
      <w:pPr>
        <w:spacing w:line="276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A416ED" w:rsidRDefault="00A416ED" w:rsidP="001F00FA"/>
    <w:p w:rsidR="00320740" w:rsidRDefault="00320740" w:rsidP="00320740">
      <w:pPr>
        <w:pStyle w:val="Paragraphedeliste"/>
        <w:numPr>
          <w:ilvl w:val="0"/>
          <w:numId w:val="1"/>
        </w:numPr>
        <w:rPr>
          <w:rFonts w:ascii="Bell MT" w:hAnsi="Bell MT"/>
          <w:sz w:val="24"/>
        </w:rPr>
      </w:pPr>
      <w:r w:rsidRPr="00320740">
        <w:rPr>
          <w:rFonts w:ascii="Bell MT" w:hAnsi="Bell MT"/>
          <w:sz w:val="24"/>
        </w:rPr>
        <w:lastRenderedPageBreak/>
        <w:t xml:space="preserve">Procédure pour placer un applet sur une page web </w:t>
      </w:r>
      <w:r w:rsidRPr="00320740">
        <w:rPr>
          <w:rFonts w:ascii="Bell MT" w:hAnsi="Bell MT"/>
          <w:sz w:val="24"/>
        </w:rPr>
        <w:sym w:font="Wingdings" w:char="F0E0"/>
      </w:r>
      <w:r w:rsidRPr="00320740">
        <w:rPr>
          <w:rFonts w:ascii="Bell MT" w:hAnsi="Bell MT"/>
          <w:sz w:val="24"/>
        </w:rPr>
        <w:t xml:space="preserve"> espace personnel du CVM</w:t>
      </w:r>
    </w:p>
    <w:p w:rsidR="00320740" w:rsidRPr="00320740" w:rsidRDefault="00320740" w:rsidP="00320740"/>
    <w:p w:rsidR="00320740" w:rsidRDefault="00320740" w:rsidP="00320740"/>
    <w:p w:rsidR="00320740" w:rsidRPr="0029408C" w:rsidRDefault="00320740" w:rsidP="00320740">
      <w:pPr>
        <w:rPr>
          <w:rFonts w:ascii="Tw Cen MT" w:hAnsi="Tw Cen MT"/>
          <w:sz w:val="26"/>
          <w:szCs w:val="26"/>
        </w:rPr>
      </w:pPr>
    </w:p>
    <w:p w:rsidR="00320740" w:rsidRPr="00320740" w:rsidRDefault="00320740" w:rsidP="00320740">
      <w:pPr>
        <w:pStyle w:val="Paragraphedeliste"/>
        <w:numPr>
          <w:ilvl w:val="0"/>
          <w:numId w:val="3"/>
        </w:numPr>
        <w:jc w:val="both"/>
        <w:rPr>
          <w:rFonts w:ascii="Tw Cen MT" w:hAnsi="Tw Cen MT"/>
          <w:sz w:val="24"/>
        </w:rPr>
      </w:pPr>
      <w:r w:rsidRPr="00320740">
        <w:rPr>
          <w:rFonts w:ascii="Tw Cen MT" w:hAnsi="Tw Cen MT"/>
          <w:sz w:val="24"/>
        </w:rPr>
        <w:t>Chaque étudiant a un espace web personnel qu’il peut utiliser ( en respectant le code de conduite du CVM ) pour créer son site web qui sera hébergé sur le serveur web du Collège.</w:t>
      </w:r>
    </w:p>
    <w:p w:rsidR="00320740" w:rsidRDefault="00320740" w:rsidP="00320740">
      <w:pPr>
        <w:jc w:val="both"/>
        <w:rPr>
          <w:rFonts w:ascii="Tw Cen MT" w:hAnsi="Tw Cen MT"/>
          <w:sz w:val="26"/>
          <w:szCs w:val="26"/>
        </w:rPr>
      </w:pPr>
    </w:p>
    <w:p w:rsidR="00320740" w:rsidRDefault="00320740" w:rsidP="00320740">
      <w:pPr>
        <w:jc w:val="both"/>
        <w:rPr>
          <w:rFonts w:ascii="Tw Cen MT" w:hAnsi="Tw Cen MT"/>
          <w:sz w:val="26"/>
          <w:szCs w:val="26"/>
        </w:rPr>
      </w:pPr>
    </w:p>
    <w:p w:rsidR="009068DF" w:rsidRDefault="009068DF" w:rsidP="00320740">
      <w:pPr>
        <w:jc w:val="both"/>
        <w:rPr>
          <w:rFonts w:ascii="Tw Cen MT" w:hAnsi="Tw Cen MT"/>
          <w:sz w:val="26"/>
          <w:szCs w:val="26"/>
        </w:rPr>
      </w:pPr>
    </w:p>
    <w:p w:rsidR="009068DF" w:rsidRDefault="009068DF" w:rsidP="00320740">
      <w:pPr>
        <w:jc w:val="both"/>
        <w:rPr>
          <w:rFonts w:ascii="Tw Cen MT" w:hAnsi="Tw Cen MT"/>
          <w:sz w:val="26"/>
          <w:szCs w:val="26"/>
        </w:rPr>
      </w:pPr>
    </w:p>
    <w:p w:rsidR="009068DF" w:rsidRPr="0029408C" w:rsidRDefault="009068DF" w:rsidP="00320740">
      <w:pPr>
        <w:jc w:val="both"/>
        <w:rPr>
          <w:rFonts w:ascii="Tw Cen MT" w:hAnsi="Tw Cen MT"/>
          <w:sz w:val="26"/>
          <w:szCs w:val="26"/>
        </w:rPr>
      </w:pPr>
    </w:p>
    <w:p w:rsidR="00320740" w:rsidRDefault="00320740" w:rsidP="00320740">
      <w:pPr>
        <w:ind w:firstLine="360"/>
        <w:rPr>
          <w:rFonts w:ascii="Bell MT" w:hAnsi="Bell MT"/>
          <w:sz w:val="24"/>
        </w:rPr>
      </w:pPr>
      <w:r w:rsidRPr="009068DF">
        <w:rPr>
          <w:rFonts w:ascii="Bell MT" w:hAnsi="Bell MT"/>
          <w:sz w:val="24"/>
        </w:rPr>
        <w:t>Procédure à suivre :</w:t>
      </w:r>
    </w:p>
    <w:p w:rsidR="009068DF" w:rsidRPr="009068DF" w:rsidRDefault="009068DF" w:rsidP="009068DF">
      <w:pPr>
        <w:rPr>
          <w:rFonts w:ascii="Bell MT" w:hAnsi="Bell MT"/>
          <w:sz w:val="24"/>
        </w:rPr>
      </w:pPr>
    </w:p>
    <w:p w:rsidR="00320740" w:rsidRPr="009068DF" w:rsidRDefault="00320740" w:rsidP="00320740">
      <w:pPr>
        <w:pStyle w:val="Paragraphedeliste"/>
        <w:numPr>
          <w:ilvl w:val="0"/>
          <w:numId w:val="4"/>
        </w:numPr>
        <w:spacing w:after="200" w:line="276" w:lineRule="auto"/>
        <w:rPr>
          <w:rFonts w:ascii="Tw Cen MT" w:hAnsi="Tw Cen MT"/>
          <w:sz w:val="24"/>
        </w:rPr>
      </w:pPr>
      <w:r w:rsidRPr="009068DF">
        <w:rPr>
          <w:rFonts w:ascii="Tw Cen MT" w:hAnsi="Tw Cen MT"/>
          <w:sz w:val="24"/>
        </w:rPr>
        <w:t xml:space="preserve">À l’aide de </w:t>
      </w:r>
      <w:proofErr w:type="spellStart"/>
      <w:r w:rsidRPr="009068DF">
        <w:rPr>
          <w:rFonts w:ascii="Tw Cen MT" w:hAnsi="Tw Cen MT"/>
          <w:sz w:val="24"/>
        </w:rPr>
        <w:t>FileZilla</w:t>
      </w:r>
      <w:proofErr w:type="spellEnd"/>
      <w:r w:rsidRPr="009068DF">
        <w:rPr>
          <w:rFonts w:ascii="Tw Cen MT" w:hAnsi="Tw Cen MT"/>
          <w:sz w:val="24"/>
        </w:rPr>
        <w:t>, se rendre sur votre espace personnel du réseau du collège  ( </w:t>
      </w:r>
      <w:hyperlink r:id="rId9" w:history="1">
        <w:r w:rsidRPr="009068DF">
          <w:rPr>
            <w:rStyle w:val="Lienhypertexte"/>
            <w:rFonts w:ascii="Tw Cen MT" w:hAnsi="Tw Cen MT"/>
            <w:sz w:val="24"/>
          </w:rPr>
          <w:t>ftp://edu.cvm.qc.ca</w:t>
        </w:r>
      </w:hyperlink>
      <w:r w:rsidRPr="009068DF">
        <w:rPr>
          <w:rFonts w:ascii="Tw Cen MT" w:hAnsi="Tw Cen MT"/>
          <w:sz w:val="24"/>
        </w:rPr>
        <w:t xml:space="preserve"> )</w:t>
      </w:r>
    </w:p>
    <w:p w:rsidR="00320740" w:rsidRPr="009068DF" w:rsidRDefault="00320740" w:rsidP="00320740">
      <w:pPr>
        <w:pStyle w:val="Paragraphedeliste"/>
        <w:numPr>
          <w:ilvl w:val="0"/>
          <w:numId w:val="4"/>
        </w:numPr>
        <w:spacing w:after="200" w:line="276" w:lineRule="auto"/>
        <w:rPr>
          <w:rFonts w:ascii="Tw Cen MT" w:hAnsi="Tw Cen MT"/>
          <w:sz w:val="24"/>
        </w:rPr>
      </w:pPr>
      <w:r w:rsidRPr="009068DF">
        <w:rPr>
          <w:rFonts w:ascii="Tw Cen MT" w:hAnsi="Tw Cen MT"/>
          <w:sz w:val="24"/>
        </w:rPr>
        <w:t xml:space="preserve">À la racine de votre espace personnel, créer un dossier s’appelant </w:t>
      </w:r>
      <w:r w:rsidRPr="009068DF">
        <w:rPr>
          <w:rFonts w:cs="Courier New"/>
          <w:sz w:val="24"/>
        </w:rPr>
        <w:t>J’</w:t>
      </w:r>
      <w:proofErr w:type="spellStart"/>
      <w:r w:rsidRPr="009068DF">
        <w:rPr>
          <w:rFonts w:cs="Courier New"/>
          <w:sz w:val="24"/>
        </w:rPr>
        <w:t>accepte_le_code_de_conduite</w:t>
      </w:r>
      <w:proofErr w:type="spellEnd"/>
      <w:r w:rsidRPr="009068DF">
        <w:rPr>
          <w:rFonts w:ascii="Tw Cen MT" w:hAnsi="Tw Cen MT"/>
          <w:sz w:val="24"/>
        </w:rPr>
        <w:t>. Tout ce qui est présent dans ce dossier sera visible sur le web.</w:t>
      </w:r>
    </w:p>
    <w:p w:rsidR="00320740" w:rsidRPr="009068DF" w:rsidRDefault="00320740" w:rsidP="00320740">
      <w:pPr>
        <w:pStyle w:val="Paragraphedeliste"/>
        <w:numPr>
          <w:ilvl w:val="0"/>
          <w:numId w:val="4"/>
        </w:numPr>
        <w:spacing w:after="200" w:line="276" w:lineRule="auto"/>
        <w:rPr>
          <w:rFonts w:ascii="Tw Cen MT" w:hAnsi="Tw Cen MT"/>
          <w:sz w:val="24"/>
        </w:rPr>
      </w:pPr>
      <w:r w:rsidRPr="009068DF">
        <w:rPr>
          <w:rFonts w:ascii="Tw Cen MT" w:hAnsi="Tw Cen MT"/>
          <w:sz w:val="24"/>
        </w:rPr>
        <w:t xml:space="preserve">Déposer dans ce dossier </w:t>
      </w:r>
      <w:r w:rsidRPr="009068DF">
        <w:rPr>
          <w:rFonts w:cs="Courier New"/>
          <w:sz w:val="24"/>
        </w:rPr>
        <w:t>J’</w:t>
      </w:r>
      <w:proofErr w:type="spellStart"/>
      <w:r w:rsidRPr="009068DF">
        <w:rPr>
          <w:rFonts w:cs="Courier New"/>
          <w:sz w:val="24"/>
        </w:rPr>
        <w:t>accepte_le_code_de_conduite</w:t>
      </w:r>
      <w:proofErr w:type="spellEnd"/>
      <w:r w:rsidR="009068DF">
        <w:rPr>
          <w:rFonts w:ascii="Tw Cen MT" w:hAnsi="Tw Cen MT"/>
          <w:sz w:val="24"/>
        </w:rPr>
        <w:t>, le dossier du nom de votre</w:t>
      </w:r>
      <w:r w:rsidRPr="009068DF">
        <w:rPr>
          <w:rFonts w:ascii="Tw Cen MT" w:hAnsi="Tw Cen MT"/>
          <w:sz w:val="24"/>
        </w:rPr>
        <w:t xml:space="preserve"> package contenant les fichiers .class de vos applets ( car on ne veut pas déposer nos codes sources sur le web )</w:t>
      </w:r>
    </w:p>
    <w:p w:rsidR="00320740" w:rsidRPr="009068DF" w:rsidRDefault="00320740" w:rsidP="00320740">
      <w:pPr>
        <w:pStyle w:val="Paragraphedeliste"/>
        <w:numPr>
          <w:ilvl w:val="0"/>
          <w:numId w:val="4"/>
        </w:numPr>
        <w:spacing w:after="200" w:line="276" w:lineRule="auto"/>
        <w:rPr>
          <w:rFonts w:ascii="Tw Cen MT" w:hAnsi="Tw Cen MT"/>
          <w:sz w:val="24"/>
        </w:rPr>
      </w:pPr>
      <w:r w:rsidRPr="009068DF">
        <w:rPr>
          <w:rFonts w:ascii="Tw Cen MT" w:hAnsi="Tw Cen MT"/>
          <w:sz w:val="24"/>
        </w:rPr>
        <w:t xml:space="preserve">Déposer à la racine du  dossier </w:t>
      </w:r>
      <w:r w:rsidRPr="009068DF">
        <w:rPr>
          <w:rFonts w:cs="Courier New"/>
          <w:sz w:val="24"/>
        </w:rPr>
        <w:t>J’</w:t>
      </w:r>
      <w:proofErr w:type="spellStart"/>
      <w:r w:rsidRPr="009068DF">
        <w:rPr>
          <w:rFonts w:cs="Courier New"/>
          <w:sz w:val="24"/>
        </w:rPr>
        <w:t>accepte_le_code_de_conduite</w:t>
      </w:r>
      <w:proofErr w:type="spellEnd"/>
      <w:r w:rsidRPr="009068DF">
        <w:rPr>
          <w:rFonts w:ascii="Tw Cen MT" w:hAnsi="Tw Cen MT"/>
          <w:sz w:val="24"/>
        </w:rPr>
        <w:t xml:space="preserve">,  les fichiers </w:t>
      </w:r>
      <w:r w:rsidRPr="009068DF">
        <w:rPr>
          <w:rFonts w:cs="Courier New"/>
          <w:sz w:val="24"/>
        </w:rPr>
        <w:t>.html</w:t>
      </w:r>
      <w:r w:rsidRPr="009068DF">
        <w:rPr>
          <w:rFonts w:ascii="Tw Cen MT" w:hAnsi="Tw Cen MT"/>
          <w:sz w:val="24"/>
        </w:rPr>
        <w:t xml:space="preserve"> contenant les balises </w:t>
      </w:r>
      <w:r w:rsidRPr="009068DF">
        <w:rPr>
          <w:rFonts w:cs="Courier New"/>
          <w:sz w:val="24"/>
        </w:rPr>
        <w:t>&lt;applet&gt;</w:t>
      </w:r>
    </w:p>
    <w:p w:rsidR="00320740" w:rsidRPr="009068DF" w:rsidRDefault="009068DF" w:rsidP="009068DF">
      <w:pPr>
        <w:pStyle w:val="Paragraphedeliste"/>
        <w:numPr>
          <w:ilvl w:val="0"/>
          <w:numId w:val="4"/>
        </w:numPr>
        <w:rPr>
          <w:rFonts w:ascii="Tw Cen MT" w:hAnsi="Tw Cen MT"/>
          <w:sz w:val="24"/>
        </w:rPr>
      </w:pPr>
      <w:r w:rsidRPr="009068DF">
        <w:rPr>
          <w:rFonts w:ascii="Tw Cen MT" w:hAnsi="Tw Cen MT"/>
          <w:sz w:val="24"/>
        </w:rPr>
        <w:t xml:space="preserve">Si ce n'est pas déjà fait, créez-vous une page d'accueil qui doit s'appeler </w:t>
      </w:r>
      <w:r w:rsidRPr="009068DF">
        <w:rPr>
          <w:rFonts w:cs="Courier New"/>
          <w:sz w:val="24"/>
        </w:rPr>
        <w:t>index.htm</w:t>
      </w:r>
    </w:p>
    <w:p w:rsidR="009068DF" w:rsidRDefault="009068DF" w:rsidP="009068DF">
      <w:pPr>
        <w:pStyle w:val="Paragraphedeliste"/>
        <w:rPr>
          <w:rFonts w:ascii="Tw Cen MT" w:hAnsi="Tw Cen MT"/>
          <w:sz w:val="24"/>
        </w:rPr>
      </w:pPr>
    </w:p>
    <w:p w:rsidR="009068DF" w:rsidRDefault="009068DF" w:rsidP="009068DF">
      <w:pPr>
        <w:pStyle w:val="Paragraphedeliste"/>
        <w:rPr>
          <w:rFonts w:ascii="Tw Cen MT" w:hAnsi="Tw Cen MT"/>
          <w:sz w:val="24"/>
        </w:rPr>
      </w:pPr>
    </w:p>
    <w:p w:rsidR="009068DF" w:rsidRDefault="009068DF" w:rsidP="009068DF">
      <w:pPr>
        <w:pStyle w:val="Paragraphedeliste"/>
        <w:rPr>
          <w:rFonts w:ascii="Tw Cen MT" w:hAnsi="Tw Cen MT"/>
          <w:sz w:val="24"/>
        </w:rPr>
      </w:pPr>
    </w:p>
    <w:p w:rsidR="009068DF" w:rsidRPr="009068DF" w:rsidRDefault="009068DF" w:rsidP="009068DF">
      <w:pPr>
        <w:pStyle w:val="Paragraphedeliste"/>
        <w:rPr>
          <w:rFonts w:ascii="Tw Cen MT" w:hAnsi="Tw Cen MT"/>
          <w:sz w:val="24"/>
        </w:rPr>
      </w:pPr>
    </w:p>
    <w:p w:rsidR="00320740" w:rsidRPr="009068DF" w:rsidRDefault="009068DF" w:rsidP="00320740">
      <w:pPr>
        <w:ind w:left="36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Le fichier index.htm</w:t>
      </w:r>
      <w:r w:rsidR="00320740" w:rsidRPr="009068DF">
        <w:rPr>
          <w:rFonts w:ascii="Tw Cen MT" w:hAnsi="Tw Cen MT"/>
          <w:sz w:val="24"/>
        </w:rPr>
        <w:t xml:space="preserve"> sera la page d’accueil de votre site, apparaissant lorsqu’on tape l’adresse : </w:t>
      </w:r>
      <w:hyperlink r:id="rId10" w:history="1">
        <w:r w:rsidR="00320740" w:rsidRPr="009068DF">
          <w:rPr>
            <w:rStyle w:val="Lienhypertexte"/>
            <w:rFonts w:ascii="Tw Cen MT" w:hAnsi="Tw Cen MT"/>
            <w:sz w:val="24"/>
          </w:rPr>
          <w:t>www.cvm.qc.ca/numéro_de_matricule</w:t>
        </w:r>
      </w:hyperlink>
    </w:p>
    <w:p w:rsidR="00320740" w:rsidRPr="009068DF" w:rsidRDefault="00320740" w:rsidP="00320740">
      <w:pPr>
        <w:ind w:left="360"/>
        <w:rPr>
          <w:rFonts w:ascii="Tw Cen MT" w:hAnsi="Tw Cen MT"/>
          <w:sz w:val="24"/>
        </w:rPr>
      </w:pPr>
      <w:r w:rsidRPr="009068DF">
        <w:rPr>
          <w:rFonts w:ascii="Tw Cen MT" w:hAnsi="Tw Cen MT"/>
          <w:sz w:val="24"/>
        </w:rPr>
        <w:t xml:space="preserve">Vous pouvez accéder aux autres pages également : </w:t>
      </w:r>
      <w:hyperlink r:id="rId11" w:history="1">
        <w:r w:rsidRPr="009068DF">
          <w:rPr>
            <w:rStyle w:val="Lienhypertexte"/>
            <w:rFonts w:ascii="Tw Cen MT" w:hAnsi="Tw Cen MT"/>
            <w:sz w:val="24"/>
          </w:rPr>
          <w:t>www.cvm.qc.ca/numéro_de_matricule/BonneFete.html</w:t>
        </w:r>
      </w:hyperlink>
    </w:p>
    <w:p w:rsidR="00320740" w:rsidRDefault="00320740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</w:pPr>
    </w:p>
    <w:p w:rsidR="009068DF" w:rsidRDefault="009068DF" w:rsidP="00320740">
      <w:pPr>
        <w:rPr>
          <w:sz w:val="24"/>
        </w:rPr>
        <w:sectPr w:rsidR="009068DF" w:rsidSect="009068D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9068DF" w:rsidRDefault="009068DF" w:rsidP="0032074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120"/>
        <w:gridCol w:w="3812"/>
      </w:tblGrid>
      <w:tr w:rsidR="009068DF" w:rsidRPr="009068DF" w:rsidTr="009B22B8">
        <w:tc>
          <w:tcPr>
            <w:tcW w:w="3168" w:type="dxa"/>
          </w:tcPr>
          <w:p w:rsidR="009068DF" w:rsidRPr="009068DF" w:rsidRDefault="009068DF" w:rsidP="009068DF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9068DF">
              <w:rPr>
                <w:rFonts w:ascii="Tw Cen MT" w:hAnsi="Tw Cen MT"/>
                <w:b/>
                <w:sz w:val="28"/>
                <w:szCs w:val="28"/>
              </w:rPr>
              <w:t xml:space="preserve">Méthodes </w:t>
            </w:r>
          </w:p>
        </w:tc>
        <w:tc>
          <w:tcPr>
            <w:tcW w:w="6120" w:type="dxa"/>
          </w:tcPr>
          <w:p w:rsidR="009068DF" w:rsidRPr="009068DF" w:rsidRDefault="009068DF" w:rsidP="009068DF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9068DF">
              <w:rPr>
                <w:rFonts w:ascii="Tw Cen MT" w:hAnsi="Tw Cen MT"/>
                <w:b/>
                <w:sz w:val="28"/>
                <w:szCs w:val="28"/>
              </w:rPr>
              <w:t xml:space="preserve">Utilité </w:t>
            </w:r>
          </w:p>
        </w:tc>
        <w:tc>
          <w:tcPr>
            <w:tcW w:w="3812" w:type="dxa"/>
          </w:tcPr>
          <w:p w:rsidR="009068DF" w:rsidRPr="009068DF" w:rsidRDefault="009068DF" w:rsidP="009068DF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9068DF">
              <w:rPr>
                <w:rFonts w:ascii="Tw Cen MT" w:hAnsi="Tw Cen MT"/>
                <w:b/>
                <w:sz w:val="28"/>
                <w:szCs w:val="28"/>
              </w:rPr>
              <w:t>Moment de l’appel automatique</w:t>
            </w:r>
          </w:p>
        </w:tc>
      </w:tr>
    </w:tbl>
    <w:p w:rsidR="009068DF" w:rsidRDefault="009068DF" w:rsidP="0032074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120"/>
        <w:gridCol w:w="3812"/>
      </w:tblGrid>
      <w:tr w:rsidR="009068DF" w:rsidRPr="009068DF" w:rsidTr="009B22B8">
        <w:tc>
          <w:tcPr>
            <w:tcW w:w="3168" w:type="dxa"/>
          </w:tcPr>
          <w:p w:rsidR="009068DF" w:rsidRPr="009068DF" w:rsidRDefault="009068DF" w:rsidP="009068DF">
            <w:pPr>
              <w:rPr>
                <w:rFonts w:cs="Courier New"/>
                <w:szCs w:val="20"/>
              </w:rPr>
            </w:pPr>
            <w:r w:rsidRPr="009068DF">
              <w:rPr>
                <w:rFonts w:cs="Courier New"/>
                <w:szCs w:val="20"/>
              </w:rPr>
              <w:t xml:space="preserve">public </w:t>
            </w:r>
            <w:proofErr w:type="spellStart"/>
            <w:r w:rsidRPr="009068DF">
              <w:rPr>
                <w:rFonts w:cs="Courier New"/>
                <w:szCs w:val="20"/>
              </w:rPr>
              <w:t>void</w:t>
            </w:r>
            <w:proofErr w:type="spellEnd"/>
            <w:r w:rsidRPr="009068DF">
              <w:rPr>
                <w:rFonts w:cs="Courier New"/>
                <w:szCs w:val="20"/>
              </w:rPr>
              <w:t xml:space="preserve"> </w:t>
            </w:r>
            <w:proofErr w:type="spellStart"/>
            <w:r w:rsidRPr="009068DF">
              <w:rPr>
                <w:rFonts w:cs="Courier New"/>
                <w:szCs w:val="20"/>
              </w:rPr>
              <w:t>init</w:t>
            </w:r>
            <w:proofErr w:type="spellEnd"/>
            <w:r w:rsidRPr="009068DF">
              <w:rPr>
                <w:rFonts w:cs="Courier New"/>
                <w:szCs w:val="20"/>
              </w:rPr>
              <w:t>()</w:t>
            </w:r>
          </w:p>
        </w:tc>
        <w:tc>
          <w:tcPr>
            <w:tcW w:w="6120" w:type="dxa"/>
          </w:tcPr>
          <w:p w:rsidR="009068DF" w:rsidRPr="009068DF" w:rsidRDefault="009068DF" w:rsidP="009068DF">
            <w:pPr>
              <w:numPr>
                <w:ilvl w:val="0"/>
                <w:numId w:val="5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Initialiser les variables d’instance  ( rôle du constructeur )</w:t>
            </w:r>
          </w:p>
          <w:p w:rsidR="009068DF" w:rsidRPr="009068DF" w:rsidRDefault="009068DF" w:rsidP="009068DF">
            <w:pPr>
              <w:numPr>
                <w:ilvl w:val="0"/>
                <w:numId w:val="5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Inscrire l’applet auprès d’écouteurs</w:t>
            </w:r>
          </w:p>
          <w:p w:rsidR="009068DF" w:rsidRPr="009068DF" w:rsidRDefault="009068DF" w:rsidP="009068DF">
            <w:pPr>
              <w:numPr>
                <w:ilvl w:val="0"/>
                <w:numId w:val="5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Créer des composants GUI</w:t>
            </w:r>
          </w:p>
          <w:p w:rsidR="009068DF" w:rsidRPr="009068DF" w:rsidRDefault="009068DF" w:rsidP="009068DF">
            <w:pPr>
              <w:numPr>
                <w:ilvl w:val="0"/>
                <w:numId w:val="5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Inscrire des composants GUI auprès d’écouteurs</w:t>
            </w:r>
          </w:p>
          <w:p w:rsidR="009068DF" w:rsidRPr="009068DF" w:rsidRDefault="009068DF" w:rsidP="009068D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Créer des processus ( threads )</w:t>
            </w:r>
          </w:p>
        </w:tc>
        <w:tc>
          <w:tcPr>
            <w:tcW w:w="3812" w:type="dxa"/>
          </w:tcPr>
          <w:p w:rsidR="009068DF" w:rsidRPr="009068DF" w:rsidRDefault="009068DF" w:rsidP="009068DF">
            <w:pPr>
              <w:numPr>
                <w:ilvl w:val="0"/>
                <w:numId w:val="5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Appelée une seule fois par le navigateur, tout de suite après la création de l’applet</w:t>
            </w:r>
          </w:p>
        </w:tc>
      </w:tr>
      <w:tr w:rsidR="009068DF" w:rsidRPr="009068DF" w:rsidTr="009B22B8">
        <w:tc>
          <w:tcPr>
            <w:tcW w:w="3168" w:type="dxa"/>
          </w:tcPr>
          <w:p w:rsidR="009068DF" w:rsidRPr="009068DF" w:rsidRDefault="009068DF" w:rsidP="009068DF">
            <w:pPr>
              <w:rPr>
                <w:rFonts w:cs="Courier New"/>
                <w:szCs w:val="20"/>
              </w:rPr>
            </w:pPr>
            <w:r w:rsidRPr="009068DF">
              <w:rPr>
                <w:rFonts w:cs="Courier New"/>
                <w:szCs w:val="20"/>
              </w:rPr>
              <w:t xml:space="preserve">public </w:t>
            </w:r>
            <w:proofErr w:type="spellStart"/>
            <w:r w:rsidRPr="009068DF">
              <w:rPr>
                <w:rFonts w:cs="Courier New"/>
                <w:szCs w:val="20"/>
              </w:rPr>
              <w:t>void</w:t>
            </w:r>
            <w:proofErr w:type="spellEnd"/>
            <w:r w:rsidRPr="009068DF">
              <w:rPr>
                <w:rFonts w:cs="Courier New"/>
                <w:szCs w:val="20"/>
              </w:rPr>
              <w:t xml:space="preserve"> </w:t>
            </w:r>
            <w:proofErr w:type="spellStart"/>
            <w:r w:rsidRPr="009068DF">
              <w:rPr>
                <w:rFonts w:cs="Courier New"/>
                <w:szCs w:val="20"/>
              </w:rPr>
              <w:t>start</w:t>
            </w:r>
            <w:proofErr w:type="spellEnd"/>
            <w:r w:rsidRPr="009068DF">
              <w:rPr>
                <w:rFonts w:cs="Courier New"/>
                <w:szCs w:val="20"/>
              </w:rPr>
              <w:t xml:space="preserve"> ()</w:t>
            </w:r>
          </w:p>
        </w:tc>
        <w:tc>
          <w:tcPr>
            <w:tcW w:w="6120" w:type="dxa"/>
          </w:tcPr>
          <w:p w:rsidR="009068DF" w:rsidRPr="009068DF" w:rsidRDefault="009068DF" w:rsidP="009068DF">
            <w:pPr>
              <w:numPr>
                <w:ilvl w:val="0"/>
                <w:numId w:val="6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Démarrer toute tâche qui doit être exécutée chaque fois que l’applet redevient visible ( exemple : lancer une animation )</w:t>
            </w:r>
          </w:p>
          <w:p w:rsidR="009068DF" w:rsidRPr="009068DF" w:rsidRDefault="009068DF" w:rsidP="009068DF">
            <w:pPr>
              <w:jc w:val="both"/>
              <w:rPr>
                <w:rFonts w:ascii="Tw Cen MT" w:hAnsi="Tw Cen MT"/>
                <w:sz w:val="24"/>
              </w:rPr>
            </w:pPr>
          </w:p>
          <w:p w:rsidR="009068DF" w:rsidRPr="009068DF" w:rsidRDefault="009068DF" w:rsidP="009068DF">
            <w:pPr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 xml:space="preserve">Il est rarement nécessaire de </w:t>
            </w:r>
            <w:proofErr w:type="spellStart"/>
            <w:r w:rsidRPr="009068DF">
              <w:rPr>
                <w:rFonts w:ascii="Tw Cen MT" w:hAnsi="Tw Cen MT"/>
                <w:sz w:val="24"/>
              </w:rPr>
              <w:t>rédéfinir</w:t>
            </w:r>
            <w:proofErr w:type="spellEnd"/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068DF">
              <w:rPr>
                <w:rFonts w:ascii="Courier" w:hAnsi="Courier"/>
                <w:sz w:val="24"/>
              </w:rPr>
              <w:t>start</w:t>
            </w:r>
            <w:proofErr w:type="spellEnd"/>
          </w:p>
        </w:tc>
        <w:tc>
          <w:tcPr>
            <w:tcW w:w="3812" w:type="dxa"/>
          </w:tcPr>
          <w:p w:rsidR="009068DF" w:rsidRPr="009068DF" w:rsidRDefault="009068DF" w:rsidP="009068DF">
            <w:pPr>
              <w:numPr>
                <w:ilvl w:val="0"/>
                <w:numId w:val="6"/>
              </w:numPr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Appelée après l’exécution complète de</w:t>
            </w:r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068DF">
              <w:rPr>
                <w:rFonts w:ascii="Times New Roman" w:hAnsi="Times New Roman"/>
                <w:sz w:val="24"/>
              </w:rPr>
              <w:t>init</w:t>
            </w:r>
            <w:proofErr w:type="spellEnd"/>
            <w:r w:rsidRPr="009068DF">
              <w:rPr>
                <w:rFonts w:ascii="Times New Roman" w:hAnsi="Times New Roman"/>
                <w:sz w:val="24"/>
              </w:rPr>
              <w:t xml:space="preserve">() </w:t>
            </w:r>
            <w:r w:rsidRPr="009068DF">
              <w:rPr>
                <w:rFonts w:ascii="Tw Cen MT" w:hAnsi="Tw Cen MT"/>
                <w:sz w:val="24"/>
              </w:rPr>
              <w:t>et chaque fois que l’applet redevient visible ( après consultation d’une autre page web par exemple )</w:t>
            </w:r>
          </w:p>
        </w:tc>
      </w:tr>
      <w:tr w:rsidR="009068DF" w:rsidRPr="009068DF" w:rsidTr="009B22B8">
        <w:tc>
          <w:tcPr>
            <w:tcW w:w="3168" w:type="dxa"/>
          </w:tcPr>
          <w:p w:rsidR="009068DF" w:rsidRPr="009068DF" w:rsidRDefault="009068DF" w:rsidP="009068DF">
            <w:pPr>
              <w:rPr>
                <w:rFonts w:cs="Courier New"/>
                <w:szCs w:val="20"/>
              </w:rPr>
            </w:pPr>
            <w:r w:rsidRPr="009068DF">
              <w:rPr>
                <w:rFonts w:cs="Courier New"/>
                <w:szCs w:val="20"/>
              </w:rPr>
              <w:t xml:space="preserve">public </w:t>
            </w:r>
            <w:proofErr w:type="spellStart"/>
            <w:r w:rsidRPr="009068DF">
              <w:rPr>
                <w:rFonts w:cs="Courier New"/>
                <w:szCs w:val="20"/>
              </w:rPr>
              <w:t>void</w:t>
            </w:r>
            <w:proofErr w:type="spellEnd"/>
            <w:r w:rsidRPr="009068DF">
              <w:rPr>
                <w:rFonts w:cs="Courier New"/>
                <w:szCs w:val="20"/>
              </w:rPr>
              <w:t xml:space="preserve"> </w:t>
            </w:r>
            <w:proofErr w:type="spellStart"/>
            <w:r w:rsidRPr="009068DF">
              <w:rPr>
                <w:rFonts w:cs="Courier New"/>
                <w:szCs w:val="20"/>
              </w:rPr>
              <w:t>paint</w:t>
            </w:r>
            <w:proofErr w:type="spellEnd"/>
            <w:r w:rsidRPr="009068DF">
              <w:rPr>
                <w:rFonts w:cs="Courier New"/>
                <w:szCs w:val="20"/>
              </w:rPr>
              <w:t xml:space="preserve"> </w:t>
            </w:r>
          </w:p>
          <w:p w:rsidR="009068DF" w:rsidRPr="009068DF" w:rsidRDefault="009068DF" w:rsidP="009068DF">
            <w:pPr>
              <w:rPr>
                <w:rFonts w:ascii="Courier" w:hAnsi="Courier"/>
                <w:sz w:val="22"/>
              </w:rPr>
            </w:pPr>
            <w:r w:rsidRPr="009068DF">
              <w:rPr>
                <w:rFonts w:cs="Courier New"/>
                <w:szCs w:val="20"/>
              </w:rPr>
              <w:t xml:space="preserve">( </w:t>
            </w:r>
            <w:proofErr w:type="spellStart"/>
            <w:r w:rsidRPr="009068DF">
              <w:rPr>
                <w:rFonts w:cs="Courier New"/>
                <w:szCs w:val="20"/>
              </w:rPr>
              <w:t>Graphics</w:t>
            </w:r>
            <w:proofErr w:type="spellEnd"/>
            <w:r w:rsidRPr="009068DF">
              <w:rPr>
                <w:rFonts w:cs="Courier New"/>
                <w:szCs w:val="20"/>
              </w:rPr>
              <w:t xml:space="preserve"> g )</w:t>
            </w:r>
          </w:p>
        </w:tc>
        <w:tc>
          <w:tcPr>
            <w:tcW w:w="6120" w:type="dxa"/>
          </w:tcPr>
          <w:p w:rsidR="009068DF" w:rsidRPr="009068DF" w:rsidRDefault="009068DF" w:rsidP="009068DF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Dessiner sur l’applet à l’aide de l’objet graphique</w:t>
            </w:r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r w:rsidRPr="009068DF">
              <w:rPr>
                <w:rFonts w:ascii="Courier" w:hAnsi="Courier"/>
                <w:sz w:val="24"/>
              </w:rPr>
              <w:t>g</w:t>
            </w:r>
            <w:r w:rsidRPr="009068DF">
              <w:rPr>
                <w:rFonts w:ascii="Times New Roman" w:hAnsi="Times New Roman"/>
                <w:sz w:val="24"/>
              </w:rPr>
              <w:t xml:space="preserve">, </w:t>
            </w:r>
            <w:r w:rsidRPr="009068DF">
              <w:rPr>
                <w:rFonts w:ascii="Tw Cen MT" w:hAnsi="Tw Cen MT"/>
                <w:sz w:val="24"/>
              </w:rPr>
              <w:t>de type</w:t>
            </w:r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068DF">
              <w:rPr>
                <w:rFonts w:ascii="Courier" w:hAnsi="Courier"/>
                <w:sz w:val="24"/>
              </w:rPr>
              <w:t>Graphics</w:t>
            </w:r>
            <w:proofErr w:type="spellEnd"/>
            <w:r w:rsidRPr="009068DF">
              <w:rPr>
                <w:rFonts w:ascii="Times New Roman" w:hAnsi="Times New Roman"/>
                <w:sz w:val="24"/>
              </w:rPr>
              <w:t>,</w:t>
            </w:r>
            <w:r w:rsidRPr="009068DF">
              <w:rPr>
                <w:rFonts w:ascii="Tw Cen MT" w:hAnsi="Tw Cen MT"/>
                <w:sz w:val="24"/>
              </w:rPr>
              <w:t xml:space="preserve"> passé en paramètre</w:t>
            </w:r>
          </w:p>
          <w:p w:rsidR="009068DF" w:rsidRPr="009068DF" w:rsidRDefault="009068DF" w:rsidP="009068DF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 xml:space="preserve">La méthode </w:t>
            </w:r>
            <w:proofErr w:type="spellStart"/>
            <w:r w:rsidRPr="009068DF">
              <w:rPr>
                <w:rFonts w:ascii="Courier" w:hAnsi="Courier"/>
                <w:sz w:val="24"/>
              </w:rPr>
              <w:t>paint</w:t>
            </w:r>
            <w:proofErr w:type="spellEnd"/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r w:rsidRPr="009068DF">
              <w:rPr>
                <w:rFonts w:ascii="Tw Cen MT" w:hAnsi="Tw Cen MT"/>
                <w:sz w:val="24"/>
              </w:rPr>
              <w:t xml:space="preserve">doit être redéfinie si on dessine sur l’applet </w:t>
            </w:r>
          </w:p>
        </w:tc>
        <w:tc>
          <w:tcPr>
            <w:tcW w:w="3812" w:type="dxa"/>
          </w:tcPr>
          <w:p w:rsidR="009068DF" w:rsidRPr="009068DF" w:rsidRDefault="009068DF" w:rsidP="009068DF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Appelée après les appels à</w:t>
            </w:r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068DF">
              <w:rPr>
                <w:rFonts w:ascii="Courier" w:hAnsi="Courier"/>
                <w:sz w:val="24"/>
              </w:rPr>
              <w:t>init</w:t>
            </w:r>
            <w:proofErr w:type="spellEnd"/>
            <w:r w:rsidRPr="009068DF">
              <w:rPr>
                <w:rFonts w:ascii="Times New Roman" w:hAnsi="Times New Roman"/>
                <w:sz w:val="24"/>
              </w:rPr>
              <w:t xml:space="preserve">() </w:t>
            </w:r>
            <w:r w:rsidRPr="009068DF">
              <w:rPr>
                <w:rFonts w:ascii="Tw Cen MT" w:hAnsi="Tw Cen MT"/>
                <w:sz w:val="24"/>
              </w:rPr>
              <w:t>et à</w:t>
            </w:r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068DF">
              <w:rPr>
                <w:rFonts w:ascii="Courier" w:hAnsi="Courier"/>
                <w:sz w:val="24"/>
              </w:rPr>
              <w:t>start</w:t>
            </w:r>
            <w:proofErr w:type="spellEnd"/>
            <w:r w:rsidRPr="009068DF">
              <w:rPr>
                <w:rFonts w:ascii="Times New Roman" w:hAnsi="Times New Roman"/>
                <w:sz w:val="24"/>
              </w:rPr>
              <w:t>().</w:t>
            </w:r>
          </w:p>
          <w:p w:rsidR="009068DF" w:rsidRPr="009068DF" w:rsidRDefault="009068DF" w:rsidP="009068DF">
            <w:pPr>
              <w:numPr>
                <w:ilvl w:val="0"/>
                <w:numId w:val="7"/>
              </w:numPr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Est également appelée lorsque l’applet demande un réaffichage / rafraîchissement.</w:t>
            </w:r>
          </w:p>
        </w:tc>
      </w:tr>
      <w:tr w:rsidR="009068DF" w:rsidRPr="009068DF" w:rsidTr="009B22B8">
        <w:tc>
          <w:tcPr>
            <w:tcW w:w="3168" w:type="dxa"/>
          </w:tcPr>
          <w:p w:rsidR="009068DF" w:rsidRPr="009068DF" w:rsidRDefault="009068DF" w:rsidP="009068DF">
            <w:pPr>
              <w:rPr>
                <w:rFonts w:cs="Courier New"/>
                <w:szCs w:val="20"/>
              </w:rPr>
            </w:pPr>
            <w:r w:rsidRPr="009068DF">
              <w:rPr>
                <w:rFonts w:cs="Courier New"/>
                <w:szCs w:val="20"/>
              </w:rPr>
              <w:t xml:space="preserve">public </w:t>
            </w:r>
            <w:proofErr w:type="spellStart"/>
            <w:r w:rsidRPr="009068DF">
              <w:rPr>
                <w:rFonts w:cs="Courier New"/>
                <w:szCs w:val="20"/>
              </w:rPr>
              <w:t>void</w:t>
            </w:r>
            <w:proofErr w:type="spellEnd"/>
            <w:r w:rsidRPr="009068DF">
              <w:rPr>
                <w:rFonts w:cs="Courier New"/>
                <w:szCs w:val="20"/>
              </w:rPr>
              <w:t xml:space="preserve"> stop()</w:t>
            </w:r>
          </w:p>
        </w:tc>
        <w:tc>
          <w:tcPr>
            <w:tcW w:w="6120" w:type="dxa"/>
          </w:tcPr>
          <w:p w:rsidR="009068DF" w:rsidRPr="009068DF" w:rsidRDefault="009068DF" w:rsidP="009068DF">
            <w:pPr>
              <w:numPr>
                <w:ilvl w:val="0"/>
                <w:numId w:val="8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 xml:space="preserve">Arrêter l’exécution de l’applet et toute tâche dont l’exécution doit se terminer lorsque l’applet n’est plus visible ( exemple : arrêter une animation ) </w:t>
            </w:r>
          </w:p>
          <w:p w:rsidR="009068DF" w:rsidRPr="009068DF" w:rsidRDefault="009068DF" w:rsidP="009068DF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9068DF" w:rsidRPr="009068DF" w:rsidRDefault="009068DF" w:rsidP="009068DF">
            <w:pPr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Si aucun traitement particulier ne doit être exécuté lors de l’arrêt, la méthode</w:t>
            </w:r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r w:rsidRPr="009068DF">
              <w:rPr>
                <w:rFonts w:ascii="Courier" w:hAnsi="Courier"/>
                <w:sz w:val="24"/>
              </w:rPr>
              <w:t>stop</w:t>
            </w:r>
            <w:r w:rsidRPr="009068DF">
              <w:rPr>
                <w:rFonts w:ascii="Times New Roman" w:hAnsi="Times New Roman"/>
                <w:sz w:val="24"/>
              </w:rPr>
              <w:t xml:space="preserve">() </w:t>
            </w:r>
            <w:r w:rsidRPr="009068DF">
              <w:rPr>
                <w:rFonts w:ascii="Tw Cen MT" w:hAnsi="Tw Cen MT"/>
                <w:sz w:val="24"/>
              </w:rPr>
              <w:t>ne doit pas être redéfinie</w:t>
            </w:r>
            <w:r w:rsidRPr="009068DF">
              <w:rPr>
                <w:rFonts w:ascii="Times New Roman" w:hAnsi="Times New Roman"/>
                <w:sz w:val="24"/>
              </w:rPr>
              <w:t>.</w:t>
            </w:r>
          </w:p>
          <w:p w:rsidR="009068DF" w:rsidRPr="009068DF" w:rsidRDefault="009068DF" w:rsidP="009068DF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812" w:type="dxa"/>
          </w:tcPr>
          <w:p w:rsidR="009068DF" w:rsidRPr="009068DF" w:rsidRDefault="009068DF" w:rsidP="009068DF">
            <w:pPr>
              <w:numPr>
                <w:ilvl w:val="0"/>
                <w:numId w:val="8"/>
              </w:numPr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 xml:space="preserve">Appelée chaque fois que l’applet n’est plus visible </w:t>
            </w:r>
          </w:p>
        </w:tc>
      </w:tr>
      <w:tr w:rsidR="009068DF" w:rsidRPr="009068DF" w:rsidTr="009B22B8">
        <w:tc>
          <w:tcPr>
            <w:tcW w:w="3168" w:type="dxa"/>
          </w:tcPr>
          <w:p w:rsidR="009068DF" w:rsidRPr="009068DF" w:rsidRDefault="009068DF" w:rsidP="009068DF">
            <w:pPr>
              <w:rPr>
                <w:rFonts w:cs="Courier New"/>
                <w:szCs w:val="20"/>
              </w:rPr>
            </w:pPr>
            <w:r w:rsidRPr="009068DF">
              <w:rPr>
                <w:rFonts w:cs="Courier New"/>
                <w:szCs w:val="20"/>
              </w:rPr>
              <w:t xml:space="preserve">public </w:t>
            </w:r>
            <w:proofErr w:type="spellStart"/>
            <w:r w:rsidRPr="009068DF">
              <w:rPr>
                <w:rFonts w:cs="Courier New"/>
                <w:szCs w:val="20"/>
              </w:rPr>
              <w:t>void</w:t>
            </w:r>
            <w:proofErr w:type="spellEnd"/>
            <w:r w:rsidRPr="009068DF">
              <w:rPr>
                <w:rFonts w:cs="Courier New"/>
                <w:szCs w:val="20"/>
              </w:rPr>
              <w:t xml:space="preserve"> destroy()</w:t>
            </w:r>
          </w:p>
        </w:tc>
        <w:tc>
          <w:tcPr>
            <w:tcW w:w="6120" w:type="dxa"/>
          </w:tcPr>
          <w:p w:rsidR="009068DF" w:rsidRPr="009068DF" w:rsidRDefault="009068DF" w:rsidP="009068DF">
            <w:pPr>
              <w:numPr>
                <w:ilvl w:val="0"/>
                <w:numId w:val="9"/>
              </w:numPr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Détruire les ressources allouées à l’applet</w:t>
            </w:r>
          </w:p>
          <w:p w:rsidR="009068DF" w:rsidRPr="009068DF" w:rsidRDefault="009068DF" w:rsidP="009068DF">
            <w:pPr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En général,</w:t>
            </w:r>
            <w:r w:rsidRPr="009068DF">
              <w:rPr>
                <w:rFonts w:ascii="Times New Roman" w:hAnsi="Times New Roman"/>
                <w:sz w:val="24"/>
              </w:rPr>
              <w:t xml:space="preserve"> </w:t>
            </w:r>
            <w:r w:rsidRPr="009068DF">
              <w:rPr>
                <w:rFonts w:ascii="Courier" w:hAnsi="Courier"/>
                <w:sz w:val="24"/>
              </w:rPr>
              <w:t>destroy</w:t>
            </w:r>
            <w:r w:rsidRPr="009068DF">
              <w:rPr>
                <w:rFonts w:ascii="Times New Roman" w:hAnsi="Times New Roman"/>
                <w:sz w:val="24"/>
              </w:rPr>
              <w:t xml:space="preserve">() </w:t>
            </w:r>
            <w:r w:rsidRPr="009068DF">
              <w:rPr>
                <w:rFonts w:ascii="Tw Cen MT" w:hAnsi="Tw Cen MT"/>
                <w:sz w:val="24"/>
              </w:rPr>
              <w:t>n’a pas besoin d’être redéfinie</w:t>
            </w:r>
          </w:p>
        </w:tc>
        <w:tc>
          <w:tcPr>
            <w:tcW w:w="3812" w:type="dxa"/>
          </w:tcPr>
          <w:p w:rsidR="009068DF" w:rsidRPr="009068DF" w:rsidRDefault="009068DF" w:rsidP="009068DF">
            <w:pPr>
              <w:numPr>
                <w:ilvl w:val="0"/>
                <w:numId w:val="9"/>
              </w:numPr>
              <w:jc w:val="both"/>
              <w:rPr>
                <w:rFonts w:ascii="Tw Cen MT" w:hAnsi="Tw Cen MT"/>
                <w:sz w:val="24"/>
              </w:rPr>
            </w:pPr>
            <w:r w:rsidRPr="009068DF">
              <w:rPr>
                <w:rFonts w:ascii="Tw Cen MT" w:hAnsi="Tw Cen MT"/>
                <w:sz w:val="24"/>
              </w:rPr>
              <w:t>Appelée lorsque l’internaute termine son utilisation du navigateur</w:t>
            </w:r>
          </w:p>
        </w:tc>
      </w:tr>
      <w:tr w:rsidR="009068DF" w:rsidRPr="009068DF" w:rsidTr="009B22B8">
        <w:tc>
          <w:tcPr>
            <w:tcW w:w="3168" w:type="dxa"/>
          </w:tcPr>
          <w:p w:rsidR="009068DF" w:rsidRPr="009068DF" w:rsidRDefault="009068DF" w:rsidP="009068DF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120" w:type="dxa"/>
          </w:tcPr>
          <w:p w:rsidR="009068DF" w:rsidRPr="009068DF" w:rsidRDefault="009068DF" w:rsidP="009068DF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812" w:type="dxa"/>
          </w:tcPr>
          <w:p w:rsidR="009068DF" w:rsidRPr="009068DF" w:rsidRDefault="009068DF" w:rsidP="009068DF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9068DF" w:rsidRPr="009068DF" w:rsidRDefault="009068DF" w:rsidP="00320740">
      <w:pPr>
        <w:rPr>
          <w:sz w:val="24"/>
        </w:rPr>
      </w:pPr>
    </w:p>
    <w:sectPr w:rsidR="009068DF" w:rsidRPr="009068DF" w:rsidSect="009068DF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1B" w:rsidRDefault="00337D1B" w:rsidP="00A416ED">
      <w:r>
        <w:separator/>
      </w:r>
    </w:p>
  </w:endnote>
  <w:endnote w:type="continuationSeparator" w:id="0">
    <w:p w:rsidR="00337D1B" w:rsidRDefault="00337D1B" w:rsidP="00A41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EF" w:rsidRDefault="002069E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ED" w:rsidRDefault="00A416ED" w:rsidP="00A416ED">
    <w:pPr>
      <w:pStyle w:val="Pieddepage"/>
      <w:jc w:val="center"/>
    </w:pPr>
    <w:r>
      <w:rPr>
        <w:noProof/>
      </w:rPr>
      <w:drawing>
        <wp:inline distT="0" distB="0" distL="0" distR="0">
          <wp:extent cx="1988820" cy="693056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ode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8820" cy="693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EF" w:rsidRDefault="002069E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1B" w:rsidRDefault="00337D1B" w:rsidP="00A416ED">
      <w:r>
        <w:separator/>
      </w:r>
    </w:p>
  </w:footnote>
  <w:footnote w:type="continuationSeparator" w:id="0">
    <w:p w:rsidR="00337D1B" w:rsidRDefault="00337D1B" w:rsidP="00A416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40" w:rsidRDefault="0032074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ED" w:rsidRPr="00A416ED" w:rsidRDefault="00A416ED" w:rsidP="00A416ED">
    <w:pPr>
      <w:pStyle w:val="En-tte"/>
      <w:shd w:val="clear" w:color="auto" w:fill="D9D9D9" w:themeFill="background1" w:themeFillShade="D9"/>
      <w:jc w:val="center"/>
      <w:rPr>
        <w:rFonts w:ascii="Tw Cen MT" w:hAnsi="Tw Cen MT"/>
        <w:i/>
        <w:color w:val="000000" w:themeColor="text1"/>
        <w:sz w:val="24"/>
      </w:rPr>
    </w:pPr>
    <w:r w:rsidRPr="00A416ED">
      <w:rPr>
        <w:rFonts w:ascii="Tw Cen MT" w:hAnsi="Tw Cen MT"/>
        <w:i/>
        <w:color w:val="000000" w:themeColor="text1"/>
        <w:sz w:val="24"/>
      </w:rPr>
      <w:t>Cours 420-B43 Programmation objets avancée</w:t>
    </w:r>
  </w:p>
  <w:p w:rsidR="00A416ED" w:rsidRDefault="00A416ED" w:rsidP="00A416ED">
    <w:pPr>
      <w:pStyle w:val="En-tte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40" w:rsidRDefault="0032074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14E"/>
    <w:multiLevelType w:val="hybridMultilevel"/>
    <w:tmpl w:val="405C7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100F3"/>
    <w:multiLevelType w:val="hybridMultilevel"/>
    <w:tmpl w:val="CFAED214"/>
    <w:lvl w:ilvl="0" w:tplc="4B2C3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4D7F1B"/>
    <w:multiLevelType w:val="hybridMultilevel"/>
    <w:tmpl w:val="25CC55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471F9"/>
    <w:multiLevelType w:val="hybridMultilevel"/>
    <w:tmpl w:val="705A8BBA"/>
    <w:lvl w:ilvl="0" w:tplc="4B2C3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4A2CFE"/>
    <w:multiLevelType w:val="hybridMultilevel"/>
    <w:tmpl w:val="1BA6399E"/>
    <w:lvl w:ilvl="0" w:tplc="4B2C3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71378F"/>
    <w:multiLevelType w:val="hybridMultilevel"/>
    <w:tmpl w:val="CD082C24"/>
    <w:lvl w:ilvl="0" w:tplc="A4CCBA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A7BB2"/>
    <w:multiLevelType w:val="hybridMultilevel"/>
    <w:tmpl w:val="B55ADC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27A79"/>
    <w:multiLevelType w:val="hybridMultilevel"/>
    <w:tmpl w:val="C0D8ADCE"/>
    <w:lvl w:ilvl="0" w:tplc="4B2C3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FA7622"/>
    <w:multiLevelType w:val="hybridMultilevel"/>
    <w:tmpl w:val="0A0496A8"/>
    <w:lvl w:ilvl="0" w:tplc="4B2C3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F00FA"/>
    <w:rsid w:val="001F00FA"/>
    <w:rsid w:val="002069EF"/>
    <w:rsid w:val="00320740"/>
    <w:rsid w:val="00334B07"/>
    <w:rsid w:val="00337D1B"/>
    <w:rsid w:val="004A7618"/>
    <w:rsid w:val="005C6FDC"/>
    <w:rsid w:val="00604E99"/>
    <w:rsid w:val="0065314C"/>
    <w:rsid w:val="006B1AB3"/>
    <w:rsid w:val="009068DF"/>
    <w:rsid w:val="00A20F7C"/>
    <w:rsid w:val="00A416ED"/>
    <w:rsid w:val="00B35AC6"/>
    <w:rsid w:val="00B374B0"/>
    <w:rsid w:val="00B53EF3"/>
    <w:rsid w:val="00E44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16E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416ED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416E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16ED"/>
    <w:rPr>
      <w:rFonts w:ascii="Courier New" w:hAnsi="Courier New" w:cs="Times New Roman"/>
      <w:sz w:val="20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16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6ED"/>
    <w:rPr>
      <w:rFonts w:ascii="Tahoma" w:hAnsi="Tahoma" w:cs="Tahoma"/>
      <w:sz w:val="16"/>
      <w:szCs w:val="16"/>
      <w:lang w:eastAsia="fr-CA"/>
    </w:rPr>
  </w:style>
  <w:style w:type="paragraph" w:styleId="Paragraphedeliste">
    <w:name w:val="List Paragraph"/>
    <w:basedOn w:val="Normal"/>
    <w:uiPriority w:val="34"/>
    <w:qFormat/>
    <w:rsid w:val="001F00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20740"/>
    <w:rPr>
      <w:color w:val="0000FF" w:themeColor="hyperlink"/>
      <w:u w:val="single"/>
    </w:rPr>
  </w:style>
  <w:style w:type="character" w:styleId="Numrodepage">
    <w:name w:val="page number"/>
    <w:basedOn w:val="Policepardfaut"/>
    <w:uiPriority w:val="99"/>
    <w:unhideWhenUsed/>
    <w:rsid w:val="00206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16E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416ED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416E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16ED"/>
    <w:rPr>
      <w:rFonts w:ascii="Courier New" w:hAnsi="Courier New" w:cs="Times New Roman"/>
      <w:sz w:val="20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16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6ED"/>
    <w:rPr>
      <w:rFonts w:ascii="Tahoma" w:hAnsi="Tahoma" w:cs="Tahoma"/>
      <w:sz w:val="16"/>
      <w:szCs w:val="16"/>
      <w:lang w:eastAsia="fr-CA"/>
    </w:rPr>
  </w:style>
  <w:style w:type="paragraph" w:styleId="Paragraphedeliste">
    <w:name w:val="List Paragraph"/>
    <w:basedOn w:val="Normal"/>
    <w:uiPriority w:val="34"/>
    <w:qFormat/>
    <w:rsid w:val="001F00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20740"/>
    <w:rPr>
      <w:color w:val="0000FF" w:themeColor="hyperlink"/>
      <w:u w:val="single"/>
    </w:rPr>
  </w:style>
  <w:style w:type="character" w:styleId="Numrodepage">
    <w:name w:val="page number"/>
    <w:basedOn w:val="Policepardfaut"/>
    <w:uiPriority w:val="99"/>
    <w:unhideWhenUsed/>
    <w:rsid w:val="00206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vm.qc.ca/num&#233;ro_de_matricule/BonneFet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cvm.qc.ca/num&#233;ro_de_matricu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tp://edu.cvm.qc.ca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UTOMNE%202011\B43A11\annexes\Doc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FA11C-64B3-4E67-9813-79B01B55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Doc4.dotx</Template>
  <TotalTime>40</TotalTime>
  <Pages>3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admin</cp:lastModifiedBy>
  <cp:revision>6</cp:revision>
  <cp:lastPrinted>2011-10-24T00:56:00Z</cp:lastPrinted>
  <dcterms:created xsi:type="dcterms:W3CDTF">2011-10-23T21:51:00Z</dcterms:created>
  <dcterms:modified xsi:type="dcterms:W3CDTF">2012-12-10T03:15:00Z</dcterms:modified>
</cp:coreProperties>
</file>