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TZ+WLNBB+WICK analytics</w:t>
        <w:br/>
        <w:t>Methodology + Continuation Prompt</w:t>
      </w:r>
    </w:p>
    <w:p>
      <w:pPr>
        <w:jc w:val="center"/>
      </w:pPr>
      <w:r>
        <w:rPr>
          <w:rFonts w:ascii="Noto Sans Georgian" w:hAnsi="Noto Sans Georgian" w:eastAsia="Noto Sans Georgian"/>
          <w:color w:val="5A5A5A"/>
          <w:sz w:val="20"/>
        </w:rPr>
        <w:t>კვლევის ლოგიკა, quality gates და prompt სხვა სიგნალებზე გასაგრძელებლად</w:t>
      </w:r>
    </w:p>
    <w:p>
      <w:pPr>
        <w:pStyle w:val="Heading1"/>
      </w:pPr>
      <w:r>
        <w:t>1. Research goal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მიზანი არის თითოეული T/Z signal-ის რეალური statistical edge-ის პოვნა — არა მხოლოდ raw signal დონეზე, არამედ composite, wick, volume და 4-bar context დონეზე.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საბოლოო output უნდა იყოს scanner-ready წესები: LONG A / LONG B / SHORT A / SHORT B / REJECT / NO EDGE.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კვლევა უნდა იყოს reproducible: სხვა signal-ზე იგივე მეთოდოლოგია უნდა განმეორდეს.</w:t>
      </w:r>
    </w:p>
    <w:p>
      <w:pPr>
        <w:pStyle w:val="Heading1"/>
      </w:pPr>
      <w:r>
        <w:t>2. Input data requirements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Daily OHLCV rows თითო ticker-ზე.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Base signal label: T1/T1G/T2/T2G/T3/T4/T5/T6/T9/T10/T11/T12 და Z1/Z1G/Z2/Z2G/Z3/Z4/Z5/Z6/Z7/Z8/Z9/Z10/Z11/Z12.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Full composite label: base + L digits + E/N suffix + wick U/D/B suffix + penetration P/R/H suffix.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Forward returns: at least 1D, 3D, 5D, 10D.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EMA fields: EMA20/50/89 preferred; EMA50 transition is especially useful.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Price buckets: &lt;1, 1-5, 5-20, 20-50, 50+ or equivalent.</w:t>
      </w:r>
    </w:p>
    <w:p>
      <w:pPr>
        <w:pStyle w:val="Heading1"/>
      </w:pPr>
      <w:r>
        <w:t>3. Label logic reminders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160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Component</w:t>
            </w:r>
          </w:p>
        </w:tc>
        <w:tc>
          <w:tcPr>
            <w:tcW w:type="dxa" w:w="7920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T/Z base</w:t>
            </w:r>
          </w:p>
        </w:tc>
        <w:tc>
          <w:tcPr>
            <w:tcW w:type="dxa" w:w="79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Candle-pattern family. T generally bullish/reversal/continuation; Z generally bearish/rest/pressure, but forward edge may be long or short depending on context.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 digits</w:t>
            </w:r>
          </w:p>
        </w:tc>
        <w:tc>
          <w:tcPr>
            <w:tcW w:type="dxa" w:w="79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WLNBB volume/price behavior digits. L12, L34, L46, etc. are often more important than raw base label.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E/N suffix</w:t>
            </w:r>
          </w:p>
        </w:tc>
        <w:tc>
          <w:tcPr>
            <w:tcW w:type="dxa" w:w="79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E = close breaks previous range; N = close stays inside previous range.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U/D/B wick suffix</w:t>
            </w:r>
          </w:p>
        </w:tc>
        <w:tc>
          <w:tcPr>
            <w:tcW w:type="dxa" w:w="79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U = upper wick extension; D = lower wick extension; B = both-side wick extension.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P/R/H penetration suffix</w:t>
            </w:r>
          </w:p>
        </w:tc>
        <w:tc>
          <w:tcPr>
            <w:tcW w:type="dxa" w:w="79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P = current high enters previous upper wick zone; R = current low enters previous lower wick zone; H = both.</w:t>
            </w:r>
          </w:p>
        </w:tc>
      </w:tr>
    </w:tbl>
    <w:p/>
    <w:p>
      <w:pPr>
        <w:pStyle w:val="Heading1"/>
      </w:pPr>
      <w:r>
        <w:t>4. Correct 4-bar methodology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Final signal is fixed: e.g. final GOOD_T4 or final GOOD_T1.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Previous 3 bars must be unrestricted. Do not force Z→T→Z→T or T→Z→T.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Correct event structure: X → Y → Z → final signal, where X/Y/Z can be any T/Z family.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Because final T1/T4 often requires previous bearish context, prev1 naturally tends to be Z, but prev3/prev2 must not be artificially restricted.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Analyze both family structure and exact sequence. Example family: ZTZ → T; exact sequence: Z4 → T3 → Z9 → T4.</w:t>
      </w:r>
    </w:p>
    <w:p>
      <w:pPr>
        <w:spacing w:before="60" w:after="100"/>
        <w:ind w:left="360"/>
      </w:pPr>
      <w:r>
        <w:rPr>
          <w:rFonts w:ascii="DejaVu Sans Mono" w:hAnsi="DejaVu Sans Mono" w:eastAsia="DejaVu Sans Mono"/>
          <w:color w:val="3C3C3C"/>
          <w:sz w:val="16"/>
        </w:rPr>
        <w:t>Correct:  X/Y/Z unrestricted → final T</w:t>
        <w:br/>
        <w:t>Wrong:    force previous bars into Z→T→Z→T or T→Z→T</w:t>
      </w:r>
    </w:p>
    <w:p>
      <w:pPr>
        <w:pStyle w:val="Heading1"/>
      </w:pPr>
      <w:r>
        <w:t>5. Price-position metrics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setup_return_pct = (final close / first close - 1) * 100.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first_close_pos_4bar = first close position inside the 4-bar high-low range.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final_close_pos_4bar = final close position inside the same 4-bar high-low range.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final close top 75% of range is generally better for long-side confirmation.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Track EMA50 transition: below→above, below→below, above→above, above→below.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Track EMA20/50/89 reclaim on final bar.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448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Metric</w:t>
            </w:r>
          </w:p>
        </w:tc>
        <w:tc>
          <w:tcPr>
            <w:tcW w:type="dxa" w:w="7920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Formula / Use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setup_return_pct</w:t>
            </w:r>
          </w:p>
        </w:tc>
        <w:tc>
          <w:tcPr>
            <w:tcW w:type="dxa" w:w="79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(close_final / close_first - 1) * 100. Controlled 0% to +5% setup move is often useful.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close_pos_4bar</w:t>
            </w:r>
          </w:p>
        </w:tc>
        <w:tc>
          <w:tcPr>
            <w:tcW w:type="dxa" w:w="79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(close - low_4bar) / (high_4bar - low_4bar). Use 0-25, 25-50, 50-75, 75-90, 90-100 buckets.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EMA50 transition</w:t>
            </w:r>
          </w:p>
        </w:tc>
        <w:tc>
          <w:tcPr>
            <w:tcW w:type="dxa" w:w="79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Useful confirmation when first bar below EMA50 and final bar above EMA50.</w:t>
            </w:r>
          </w:p>
        </w:tc>
      </w:tr>
      <w:tr>
        <w:tc>
          <w:tcPr>
            <w:tcW w:type="dxa" w:w="244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Final range position</w:t>
            </w:r>
          </w:p>
        </w:tc>
        <w:tc>
          <w:tcPr>
            <w:tcW w:type="dxa" w:w="7920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Top 75% / top 90% of 4-bar range helps separate reclaim from weak bounce.</w:t>
            </w:r>
          </w:p>
        </w:tc>
      </w:tr>
    </w:tbl>
    <w:p/>
    <w:p>
      <w:pPr>
        <w:pStyle w:val="Heading1"/>
      </w:pPr>
      <w:r>
        <w:t>6. Statistical ranking rules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Use median 10D before raw average. Nasdaq low-price outliers can distort avg return.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Check win rate and fail rate. A pattern with positive avg but negative median is suspicious.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Require minimum count for broad rules. Small-count exact sequences can be saved as “candidate”, not hard rules.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Always split by price bucket and preferably by liquidity/volume bucket.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Bullish reject should be mirrored into short analysis; do not discard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2088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Classification</w:t>
            </w:r>
          </w:p>
        </w:tc>
        <w:tc>
          <w:tcPr>
            <w:tcW w:type="dxa" w:w="8424"/>
            <w:shd w:fill="E8EEF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/>
                <w:sz w:val="16"/>
              </w:rPr>
              <w:t>Suggested criteria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A</w:t>
            </w:r>
          </w:p>
        </w:tc>
        <w:tc>
          <w:tcPr>
            <w:tcW w:type="dxa" w:w="84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Median 10D clearly positive; fail controlled; count adequate; price bucket valid; sequence/composite logical.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 B</w:t>
            </w:r>
          </w:p>
        </w:tc>
        <w:tc>
          <w:tcPr>
            <w:tcW w:type="dxa" w:w="84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Positive but weaker median/count/fail; watchlist or confirmation-only.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SHORT A</w:t>
            </w:r>
          </w:p>
        </w:tc>
        <w:tc>
          <w:tcPr>
            <w:tcW w:type="dxa" w:w="84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Avg and median negative; long fail high; structure logically bearish; liquidity tradeable.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SHORT B</w:t>
            </w:r>
          </w:p>
        </w:tc>
        <w:tc>
          <w:tcPr>
            <w:tcW w:type="dxa" w:w="84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Bearish bias but noisy; needs confirmation.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REJECT</w:t>
            </w:r>
          </w:p>
        </w:tc>
        <w:tc>
          <w:tcPr>
            <w:tcW w:type="dxa" w:w="84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Long-side no edge, negative median, bad sequence, or distorted by outliers.</w:t>
            </w:r>
          </w:p>
        </w:tc>
      </w:tr>
      <w:tr>
        <w:tc>
          <w:tcPr>
            <w:tcW w:type="dxa" w:w="2088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NO EDGE</w:t>
            </w:r>
          </w:p>
        </w:tc>
        <w:tc>
          <w:tcPr>
            <w:tcW w:type="dxa" w:w="8424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Noto Sans Georgian" w:hAnsi="Noto Sans Georgian" w:eastAsia="Noto Sans Georgian"/>
                <w:b w:val="0"/>
                <w:sz w:val="15"/>
              </w:rPr>
              <w:t>Median near zero, win ~50%, no consistent price/volume behavior.</w:t>
            </w:r>
          </w:p>
        </w:tc>
      </w:tr>
    </w:tbl>
    <w:p/>
    <w:p>
      <w:pPr>
        <w:pStyle w:val="Heading1"/>
      </w:pPr>
      <w:r>
        <w:t>7. Required analysis blocks for each new signal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Baseline: all occurrences of final signal.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Final composite breakdown: which full labels are good/reject.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Prev1, prev2, prev3 effects: not forced; summarize families and exact sequences.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4-bar family breakdown: ZTZ→T, TTZ→T, ZZZ→T, TZZ→T or equivalent depending final signal.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Exact top/bottom 4-bar sequences by median/fail/avg.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Volume behavior: final volume vs prev1/prev2/prev3; L-sequence; volume bucket sequence.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Wick/suffix behavior: wick-only, penetration-only, full suffix sequence.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Price-position: setup_return_pct, first/final close position, EMA50 transition, EMA reclaim.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Price bucket and liquidity filters.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Long classification and bearish/short mirror classification.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Guide update: save only stable, useful, non-trivial conclusions.</w:t>
      </w:r>
    </w:p>
    <w:p>
      <w:pPr>
        <w:pStyle w:val="Heading1"/>
      </w:pPr>
      <w:r>
        <w:t>8. Continuation prompt template</w:t>
      </w:r>
    </w:p>
    <w:p>
      <w:pPr>
        <w:spacing w:before="60" w:after="100"/>
        <w:ind w:left="360"/>
      </w:pPr>
      <w:r>
        <w:rPr>
          <w:rFonts w:ascii="DejaVu Sans Mono" w:hAnsi="DejaVu Sans Mono" w:eastAsia="DejaVu Sans Mono"/>
          <w:color w:val="3C3C3C"/>
          <w:sz w:val="16"/>
        </w:rPr>
        <w:t>We are continuing the SPLIT / TZ+WLNBB+WICK analytics guide.</w:t>
        <w:br/>
        <w:t>Analyze final signal: [SIGNAL_NAME], e.g. T2, T3, T5, T6, Z5, etc.</w:t>
        <w:br/>
        <w:br/>
        <w:t>Use the same corrected methodology:</w:t>
        <w:br/>
        <w:t>1) Final signal is fixed on the current bar.</w:t>
        <w:br/>
        <w:t>2) Previous 3 bars must be unrestricted: X → Y → Z → final signal.</w:t>
        <w:br/>
        <w:t xml:space="preserve">   Do NOT force Z→T→Z→T or T→Z→T unless explicitly testing that subset.</w:t>
        <w:br/>
        <w:t>3) Compute baseline stats for all final signal events: count, avg/median 1D/3D/5D/10D, win rate, fail rate.</w:t>
        <w:br/>
        <w:t>4) Break down by final full composite label: base + L digits + E/N + wick U/D/B + penetration P/R/H.</w:t>
        <w:br/>
        <w:t>5) Analyze prev1, prev2, prev3 and exact 4-bar sequences.</w:t>
        <w:br/>
        <w:t>6) Analyze 4-bar family structure: ZTZ→T, TTZ→T, ZZZ→T, TZZ→T, etc.</w:t>
        <w:br/>
        <w:t>7) Add price-position metrics:</w:t>
        <w:br/>
        <w:t xml:space="preserve">   - setup_return_pct from first close to final close</w:t>
        <w:br/>
        <w:t xml:space="preserve">   - first_close_pos_4bar</w:t>
        <w:br/>
        <w:t xml:space="preserve">   - final_close_pos_4bar</w:t>
        <w:br/>
        <w:t xml:space="preserve">   - final close top 75% / top 90% buckets</w:t>
        <w:br/>
        <w:t xml:space="preserve">   - EMA50 transition and EMA20/50/89 reclaim</w:t>
        <w:br/>
        <w:t>8) Analyze volume:</w:t>
        <w:br/>
        <w:t xml:space="preserve">   - final volume vs prev1/prev2/prev3</w:t>
        <w:br/>
        <w:t xml:space="preserve">   - L-sequence</w:t>
        <w:br/>
        <w:t xml:space="preserve">   - volume bucket sequence</w:t>
        <w:br/>
        <w:t>9) Analyze wick/suffix:</w:t>
        <w:br/>
        <w:t xml:space="preserve">   - wick-only sequence</w:t>
        <w:br/>
        <w:t xml:space="preserve">   - penetration suffix sequence</w:t>
        <w:br/>
        <w:t xml:space="preserve">   - full suffix sequence</w:t>
        <w:br/>
        <w:t>10) Split results by price buckets: &lt;1, 1-5, 5-20, 20-50, 50+.</w:t>
        <w:br/>
        <w:t>11) Create classification:</w:t>
        <w:br/>
        <w:t xml:space="preserve">   LONG A / LONG B / SHORT A / SHORT B / REJECT / NO EDGE.</w:t>
        <w:br/>
        <w:t>12) Save guide-worthy conclusions only:</w:t>
        <w:br/>
        <w:t xml:space="preserve">   - stable with good count and median</w:t>
        <w:br/>
        <w:t xml:space="preserve">   - or small-count but very strong exact sequence marked as candidate</w:t>
        <w:br/>
        <w:t xml:space="preserve">   - include reject/short-watch families.</w:t>
        <w:br/>
        <w:br/>
        <w:t>Important ranking rule:</w:t>
        <w:br/>
        <w:t>Median 10D and fail rate matter more than raw average, especially on Nasdaq low-price stocks.</w:t>
        <w:br/>
        <w:t>Bullish reject can become bearish/short candidate if avg and median are negative and long fail rate is high.</w:t>
      </w:r>
    </w:p>
    <w:p>
      <w:pPr>
        <w:pStyle w:val="Heading1"/>
      </w:pPr>
      <w:r>
        <w:t>9. Research-output template</w:t>
      </w:r>
    </w:p>
    <w:p>
      <w:pPr>
        <w:spacing w:before="60" w:after="100"/>
        <w:ind w:left="360"/>
      </w:pPr>
      <w:r>
        <w:rPr>
          <w:rFonts w:ascii="DejaVu Sans Mono" w:hAnsi="DejaVu Sans Mono" w:eastAsia="DejaVu Sans Mono"/>
          <w:color w:val="3C3C3C"/>
          <w:sz w:val="16"/>
        </w:rPr>
        <w:t>For each signal, output:</w:t>
        <w:br/>
        <w:t>A) Executive conclusion</w:t>
        <w:br/>
        <w:t>B) Dataset audit</w:t>
        <w:br/>
        <w:t>C) Baseline final signal statistics</w:t>
        <w:br/>
        <w:t>D) Final composite ranking: good / bad</w:t>
        <w:br/>
        <w:t>E) Correct unrestricted 4-bar analysis</w:t>
        <w:br/>
        <w:t>F) Family breakdown</w:t>
        <w:br/>
        <w:t>G) Exact sequence top/bottom lists</w:t>
        <w:br/>
        <w:t>H) Volume/L/WLNBB analysis</w:t>
        <w:br/>
        <w:t>I) Wick/suffix analysis</w:t>
        <w:br/>
        <w:t>J) Price-position + EMA reclaim analysis</w:t>
        <w:br/>
        <w:t>K) Price bucket analysis</w:t>
        <w:br/>
        <w:t>L) Long/short scanner rules</w:t>
        <w:br/>
        <w:t>M) Guide-worthy conclusions to save</w:t>
      </w:r>
    </w:p>
    <w:p>
      <w:pPr>
        <w:pStyle w:val="Heading1"/>
      </w:pPr>
      <w:r>
        <w:t>10. Current guide baseline to preserve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GOOD_T4 = T4L12EUR / T4L12NB / T4L34NH.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GOOD_T4 practical family: GOOD_T → GOOD_Z → GOOD_T4, but unrestricted 4-bar correction must always be respected.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Best broad family for corrected T4/T1 studies so far: ZTZ → T.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T1 standalone is not A-signal. Good T1 is B/watchlist only unless exact sequence and price-position are strong.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P66 → T6, P66 → P66, T2 → P66 are bearish/short families, not long entries.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Final close top 75% of 4-bar range and EMA50 reclaim are useful confirmation filters.</w:t>
      </w:r>
    </w:p>
    <w:p>
      <w:pPr>
        <w:pStyle w:val="Heading1"/>
      </w:pPr>
      <w:r>
        <w:t>11. Safety checks before accepting any new rule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Check that the result is not caused only by sub-dollar / low-liquidity outliers.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Check median direction. Positive avg + negative median is not a good long rule.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Compare all Nasdaq vs SP500 where possible. If only Nasdaq works, mark it universe-specific.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Avoid overfitting exact sequences with very small count; save them as “candidate exact sequence”.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Always record reject/short-watch counterpart.</w:t>
      </w:r>
    </w:p>
    <w:p>
      <w:pPr>
        <w:pStyle w:val="ListBullet"/>
        <w:spacing w:after="40"/>
      </w:pPr>
      <w:r>
        <w:rPr>
          <w:rFonts w:ascii="Noto Sans Georgian" w:hAnsi="Noto Sans Georgian" w:eastAsia="Noto Sans Georgian"/>
          <w:sz w:val="18"/>
        </w:rPr>
        <w:t>If Pine chart does not include a signal used by statistics, fix Pine/statistics alignment before trading it.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Georgian" w:hAnsi="Noto Sans Georgian" w:eastAsia="Noto Sans Georgian"/>
        <w:color w:val="787878"/>
        <w:sz w:val="16"/>
      </w:rPr>
      <w:t>SPLIT analitic · TZ+WLNBB+WICK research guide ·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Georgian" w:hAnsi="Noto Sans Georgian" w:eastAsia="Noto Sans Georgian"/>
        <w:color w:val="646464"/>
        <w:sz w:val="16"/>
      </w:rPr>
      <w:t>TZ+WLNBB+WICK analytics — methodology and prompt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Georgian" w:hAnsi="Noto Sans Georgian" w:eastAsia="Noto Sans Georgi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Georgian" w:hAnsi="Noto Sans Georgian" w:eastAsia="Noto Sans Georgian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Georgian" w:hAnsi="Noto Sans Georgian" w:eastAsia="Noto Sans Georgian"/>
      <w:b/>
      <w:bCs/>
      <w:color w:val="3741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Georgian" w:hAnsi="Noto Sans Georgian" w:eastAsia="Noto Sans Georgian"/>
      <w:b/>
      <w:bCs/>
      <w:color w:val="37415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Georgian" w:hAnsi="Noto Sans Georgian" w:eastAsia="Noto Sans Georgian"/>
      <w:color w:val="1F29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Georgian" w:hAnsi="Noto Sans Georgian" w:eastAsia="Noto Sans Georgian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Georgian" w:hAnsi="Noto Sans Georgian" w:eastAsia="Noto Sans Georgian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Georgian" w:hAnsi="Noto Sans Georgian" w:eastAsia="Noto Sans Georgian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