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Z12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Bearish gap-up open: prev bar bullish, current bar opens at or below prev open and closes below open (bearish bar). Bearish gap-down continuation.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1,306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+0.424%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+12.397%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n=121 | rr=1.298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+23.583%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n=1,306 | rr=1.273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Z12L46EDP (med +0.493%, fail +13.636%, n=22)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Z12L46ED (med -0.323%, fail +19.355%)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Z12L46NH (med +0.637%, fail +20%, n=20)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Z12 (n=121)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121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+1.218%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+55.372%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+21.488%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+12.397%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+5.415% / -4.173%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1.298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Z12 (n=1,306)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1,306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-0.377%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-0.332%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+50.919%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+21.516%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+23.583%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+10.746% / -8.444%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1.273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+13.636%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+19.355%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+19.355%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+21.429%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+1.865%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+1.968%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+15.152%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+17.143%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+24.503%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+29.032%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-0.943%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+24.153%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+17.188%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+23.958%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-4.644%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+32.143%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+29.032%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-4.644%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+32.143%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-0.535%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+22.449%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+20.588%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-5.157%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+34.783%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Z12 (fixed). Previous 3 bars fully unrestricted (X → Y → Z → Z12).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Z12.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+19.355%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+23.853%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+26.437%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+21.429%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+11.111%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+22.34%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+23.118%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+19.643%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+17.241%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+28.44%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+21.311%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+29.787%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+3.571%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+22.769%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+23.878%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+19.048%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+23.793%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+17.241%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+17.647%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+9.524%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+25.764%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+22.148%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+11.111%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+22.892%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+14.634%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+24.289%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+17.857%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+16.279%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+26.126%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+29.787%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+29.508%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+18.269%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+31.915%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+12.397%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+23.583%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+11.111%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+24.276%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+12.903%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+19.636%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+13.953%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+23.913%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-2.857%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+42.857%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2026-05-06T16:43:32.354Z</dcterms:created>
  <dcterms:modified xsi:type="dcterms:W3CDTF">2026-05-06T16:43:32.354Z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