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body>
    <w:p>
      <w:pPr>
        <w:pStyle w:val="Heading1"/>
      </w:pPr>
      <w:r>
        <w:rPr>
          <w:b/>
        </w:rPr>
        <w:t xml:space="preserve">报价单 Quotation</w:t>
      </w:r>
    </w:p>
    <w:p>
      <w:r>
        <w:t xml:space="preserve">Seller: 星河虚构进出口有限公司</w:t>
      </w:r>
    </w:p>
    <w:p>
      <w:r>
        <w:t xml:space="preserve">Buyer: Fictional Metals Trading FZE</w:t>
      </w:r>
    </w:p>
    <w:p>
      <w:r>
        <w:t xml:space="preserve">报价有效期至 2026年4月30日，贸易术语 FOB Qingdao。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000" w:type="dxa"/>
          </w:tcPr>
          <w:p>
            <w:r>
              <w:t xml:space="preserve">品名</w:t>
            </w:r>
          </w:p>
        </w:tc>
        <w:tc>
          <w:tcPr>
            <w:tcW w:w="2000" w:type="dxa"/>
          </w:tcPr>
          <w:p>
            <w:r>
              <w:t xml:space="preserve">规格</w:t>
            </w:r>
          </w:p>
        </w:tc>
        <w:tc>
          <w:tcPr>
            <w:tcW w:w="2000" w:type="dxa"/>
          </w:tcPr>
          <w:p>
            <w:r>
              <w:t xml:space="preserve">数量(MT)</w:t>
            </w:r>
          </w:p>
        </w:tc>
        <w:tc>
          <w:tcPr>
            <w:tcW w:w="2000" w:type="dxa"/>
          </w:tcPr>
          <w:p>
            <w:r>
              <w:t xml:space="preserve">单价 Unit Price</w:t>
            </w:r>
          </w:p>
        </w:tc>
        <w:tc>
          <w:tcPr>
            <w:tcW w:w="2000" w:type="dxa"/>
          </w:tcPr>
          <w:p>
            <w:r>
              <w:t xml:space="preserve">金额 Amount</w:t>
            </w:r>
          </w:p>
        </w:tc>
      </w:tr>
      <w:tr>
        <w:tc>
          <w:tcPr>
            <w:tcW w:w="2000" w:type="dxa"/>
          </w:tcPr>
          <w:p>
            <w:r>
              <w:t xml:space="preserve">煅后石油焦</w:t>
            </w:r>
          </w:p>
        </w:tc>
        <w:tc>
          <w:tcPr>
            <w:tcW w:w="2000" w:type="dxa"/>
          </w:tcPr>
          <w:p>
            <w:r>
              <w:t xml:space="preserve">S≤0.5%</w:t>
            </w:r>
          </w:p>
        </w:tc>
        <w:tc>
          <w:tcPr>
            <w:tcW w:w="2000" w:type="dxa"/>
          </w:tcPr>
          <w:p>
            <w:r>
              <w:t xml:space="preserve">320</w:t>
            </w:r>
          </w:p>
        </w:tc>
        <w:tc>
          <w:tcPr>
            <w:tcW w:w="2000" w:type="dxa"/>
          </w:tcPr>
          <w:p>
            <w:r>
              <w:t xml:space="preserve">USD 1,250.00</w:t>
            </w:r>
          </w:p>
        </w:tc>
        <w:tc>
          <w:tcPr>
            <w:tcW w:w="2000" w:type="dxa"/>
          </w:tcPr>
          <w:p>
            <w:r>
              <w:t xml:space="preserve">USD 400,000.00</w:t>
            </w:r>
          </w:p>
        </w:tc>
      </w:tr>
      <w:tr>
        <w:tc>
          <w:tcPr>
            <w:tcW w:w="2000" w:type="dxa"/>
          </w:tcPr>
          <w:p>
            <w:r>
              <w:t xml:space="preserve">针状焦</w:t>
            </w:r>
          </w:p>
        </w:tc>
        <w:tc>
          <w:tcPr>
            <w:tcW w:w="2000" w:type="dxa"/>
          </w:tcPr>
          <w:p>
            <w:r>
              <w:t xml:space="preserve">S≤0.3%</w:t>
            </w:r>
          </w:p>
        </w:tc>
        <w:tc>
          <w:tcPr>
            <w:tcW w:w="2000" w:type="dxa"/>
          </w:tcPr>
          <w:p>
            <w:r>
              <w:t xml:space="preserve">100</w:t>
            </w:r>
          </w:p>
        </w:tc>
        <w:tc>
          <w:tcPr>
            <w:tcW w:w="2000" w:type="dxa"/>
          </w:tcPr>
          <w:p>
            <w:r>
              <w:t xml:space="preserve">USD 2,100.00</w:t>
            </w:r>
          </w:p>
        </w:tc>
        <w:tc>
          <w:tcPr>
            <w:tcW w:w="2000" w:type="dxa"/>
          </w:tcPr>
          <w:p>
            <w:r>
              <w:t xml:space="preserve">USD 210,000.00</w:t>
            </w:r>
          </w:p>
        </w:tc>
      </w:tr>
      <w:tr>
        <w:tc>
          <w:tcPr>
            <w:tcW w:w="2000" w:type="dxa"/>
            <w:gridSpan w:val="4"/>
          </w:tcPr>
          <w:p>
            <w:r>
              <w:t xml:space="preserve">合计 Total</w:t>
            </w:r>
          </w:p>
        </w:tc>
        <w:tc>
          <w:tcPr>
            <w:tcW w:w="2000" w:type="dxa"/>
          </w:tcPr>
          <w:p>
            <w:r>
              <w:t xml:space="preserve">USD 610,000.00</w:t>
            </w:r>
          </w:p>
        </w:tc>
      </w:tr>
    </w:tbl>
    <w:p>
      <w:r>
        <w:t xml:space="preserve">付款条件：T/T 30% 预付，70% 见提单副本付清。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