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报价有效期至2026-09-30。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