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t>¿Dónde debe abrir McDonald's sus próximas sucursales en México?</w:t>
      </w:r>
    </w:p>
    <w:p>
      <w:pPr>
        <w:pStyle w:val="Subtitle"/>
      </w:pPr>
      <w:r>
        <w:t>Diego Jiménez González</w:t>
      </w:r>
    </w:p>
    <w:p>
      <w:pPr/>
      <w:r>
        <w:rPr>
          <w:i w:val="0"/>
        </w:rPr>
        <w:t>Proyecto final del Módulo IV – Minería de Datos · Diplomado en Técnicas Estadísticas y Minería de Datos · FES Acatlán, UNAM · Octubre de 2026</w:t>
      </w:r>
    </w:p>
    <w:p>
      <w:pPr/>
      <w:r>
        <w:rPr>
          <w:b/>
        </w:rPr>
        <w:t xml:space="preserve">Repositorio en GitHub: </w:t>
      </w:r>
      <w:hyperlink r:id="rId6">
        <w:r>
          <w:rPr>
            <w:u w:val="single"/>
          </w:rPr>
          <w:t>https://github.com/Gogo677/Proyecto-Modulo-4-DJ</w:t>
        </w:r>
      </w:hyperlink>
    </w:p>
    <w:p>
      <w:pPr/>
      <w:r>
        <w:rPr>
          <w:i w:val="0"/>
        </w:rPr>
        <w:t>El repositorio contiene el notebook ejecutado con todo el análisis, los datos (crudos, procesados y analíticos), las figuras y la presentación ejecutiva.</w:t>
      </w:r>
    </w:p>
    <w:p>
      <w:pPr>
        <w:pStyle w:val="Heading2"/>
      </w:pPr>
      <w:r>
        <w:t>1. Resumen ejecutivo</w:t>
      </w:r>
    </w:p>
    <w:p>
      <w:pPr>
        <w:spacing w:after="60"/>
        <w:ind w:left="432" w:hanging="360"/>
      </w:pPr>
      <w:r>
        <w:rPr>
          <w:b/>
        </w:rPr>
        <w:t xml:space="preserve">1) Contexto. </w:t>
      </w:r>
      <w:r>
        <w:rPr>
          <w:i w:val="0"/>
        </w:rPr>
        <w:t>McDonald's opera más de 380 sucursales en México y busca acercarse a 400: necesita decidir dónde abrir alrededor de 20 más.</w:t>
      </w:r>
    </w:p>
    <w:p>
      <w:pPr>
        <w:spacing w:after="60"/>
        <w:ind w:left="432" w:hanging="360"/>
      </w:pPr>
      <w:r>
        <w:rPr>
          <w:b/>
        </w:rPr>
        <w:t xml:space="preserve">2) Identificación. </w:t>
      </w:r>
      <w:r>
        <w:rPr>
          <w:i w:val="0"/>
        </w:rPr>
        <w:t>En el DENUE de mayo de 2026 se identificaron 417 sucursales en 123 municipios, incluidas las de un franquiciatario de Michoacán que registra sus restaurantes sin la marca.</w:t>
      </w:r>
    </w:p>
    <w:p>
      <w:pPr>
        <w:spacing w:after="60"/>
        <w:ind w:left="432" w:hanging="360"/>
      </w:pPr>
      <w:r>
        <w:rPr>
          <w:b/>
        </w:rPr>
        <w:t xml:space="preserve">3) Modelo. </w:t>
      </w:r>
      <w:r>
        <w:rPr>
          <w:i w:val="0"/>
        </w:rPr>
        <w:t>Un random forest distingue a los municipios con McDonald's con un AUC de 0.988 en el conjunto de prueba, y de 0.922 entre los 235 municipios de 100 mil habitantes o más.</w:t>
      </w:r>
    </w:p>
    <w:p>
      <w:pPr>
        <w:spacing w:after="60"/>
        <w:ind w:left="432" w:hanging="360"/>
      </w:pPr>
      <w:r>
        <w:rPr>
          <w:b/>
        </w:rPr>
        <w:t xml:space="preserve">4) Perfil. </w:t>
      </w:r>
      <w:r>
        <w:rPr>
          <w:i w:val="0"/>
        </w:rPr>
        <w:t>Un municipio McDonald's tiene más de ~125 mil habitantes, al menos tres cadenas rivales, internet en más del 46 % de las viviendas y un sector restaurantero con empleo formal.</w:t>
      </w:r>
    </w:p>
    <w:p>
      <w:pPr>
        <w:spacing w:after="60"/>
        <w:ind w:left="432" w:hanging="360"/>
      </w:pPr>
      <w:r>
        <w:rPr>
          <w:b/>
        </w:rPr>
        <w:t xml:space="preserve">5) Resultado. </w:t>
      </w:r>
      <w:r>
        <w:rPr>
          <w:i w:val="0"/>
        </w:rPr>
        <w:t>De los 20 municipios sin sucursal en el DENUE con mayor probabilidad, 5 ya tienen un McDonald's según el sitio oficial de la marca (Apodaca abrió en noviembre de 2025), 2 son no concluyentes y 13 son oportunidades depuradas, encabezadas por Tepic.</w:t>
      </w:r>
    </w:p>
    <w:p>
      <w:pPr>
        <w:pStyle w:val="Heading2"/>
      </w:pPr>
      <w:r>
        <w:t>2. Pregunta de negocio e hipótesis</w:t>
      </w:r>
    </w:p>
    <w:p>
      <w:pPr/>
      <w:r>
        <w:rPr>
          <w:b/>
        </w:rPr>
        <w:t xml:space="preserve">Pregunta. </w:t>
      </w:r>
      <w:r>
        <w:rPr>
          <w:i w:val="0"/>
        </w:rPr>
        <w:t>¿En qué municipios que hoy no tienen un McDonald's existe un mercado con el mismo perfil que los municipios donde la marca ya opera?</w:t>
      </w:r>
    </w:p>
    <w:p>
      <w:pPr/>
      <w:r>
        <w:rPr>
          <w:b/>
        </w:rPr>
        <w:t xml:space="preserve">Hipótesis (H1). </w:t>
      </w:r>
      <w:r>
        <w:rPr>
          <w:i w:val="0"/>
        </w:rPr>
        <w:t>La presencia de McDonald's se explica por cinco factores medibles: demanda, poder adquisitivo, empleo, sector restaurantero y turismo, y competencia.</w:t>
      </w:r>
    </w:p>
    <w:p>
      <w:pPr>
        <w:keepNext/>
      </w:pPr>
      <w:r>
        <w:rPr>
          <w:b/>
        </w:rPr>
        <w:t>Criterios de decisión, fijados antes de modelar</w:t>
      </w:r>
    </w:p>
    <w:tbl>
      <w:tblPr>
        <w:tblW w:type="auto" w:w="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3744"/>
        <w:gridCol w:w="1728"/>
        <w:gridCol w:w="3888"/>
      </w:tblGrid>
      <w:tr>
        <w:trPr>
          <w:cantSplit/>
        </w:trPr>
        <w:tc>
          <w:tcPr>
            <w:tcW w:type="dxa" w:w="3744"/>
          </w:tcPr>
          <w:p>
            <w:pPr>
              <w:keepNext/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Criterio</w:t>
            </w:r>
          </w:p>
        </w:tc>
        <w:tc>
          <w:tcPr>
            <w:tcW w:type="dxa" w:w="1728"/>
          </w:tcPr>
          <w:p>
            <w:pPr>
              <w:keepNext/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Umbral</w:t>
            </w:r>
          </w:p>
        </w:tc>
        <w:tc>
          <w:tcPr>
            <w:tcW w:type="dxa" w:w="3888"/>
          </w:tcPr>
          <w:p>
            <w:pPr>
              <w:keepNext/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Resultado</w:t>
            </w:r>
          </w:p>
        </w:tc>
      </w:tr>
      <w:tr>
        <w:trPr>
          <w:cantSplit/>
        </w:trPr>
        <w:tc>
          <w:tcPr>
            <w:tcW w:type="dxa" w:w="3744"/>
          </w:tcPr>
          <w:p>
            <w:pPr>
              <w:keepNext/>
              <w:spacing w:after="0"/>
            </w:pPr>
            <w:r>
              <w:rPr>
                <w:sz w:val="20"/>
              </w:rPr>
              <w:t>AUC del mejor modelo en prueba</w:t>
            </w:r>
          </w:p>
        </w:tc>
        <w:tc>
          <w:tcPr>
            <w:tcW w:type="dxa" w:w="1728"/>
          </w:tcPr>
          <w:p>
            <w:pPr>
              <w:keepNext/>
              <w:spacing w:after="0"/>
            </w:pPr>
            <w:r>
              <w:rPr>
                <w:sz w:val="20"/>
              </w:rPr>
              <w:t>≥ 0.80</w:t>
            </w:r>
          </w:p>
        </w:tc>
        <w:tc>
          <w:tcPr>
            <w:tcW w:type="dxa" w:w="3888"/>
          </w:tcPr>
          <w:p>
            <w:pPr>
              <w:keepNext/>
              <w:spacing w:after="0"/>
            </w:pPr>
            <w:r>
              <w:rPr>
                <w:sz w:val="20"/>
              </w:rPr>
              <w:t>0.988</w:t>
            </w:r>
          </w:p>
        </w:tc>
      </w:tr>
      <w:tr>
        <w:trPr>
          <w:cantSplit/>
        </w:trPr>
        <w:tc>
          <w:tcPr>
            <w:tcW w:type="dxa" w:w="3744"/>
          </w:tcPr>
          <w:p>
            <w:pPr>
              <w:keepNext/>
              <w:spacing w:after="0"/>
            </w:pPr>
            <w:r>
              <w:rPr>
                <w:sz w:val="20"/>
              </w:rPr>
              <w:t>Demanda y poder adquisitivo entre las variables más importantes</w:t>
            </w:r>
          </w:p>
        </w:tc>
        <w:tc>
          <w:tcPr>
            <w:tcW w:type="dxa" w:w="1728"/>
          </w:tcPr>
          <w:p>
            <w:pPr>
              <w:keepNext/>
              <w:spacing w:after="0"/>
            </w:pPr>
            <w:r>
              <w:rPr>
                <w:sz w:val="20"/>
              </w:rPr>
              <w:t>Entre las primeras</w:t>
            </w:r>
          </w:p>
        </w:tc>
        <w:tc>
          <w:tcPr>
            <w:tcW w:type="dxa" w:w="3888"/>
          </w:tcPr>
          <w:p>
            <w:pPr>
              <w:keepNext/>
              <w:spacing w:after="0"/>
            </w:pPr>
            <w:r>
              <w:rPr>
                <w:sz w:val="20"/>
              </w:rPr>
              <w:t>Población, internet y urbanización en los lugares 3 a 5, detrás de la competencia</w:t>
            </w:r>
          </w:p>
        </w:tc>
      </w:tr>
      <w:tr>
        <w:trPr>
          <w:cantSplit/>
        </w:trPr>
        <w:tc>
          <w:tcPr>
            <w:tcW w:type="dxa" w:w="3744"/>
          </w:tcPr>
          <w:p>
            <w:pPr>
              <w:keepNext w:val="0"/>
              <w:spacing w:after="0"/>
            </w:pPr>
            <w:r>
              <w:rPr>
                <w:sz w:val="20"/>
              </w:rPr>
              <w:t>Diferencias significativas entre municipios con y sin McDonald's</w:t>
            </w:r>
          </w:p>
        </w:tc>
        <w:tc>
          <w:tcPr>
            <w:tcW w:type="dxa" w:w="1728"/>
          </w:tcPr>
          <w:p>
            <w:pPr>
              <w:keepNext w:val="0"/>
              <w:spacing w:after="0"/>
            </w:pPr>
            <w:r>
              <w:rPr>
                <w:sz w:val="20"/>
              </w:rPr>
              <w:t>Mayoría</w:t>
            </w:r>
          </w:p>
        </w:tc>
        <w:tc>
          <w:tcPr>
            <w:tcW w:type="dxa" w:w="3888"/>
          </w:tcPr>
          <w:p>
            <w:pPr>
              <w:keepNext w:val="0"/>
              <w:spacing w:after="0"/>
            </w:pPr>
            <w:r>
              <w:rPr>
                <w:sz w:val="20"/>
              </w:rPr>
              <w:t>15 de 15 variables (Mann-Whitney, p &lt; 0.05)</w:t>
            </w:r>
          </w:p>
        </w:tc>
      </w:tr>
    </w:tbl>
    <w:p>
      <w:pPr/>
    </w:p>
    <w:p>
      <w:pPr/>
      <w:r>
        <w:rPr>
          <w:b/>
        </w:rPr>
        <w:t xml:space="preserve">Conclusión. </w:t>
      </w:r>
      <w:r>
        <w:rPr>
          <w:i w:val="0"/>
        </w:rPr>
        <w:t>Se cumplen los tres criterios: H1 se sostiene.</w:t>
      </w:r>
    </w:p>
    <w:p>
      <w:pPr>
        <w:pStyle w:val="Heading2"/>
      </w:pPr>
      <w:r>
        <w:t>3. Datos</w:t>
      </w:r>
    </w:p>
    <w:p>
      <w:pPr/>
      <w:r>
        <w:rPr>
          <w:i w:val="0"/>
        </w:rPr>
        <w:t>Todos los datos son públicos, del INEGI, y se usan bajo sus Términos de Libre Uso de la Información.</w:t>
      </w:r>
    </w:p>
    <w:p>
      <w:pPr>
        <w:keepNext/>
      </w:pPr>
      <w:r>
        <w:rPr>
          <w:b/>
        </w:rPr>
        <w:t>Fuentes de datos</w:t>
      </w:r>
    </w:p>
    <w:tbl>
      <w:tblPr>
        <w:tblW w:type="auto" w:w="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3456"/>
        <w:gridCol w:w="1728"/>
        <w:gridCol w:w="4176"/>
      </w:tblGrid>
      <w:tr>
        <w:trPr>
          <w:cantSplit/>
        </w:trPr>
        <w:tc>
          <w:tcPr>
            <w:tcW w:type="dxa" w:w="3456"/>
          </w:tcPr>
          <w:p>
            <w:pPr>
              <w:keepNext/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Fuente</w:t>
            </w:r>
          </w:p>
        </w:tc>
        <w:tc>
          <w:tcPr>
            <w:tcW w:type="dxa" w:w="1728"/>
          </w:tcPr>
          <w:p>
            <w:pPr>
              <w:keepNext/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Edición</w:t>
            </w:r>
          </w:p>
        </w:tc>
        <w:tc>
          <w:tcPr>
            <w:tcW w:type="dxa" w:w="4176"/>
          </w:tcPr>
          <w:p>
            <w:pPr>
              <w:keepNext/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Uso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keepNext/>
              <w:spacing w:after="0"/>
            </w:pPr>
            <w:r>
              <w:rPr>
                <w:sz w:val="20"/>
              </w:rPr>
              <w:t>DENUE, sector 72 (alojamiento y preparación de alimentos)</w:t>
            </w:r>
          </w:p>
        </w:tc>
        <w:tc>
          <w:tcPr>
            <w:tcW w:type="dxa" w:w="1728"/>
          </w:tcPr>
          <w:p>
            <w:pPr>
              <w:keepNext/>
              <w:spacing w:after="0"/>
            </w:pPr>
            <w:r>
              <w:rPr>
                <w:sz w:val="20"/>
              </w:rPr>
              <w:t>05/2026</w:t>
            </w:r>
          </w:p>
        </w:tc>
        <w:tc>
          <w:tcPr>
            <w:tcW w:type="dxa" w:w="4176"/>
          </w:tcPr>
          <w:p>
            <w:pPr>
              <w:keepNext/>
              <w:spacing w:after="0"/>
            </w:pPr>
            <w:r>
              <w:rPr>
                <w:sz w:val="20"/>
              </w:rPr>
              <w:t>Sucursales de McDonald's, 8 cadenas rivales, restaurantes, hoteles y plazas comerciales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keepNext w:val="0"/>
              <w:spacing w:after="0"/>
            </w:pPr>
            <w:r>
              <w:rPr>
                <w:sz w:val="20"/>
              </w:rPr>
              <w:t>Censo de Población y Vivienda 2020, ITER</w:t>
            </w:r>
          </w:p>
        </w:tc>
        <w:tc>
          <w:tcPr>
            <w:tcW w:type="dxa" w:w="1728"/>
          </w:tcPr>
          <w:p>
            <w:pPr>
              <w:keepNext w:val="0"/>
              <w:spacing w:after="0"/>
            </w:pPr>
            <w:r>
              <w:rPr>
                <w:sz w:val="20"/>
              </w:rPr>
              <w:t>2020 (versión de 2022)</w:t>
            </w:r>
          </w:p>
        </w:tc>
        <w:tc>
          <w:tcPr>
            <w:tcW w:type="dxa" w:w="4176"/>
          </w:tcPr>
          <w:p>
            <w:pPr>
              <w:keepNext w:val="0"/>
              <w:spacing w:after="0"/>
            </w:pPr>
            <w:r>
              <w:rPr>
                <w:sz w:val="20"/>
              </w:rPr>
              <w:t>Población, escolaridad, vivienda y empleo por municipio</w:t>
            </w:r>
          </w:p>
        </w:tc>
      </w:tr>
    </w:tbl>
    <w:p>
      <w:pPr/>
    </w:p>
    <w:p>
      <w:pPr>
        <w:pStyle w:val="Heading2"/>
      </w:pPr>
      <w:r>
        <w:t>4. Metodología</w:t>
      </w:r>
    </w:p>
    <w:p>
      <w:pPr/>
      <w:r>
        <w:rPr>
          <w:i w:val="0"/>
        </w:rPr>
        <w:t>El análisis sigue el ciclo CRISP-DM y la estructura de la especificación del proyecto:</w:t>
      </w:r>
    </w:p>
    <w:p>
      <w:pPr>
        <w:spacing w:after="60"/>
        <w:ind w:left="432" w:hanging="360"/>
      </w:pPr>
      <w:r>
        <w:rPr>
          <w:b/>
        </w:rPr>
        <w:t xml:space="preserve">1) Análisis del negocio: </w:t>
      </w:r>
      <w:r>
        <w:rPr>
          <w:i w:val="0"/>
        </w:rPr>
        <w:t>pregunta, hipótesis, escenario y variables de negocio.</w:t>
      </w:r>
    </w:p>
    <w:p>
      <w:pPr>
        <w:spacing w:after="60"/>
        <w:ind w:left="432" w:hanging="360"/>
      </w:pPr>
      <w:r>
        <w:rPr>
          <w:b/>
        </w:rPr>
        <w:t xml:space="preserve">2) Entendimiento de los datos: </w:t>
      </w:r>
      <w:r>
        <w:rPr>
          <w:i w:val="0"/>
        </w:rPr>
        <w:t>diccionario, proceso ETL, limpieza en 9 pasos por dimensión de calidad y estadística descriptiva.</w:t>
      </w:r>
    </w:p>
    <w:p>
      <w:pPr>
        <w:spacing w:after="60"/>
        <w:ind w:left="432" w:hanging="360"/>
      </w:pPr>
      <w:r>
        <w:rPr>
          <w:b/>
        </w:rPr>
        <w:t xml:space="preserve">3) Modelado: </w:t>
      </w:r>
      <w:r>
        <w:rPr>
          <w:i w:val="0"/>
        </w:rPr>
        <w:t>árbol de decisión, Naive Bayes y random forest; partición 70/30 estratificada y búsqueda de parámetros con validación cruzada de 5 pliegues.</w:t>
      </w:r>
    </w:p>
    <w:p>
      <w:pPr>
        <w:spacing w:after="60"/>
        <w:ind w:left="432" w:hanging="360"/>
      </w:pPr>
      <w:r>
        <w:rPr>
          <w:b/>
        </w:rPr>
        <w:t xml:space="preserve">4) Evaluación: </w:t>
      </w:r>
      <w:r>
        <w:rPr>
          <w:i w:val="0"/>
        </w:rPr>
        <w:t>curvas ROC y de precisión-exhaustividad, matriz de confusión e importancia de variables.</w:t>
      </w:r>
    </w:p>
    <w:p>
      <w:pPr>
        <w:spacing w:after="60"/>
        <w:ind w:left="432" w:hanging="360"/>
      </w:pPr>
      <w:r>
        <w:rPr>
          <w:b/>
        </w:rPr>
        <w:t xml:space="preserve">5) Ranking y validación externa: </w:t>
      </w:r>
      <w:r>
        <w:rPr>
          <w:i w:val="0"/>
        </w:rPr>
        <w:t>probabilidades fuera de pliegue y contraste del top 20 con el sitio oficial de la marca.</w:t>
      </w:r>
    </w:p>
    <w:p>
      <w:pPr>
        <w:pStyle w:val="Heading2"/>
      </w:pPr>
      <w:r>
        <w:t>5. Resultados</w:t>
      </w:r>
    </w:p>
    <w:p>
      <w:pPr>
        <w:keepNext/>
      </w:pPr>
      <w:r>
        <w:rPr>
          <w:b/>
        </w:rPr>
        <w:t>Desempeño en el conjunto de prueba (741 municipios, 37 con McDonald's)</w:t>
      </w:r>
    </w:p>
    <w:tbl>
      <w:tblPr>
        <w:tblW w:type="auto" w:w="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808"/>
        <w:gridCol w:w="1008"/>
        <w:gridCol w:w="1440"/>
        <w:gridCol w:w="1152"/>
        <w:gridCol w:w="1584"/>
        <w:gridCol w:w="720"/>
      </w:tblGrid>
      <w:tr>
        <w:trPr>
          <w:cantSplit/>
        </w:trPr>
        <w:tc>
          <w:tcPr>
            <w:tcW w:type="dxa" w:w="2808"/>
          </w:tcPr>
          <w:p>
            <w:pPr>
              <w:keepNext/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Modelo</w:t>
            </w:r>
          </w:p>
        </w:tc>
        <w:tc>
          <w:tcPr>
            <w:tcW w:type="dxa" w:w="1008"/>
          </w:tcPr>
          <w:p>
            <w:pPr>
              <w:keepNext/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AUC ROC</w:t>
            </w:r>
          </w:p>
        </w:tc>
        <w:tc>
          <w:tcPr>
            <w:tcW w:type="dxa" w:w="1440"/>
          </w:tcPr>
          <w:p>
            <w:pPr>
              <w:keepNext/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Precisión promedio</w:t>
            </w:r>
          </w:p>
        </w:tc>
        <w:tc>
          <w:tcPr>
            <w:tcW w:type="dxa" w:w="1152"/>
          </w:tcPr>
          <w:p>
            <w:pPr>
              <w:keepNext/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Precisión</w:t>
            </w:r>
          </w:p>
        </w:tc>
        <w:tc>
          <w:tcPr>
            <w:tcW w:type="dxa" w:w="1584"/>
          </w:tcPr>
          <w:p>
            <w:pPr>
              <w:keepNext/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Exhaustividad</w:t>
            </w:r>
          </w:p>
        </w:tc>
        <w:tc>
          <w:tcPr>
            <w:tcW w:type="dxa" w:w="720"/>
          </w:tcPr>
          <w:p>
            <w:pPr>
              <w:keepNext/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F1</w:t>
            </w:r>
          </w:p>
        </w:tc>
      </w:tr>
      <w:tr>
        <w:trPr>
          <w:cantSplit/>
        </w:trPr>
        <w:tc>
          <w:tcPr>
            <w:tcW w:type="dxa" w:w="2808"/>
          </w:tcPr>
          <w:p>
            <w:pPr>
              <w:keepNext/>
              <w:spacing w:after="0"/>
            </w:pPr>
            <w:r>
              <w:rPr>
                <w:sz w:val="20"/>
              </w:rPr>
              <w:t>Árbol de decisión (explicativo)</w:t>
            </w:r>
          </w:p>
        </w:tc>
        <w:tc>
          <w:tcPr>
            <w:tcW w:type="dxa" w:w="1008"/>
          </w:tcPr>
          <w:p>
            <w:pPr>
              <w:keepNext/>
              <w:spacing w:after="0"/>
            </w:pPr>
            <w:r>
              <w:rPr>
                <w:sz w:val="20"/>
              </w:rPr>
              <w:t>0.924</w:t>
            </w:r>
          </w:p>
        </w:tc>
        <w:tc>
          <w:tcPr>
            <w:tcW w:type="dxa" w:w="1440"/>
          </w:tcPr>
          <w:p>
            <w:pPr>
              <w:keepNext/>
              <w:spacing w:after="0"/>
            </w:pPr>
            <w:r>
              <w:rPr>
                <w:sz w:val="20"/>
              </w:rPr>
              <w:t>0.719</w:t>
            </w:r>
          </w:p>
        </w:tc>
        <w:tc>
          <w:tcPr>
            <w:tcW w:type="dxa" w:w="1152"/>
          </w:tcPr>
          <w:p>
            <w:pPr>
              <w:keepNext/>
              <w:spacing w:after="0"/>
            </w:pPr>
            <w:r>
              <w:rPr>
                <w:sz w:val="20"/>
              </w:rPr>
              <w:t>0.604</w:t>
            </w:r>
          </w:p>
        </w:tc>
        <w:tc>
          <w:tcPr>
            <w:tcW w:type="dxa" w:w="1584"/>
          </w:tcPr>
          <w:p>
            <w:pPr>
              <w:keepNext/>
              <w:spacing w:after="0"/>
            </w:pPr>
            <w:r>
              <w:rPr>
                <w:sz w:val="20"/>
              </w:rPr>
              <w:t>0.865</w:t>
            </w:r>
          </w:p>
        </w:tc>
        <w:tc>
          <w:tcPr>
            <w:tcW w:type="dxa" w:w="720"/>
          </w:tcPr>
          <w:p>
            <w:pPr>
              <w:keepNext/>
              <w:spacing w:after="0"/>
            </w:pPr>
            <w:r>
              <w:rPr>
                <w:sz w:val="20"/>
              </w:rPr>
              <w:t>0.711</w:t>
            </w:r>
          </w:p>
        </w:tc>
      </w:tr>
      <w:tr>
        <w:trPr>
          <w:cantSplit/>
        </w:trPr>
        <w:tc>
          <w:tcPr>
            <w:tcW w:type="dxa" w:w="2808"/>
          </w:tcPr>
          <w:p>
            <w:pPr>
              <w:keepNext/>
              <w:spacing w:after="0"/>
            </w:pPr>
            <w:r>
              <w:rPr>
                <w:sz w:val="20"/>
              </w:rPr>
              <w:t>Naive Bayes gaussiano (línea base)</w:t>
            </w:r>
          </w:p>
        </w:tc>
        <w:tc>
          <w:tcPr>
            <w:tcW w:type="dxa" w:w="1008"/>
          </w:tcPr>
          <w:p>
            <w:pPr>
              <w:keepNext/>
              <w:spacing w:after="0"/>
            </w:pPr>
            <w:r>
              <w:rPr>
                <w:sz w:val="20"/>
              </w:rPr>
              <w:t>0.986</w:t>
            </w:r>
          </w:p>
        </w:tc>
        <w:tc>
          <w:tcPr>
            <w:tcW w:type="dxa" w:w="1440"/>
          </w:tcPr>
          <w:p>
            <w:pPr>
              <w:keepNext/>
              <w:spacing w:after="0"/>
            </w:pPr>
            <w:r>
              <w:rPr>
                <w:sz w:val="20"/>
              </w:rPr>
              <w:t>0.826</w:t>
            </w:r>
          </w:p>
        </w:tc>
        <w:tc>
          <w:tcPr>
            <w:tcW w:type="dxa" w:w="1152"/>
          </w:tcPr>
          <w:p>
            <w:pPr>
              <w:keepNext/>
              <w:spacing w:after="0"/>
            </w:pPr>
            <w:r>
              <w:rPr>
                <w:sz w:val="20"/>
              </w:rPr>
              <w:t>0.589</w:t>
            </w:r>
          </w:p>
        </w:tc>
        <w:tc>
          <w:tcPr>
            <w:tcW w:type="dxa" w:w="1584"/>
          </w:tcPr>
          <w:p>
            <w:pPr>
              <w:keepNext/>
              <w:spacing w:after="0"/>
            </w:pPr>
            <w:r>
              <w:rPr>
                <w:sz w:val="20"/>
              </w:rPr>
              <w:t>0.892</w:t>
            </w:r>
          </w:p>
        </w:tc>
        <w:tc>
          <w:tcPr>
            <w:tcW w:type="dxa" w:w="720"/>
          </w:tcPr>
          <w:p>
            <w:pPr>
              <w:keepNext/>
              <w:spacing w:after="0"/>
            </w:pPr>
            <w:r>
              <w:rPr>
                <w:sz w:val="20"/>
              </w:rPr>
              <w:t>0.710</w:t>
            </w:r>
          </w:p>
        </w:tc>
      </w:tr>
      <w:tr>
        <w:trPr>
          <w:cantSplit/>
        </w:trPr>
        <w:tc>
          <w:tcPr>
            <w:tcW w:type="dxa" w:w="2808"/>
          </w:tcPr>
          <w:p>
            <w:pPr>
              <w:keepNext w:val="0"/>
              <w:spacing w:after="0"/>
            </w:pPr>
            <w:r>
              <w:rPr>
                <w:sz w:val="20"/>
              </w:rPr>
              <w:t>Random forest (puntuación)</w:t>
            </w:r>
          </w:p>
        </w:tc>
        <w:tc>
          <w:tcPr>
            <w:tcW w:type="dxa" w:w="1008"/>
          </w:tcPr>
          <w:p>
            <w:pPr>
              <w:keepNext w:val="0"/>
              <w:spacing w:after="0"/>
            </w:pPr>
            <w:r>
              <w:rPr>
                <w:sz w:val="20"/>
              </w:rPr>
              <w:t>0.988</w:t>
            </w:r>
          </w:p>
        </w:tc>
        <w:tc>
          <w:tcPr>
            <w:tcW w:type="dxa" w:w="1440"/>
          </w:tcPr>
          <w:p>
            <w:pPr>
              <w:keepNext w:val="0"/>
              <w:spacing w:after="0"/>
            </w:pPr>
            <w:r>
              <w:rPr>
                <w:sz w:val="20"/>
              </w:rPr>
              <w:t>0.840</w:t>
            </w:r>
          </w:p>
        </w:tc>
        <w:tc>
          <w:tcPr>
            <w:tcW w:type="dxa" w:w="1152"/>
          </w:tcPr>
          <w:p>
            <w:pPr>
              <w:keepNext w:val="0"/>
              <w:spacing w:after="0"/>
            </w:pPr>
            <w:r>
              <w:rPr>
                <w:sz w:val="20"/>
              </w:rPr>
              <w:t>0.705</w:t>
            </w:r>
          </w:p>
        </w:tc>
        <w:tc>
          <w:tcPr>
            <w:tcW w:type="dxa" w:w="1584"/>
          </w:tcPr>
          <w:p>
            <w:pPr>
              <w:keepNext w:val="0"/>
              <w:spacing w:after="0"/>
            </w:pPr>
            <w:r>
              <w:rPr>
                <w:sz w:val="20"/>
              </w:rPr>
              <w:t>0.838</w:t>
            </w:r>
          </w:p>
        </w:tc>
        <w:tc>
          <w:tcPr>
            <w:tcW w:type="dxa" w:w="720"/>
          </w:tcPr>
          <w:p>
            <w:pPr>
              <w:keepNext w:val="0"/>
              <w:spacing w:after="0"/>
            </w:pPr>
            <w:r>
              <w:rPr>
                <w:sz w:val="20"/>
              </w:rPr>
              <w:t>0.765</w:t>
            </w:r>
          </w:p>
        </w:tc>
      </w:tr>
    </w:tbl>
    <w:p>
      <w:pPr/>
    </w:p>
    <w:p>
      <w:pPr>
        <w:keepNext/>
      </w:pPr>
      <w:r>
        <w:rPr>
          <w:b/>
        </w:rPr>
        <w:t>Oportunidades depuradas (candidatos sin evidencia de sucursal en el sitio oficial, 19/09/2026)</w:t>
      </w:r>
    </w:p>
    <w:tbl>
      <w:tblPr>
        <w:tblW w:type="auto" w:w="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893"/>
        <w:gridCol w:w="2232"/>
        <w:gridCol w:w="1800"/>
        <w:gridCol w:w="1440"/>
        <w:gridCol w:w="1512"/>
        <w:gridCol w:w="1368"/>
      </w:tblGrid>
      <w:tr>
        <w:trPr>
          <w:cantSplit/>
        </w:trPr>
        <w:tc>
          <w:tcPr>
            <w:tcW w:type="dxa" w:w="893"/>
          </w:tcPr>
          <w:p>
            <w:pPr>
              <w:keepNext/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Rango</w:t>
            </w:r>
          </w:p>
        </w:tc>
        <w:tc>
          <w:tcPr>
            <w:tcW w:type="dxa" w:w="2232"/>
          </w:tcPr>
          <w:p>
            <w:pPr>
              <w:keepNext/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Municipio</w:t>
            </w:r>
          </w:p>
        </w:tc>
        <w:tc>
          <w:tcPr>
            <w:tcW w:type="dxa" w:w="1800"/>
          </w:tcPr>
          <w:p>
            <w:pPr>
              <w:keepNext/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Entidad</w:t>
            </w:r>
          </w:p>
        </w:tc>
        <w:tc>
          <w:tcPr>
            <w:tcW w:type="dxa" w:w="1440"/>
          </w:tcPr>
          <w:p>
            <w:pPr>
              <w:keepNext/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Probabilidad</w:t>
            </w:r>
          </w:p>
        </w:tc>
        <w:tc>
          <w:tcPr>
            <w:tcW w:type="dxa" w:w="1512"/>
          </w:tcPr>
          <w:p>
            <w:pPr>
              <w:keepNext/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Tipo</w:t>
            </w:r>
          </w:p>
        </w:tc>
        <w:tc>
          <w:tcPr>
            <w:tcW w:type="dxa" w:w="1368"/>
          </w:tcPr>
          <w:p>
            <w:pPr>
              <w:keepNext/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Habitantes (2020)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keepNext/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2232"/>
          </w:tcPr>
          <w:p>
            <w:pPr>
              <w:keepNext/>
              <w:spacing w:after="0"/>
            </w:pPr>
            <w:r>
              <w:rPr>
                <w:sz w:val="20"/>
              </w:rPr>
              <w:t>Tepic</w:t>
            </w:r>
          </w:p>
        </w:tc>
        <w:tc>
          <w:tcPr>
            <w:tcW w:type="dxa" w:w="1800"/>
          </w:tcPr>
          <w:p>
            <w:pPr>
              <w:keepNext/>
              <w:spacing w:after="0"/>
            </w:pPr>
            <w:r>
              <w:rPr>
                <w:sz w:val="20"/>
              </w:rPr>
              <w:t>Nayarit</w:t>
            </w:r>
          </w:p>
        </w:tc>
        <w:tc>
          <w:tcPr>
            <w:tcW w:type="dxa" w:w="1440"/>
          </w:tcPr>
          <w:p>
            <w:pPr>
              <w:keepNext/>
              <w:spacing w:after="0"/>
            </w:pPr>
            <w:r>
              <w:rPr>
                <w:sz w:val="20"/>
              </w:rPr>
              <w:t>0.99</w:t>
            </w:r>
          </w:p>
        </w:tc>
        <w:tc>
          <w:tcPr>
            <w:tcW w:type="dxa" w:w="1512"/>
          </w:tcPr>
          <w:p>
            <w:pPr>
              <w:keepNext/>
              <w:spacing w:after="0"/>
            </w:pPr>
            <w:r>
              <w:rPr>
                <w:sz w:val="20"/>
              </w:rPr>
              <w:t>Mercado nuevo</w:t>
            </w:r>
          </w:p>
        </w:tc>
        <w:tc>
          <w:tcPr>
            <w:tcW w:type="dxa" w:w="1368"/>
          </w:tcPr>
          <w:p>
            <w:pPr>
              <w:keepNext/>
              <w:spacing w:after="0"/>
            </w:pPr>
            <w:r>
              <w:rPr>
                <w:sz w:val="20"/>
              </w:rPr>
              <w:t>425,924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keepNext/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type="dxa" w:w="2232"/>
          </w:tcPr>
          <w:p>
            <w:pPr>
              <w:keepNext/>
              <w:spacing w:after="0"/>
            </w:pPr>
            <w:r>
              <w:rPr>
                <w:sz w:val="20"/>
              </w:rPr>
              <w:t>Corregidora</w:t>
            </w:r>
          </w:p>
        </w:tc>
        <w:tc>
          <w:tcPr>
            <w:tcW w:type="dxa" w:w="1800"/>
          </w:tcPr>
          <w:p>
            <w:pPr>
              <w:keepNext/>
              <w:spacing w:after="0"/>
            </w:pPr>
            <w:r>
              <w:rPr>
                <w:sz w:val="20"/>
              </w:rPr>
              <w:t>Querétaro</w:t>
            </w:r>
          </w:p>
        </w:tc>
        <w:tc>
          <w:tcPr>
            <w:tcW w:type="dxa" w:w="1440"/>
          </w:tcPr>
          <w:p>
            <w:pPr>
              <w:keepNext/>
              <w:spacing w:after="0"/>
            </w:pPr>
            <w:r>
              <w:rPr>
                <w:sz w:val="20"/>
              </w:rPr>
              <w:t>0.98</w:t>
            </w:r>
          </w:p>
        </w:tc>
        <w:tc>
          <w:tcPr>
            <w:tcW w:type="dxa" w:w="1512"/>
          </w:tcPr>
          <w:p>
            <w:pPr>
              <w:keepNext/>
              <w:spacing w:after="0"/>
            </w:pPr>
            <w:r>
              <w:rPr>
                <w:sz w:val="20"/>
              </w:rPr>
              <w:t>Densificación</w:t>
            </w:r>
          </w:p>
        </w:tc>
        <w:tc>
          <w:tcPr>
            <w:tcW w:type="dxa" w:w="1368"/>
          </w:tcPr>
          <w:p>
            <w:pPr>
              <w:keepNext/>
              <w:spacing w:after="0"/>
            </w:pPr>
            <w:r>
              <w:rPr>
                <w:sz w:val="20"/>
              </w:rPr>
              <w:t>212,567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keepNext/>
              <w:spacing w:after="0"/>
            </w:pPr>
            <w:r>
              <w:rPr>
                <w:sz w:val="20"/>
              </w:rPr>
              <w:t>6</w:t>
            </w:r>
          </w:p>
        </w:tc>
        <w:tc>
          <w:tcPr>
            <w:tcW w:type="dxa" w:w="2232"/>
          </w:tcPr>
          <w:p>
            <w:pPr>
              <w:keepNext/>
              <w:spacing w:after="0"/>
            </w:pPr>
            <w:r>
              <w:rPr>
                <w:sz w:val="20"/>
              </w:rPr>
              <w:t>Manzanillo</w:t>
            </w:r>
          </w:p>
        </w:tc>
        <w:tc>
          <w:tcPr>
            <w:tcW w:type="dxa" w:w="1800"/>
          </w:tcPr>
          <w:p>
            <w:pPr>
              <w:keepNext/>
              <w:spacing w:after="0"/>
            </w:pPr>
            <w:r>
              <w:rPr>
                <w:sz w:val="20"/>
              </w:rPr>
              <w:t>Colima</w:t>
            </w:r>
          </w:p>
        </w:tc>
        <w:tc>
          <w:tcPr>
            <w:tcW w:type="dxa" w:w="1440"/>
          </w:tcPr>
          <w:p>
            <w:pPr>
              <w:keepNext/>
              <w:spacing w:after="0"/>
            </w:pPr>
            <w:r>
              <w:rPr>
                <w:sz w:val="20"/>
              </w:rPr>
              <w:t>0.98</w:t>
            </w:r>
          </w:p>
        </w:tc>
        <w:tc>
          <w:tcPr>
            <w:tcW w:type="dxa" w:w="1512"/>
          </w:tcPr>
          <w:p>
            <w:pPr>
              <w:keepNext/>
              <w:spacing w:after="0"/>
            </w:pPr>
            <w:r>
              <w:rPr>
                <w:sz w:val="20"/>
              </w:rPr>
              <w:t>Mercado nuevo</w:t>
            </w:r>
          </w:p>
        </w:tc>
        <w:tc>
          <w:tcPr>
            <w:tcW w:type="dxa" w:w="1368"/>
          </w:tcPr>
          <w:p>
            <w:pPr>
              <w:keepNext/>
              <w:spacing w:after="0"/>
            </w:pPr>
            <w:r>
              <w:rPr>
                <w:sz w:val="20"/>
              </w:rPr>
              <w:t>191,031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keepNext/>
              <w:spacing w:after="0"/>
            </w:pPr>
            <w:r>
              <w:rPr>
                <w:sz w:val="20"/>
              </w:rPr>
              <w:t>7</w:t>
            </w:r>
          </w:p>
        </w:tc>
        <w:tc>
          <w:tcPr>
            <w:tcW w:type="dxa" w:w="2232"/>
          </w:tcPr>
          <w:p>
            <w:pPr>
              <w:keepNext/>
              <w:spacing w:after="0"/>
            </w:pPr>
            <w:r>
              <w:rPr>
                <w:sz w:val="20"/>
              </w:rPr>
              <w:t>Villa de Álvarez</w:t>
            </w:r>
          </w:p>
        </w:tc>
        <w:tc>
          <w:tcPr>
            <w:tcW w:type="dxa" w:w="1800"/>
          </w:tcPr>
          <w:p>
            <w:pPr>
              <w:keepNext/>
              <w:spacing w:after="0"/>
            </w:pPr>
            <w:r>
              <w:rPr>
                <w:sz w:val="20"/>
              </w:rPr>
              <w:t>Colima</w:t>
            </w:r>
          </w:p>
        </w:tc>
        <w:tc>
          <w:tcPr>
            <w:tcW w:type="dxa" w:w="1440"/>
          </w:tcPr>
          <w:p>
            <w:pPr>
              <w:keepNext/>
              <w:spacing w:after="0"/>
            </w:pPr>
            <w:r>
              <w:rPr>
                <w:sz w:val="20"/>
              </w:rPr>
              <w:t>0.96</w:t>
            </w:r>
          </w:p>
        </w:tc>
        <w:tc>
          <w:tcPr>
            <w:tcW w:type="dxa" w:w="1512"/>
          </w:tcPr>
          <w:p>
            <w:pPr>
              <w:keepNext/>
              <w:spacing w:after="0"/>
            </w:pPr>
            <w:r>
              <w:rPr>
                <w:sz w:val="20"/>
              </w:rPr>
              <w:t>Densificación</w:t>
            </w:r>
          </w:p>
        </w:tc>
        <w:tc>
          <w:tcPr>
            <w:tcW w:type="dxa" w:w="1368"/>
          </w:tcPr>
          <w:p>
            <w:pPr>
              <w:keepNext/>
              <w:spacing w:after="0"/>
            </w:pPr>
            <w:r>
              <w:rPr>
                <w:sz w:val="20"/>
              </w:rPr>
              <w:t>149,762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keepNext/>
              <w:spacing w:after="0"/>
            </w:pPr>
            <w:r>
              <w:rPr>
                <w:sz w:val="20"/>
              </w:rPr>
              <w:t>9</w:t>
            </w:r>
          </w:p>
        </w:tc>
        <w:tc>
          <w:tcPr>
            <w:tcW w:type="dxa" w:w="2232"/>
          </w:tcPr>
          <w:p>
            <w:pPr>
              <w:keepNext/>
              <w:spacing w:after="0"/>
            </w:pPr>
            <w:r>
              <w:rPr>
                <w:sz w:val="20"/>
              </w:rPr>
              <w:t>Delicias</w:t>
            </w:r>
          </w:p>
        </w:tc>
        <w:tc>
          <w:tcPr>
            <w:tcW w:type="dxa" w:w="1800"/>
          </w:tcPr>
          <w:p>
            <w:pPr>
              <w:keepNext/>
              <w:spacing w:after="0"/>
            </w:pPr>
            <w:r>
              <w:rPr>
                <w:sz w:val="20"/>
              </w:rPr>
              <w:t>Chihuahua</w:t>
            </w:r>
          </w:p>
        </w:tc>
        <w:tc>
          <w:tcPr>
            <w:tcW w:type="dxa" w:w="1440"/>
          </w:tcPr>
          <w:p>
            <w:pPr>
              <w:keepNext/>
              <w:spacing w:after="0"/>
            </w:pPr>
            <w:r>
              <w:rPr>
                <w:sz w:val="20"/>
              </w:rPr>
              <w:t>0.95</w:t>
            </w:r>
          </w:p>
        </w:tc>
        <w:tc>
          <w:tcPr>
            <w:tcW w:type="dxa" w:w="1512"/>
          </w:tcPr>
          <w:p>
            <w:pPr>
              <w:keepNext/>
              <w:spacing w:after="0"/>
            </w:pPr>
            <w:r>
              <w:rPr>
                <w:sz w:val="20"/>
              </w:rPr>
              <w:t>Mercado nuevo</w:t>
            </w:r>
          </w:p>
        </w:tc>
        <w:tc>
          <w:tcPr>
            <w:tcW w:type="dxa" w:w="1368"/>
          </w:tcPr>
          <w:p>
            <w:pPr>
              <w:keepNext/>
              <w:spacing w:after="0"/>
            </w:pPr>
            <w:r>
              <w:rPr>
                <w:sz w:val="20"/>
              </w:rPr>
              <w:t>150,506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keepNext/>
              <w:spacing w:after="0"/>
            </w:pPr>
            <w:r>
              <w:rPr>
                <w:sz w:val="20"/>
              </w:rPr>
              <w:t>10</w:t>
            </w:r>
          </w:p>
        </w:tc>
        <w:tc>
          <w:tcPr>
            <w:tcW w:type="dxa" w:w="2232"/>
          </w:tcPr>
          <w:p>
            <w:pPr>
              <w:keepNext/>
              <w:spacing w:after="0"/>
            </w:pPr>
            <w:r>
              <w:rPr>
                <w:sz w:val="20"/>
              </w:rPr>
              <w:t>Xochimilco</w:t>
            </w:r>
          </w:p>
        </w:tc>
        <w:tc>
          <w:tcPr>
            <w:tcW w:type="dxa" w:w="1800"/>
          </w:tcPr>
          <w:p>
            <w:pPr>
              <w:keepNext/>
              <w:spacing w:after="0"/>
            </w:pPr>
            <w:r>
              <w:rPr>
                <w:sz w:val="20"/>
              </w:rPr>
              <w:t>Ciudad de México</w:t>
            </w:r>
          </w:p>
        </w:tc>
        <w:tc>
          <w:tcPr>
            <w:tcW w:type="dxa" w:w="1440"/>
          </w:tcPr>
          <w:p>
            <w:pPr>
              <w:keepNext/>
              <w:spacing w:after="0"/>
            </w:pPr>
            <w:r>
              <w:rPr>
                <w:sz w:val="20"/>
              </w:rPr>
              <w:t>0.95</w:t>
            </w:r>
          </w:p>
        </w:tc>
        <w:tc>
          <w:tcPr>
            <w:tcW w:type="dxa" w:w="1512"/>
          </w:tcPr>
          <w:p>
            <w:pPr>
              <w:keepNext/>
              <w:spacing w:after="0"/>
            </w:pPr>
            <w:r>
              <w:rPr>
                <w:sz w:val="20"/>
              </w:rPr>
              <w:t>Densificación</w:t>
            </w:r>
          </w:p>
        </w:tc>
        <w:tc>
          <w:tcPr>
            <w:tcW w:type="dxa" w:w="1368"/>
          </w:tcPr>
          <w:p>
            <w:pPr>
              <w:keepNext/>
              <w:spacing w:after="0"/>
            </w:pPr>
            <w:r>
              <w:rPr>
                <w:sz w:val="20"/>
              </w:rPr>
              <w:t>442,178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keepNext/>
              <w:spacing w:after="0"/>
            </w:pPr>
            <w:r>
              <w:rPr>
                <w:sz w:val="20"/>
              </w:rPr>
              <w:t>11</w:t>
            </w:r>
          </w:p>
        </w:tc>
        <w:tc>
          <w:tcPr>
            <w:tcW w:type="dxa" w:w="2232"/>
          </w:tcPr>
          <w:p>
            <w:pPr>
              <w:keepNext/>
              <w:spacing w:after="0"/>
            </w:pPr>
            <w:r>
              <w:rPr>
                <w:sz w:val="20"/>
              </w:rPr>
              <w:t>Soledad de Graciano Sánchez</w:t>
            </w:r>
          </w:p>
        </w:tc>
        <w:tc>
          <w:tcPr>
            <w:tcW w:type="dxa" w:w="1800"/>
          </w:tcPr>
          <w:p>
            <w:pPr>
              <w:keepNext/>
              <w:spacing w:after="0"/>
            </w:pPr>
            <w:r>
              <w:rPr>
                <w:sz w:val="20"/>
              </w:rPr>
              <w:t>San Luis Potosí</w:t>
            </w:r>
          </w:p>
        </w:tc>
        <w:tc>
          <w:tcPr>
            <w:tcW w:type="dxa" w:w="1440"/>
          </w:tcPr>
          <w:p>
            <w:pPr>
              <w:keepNext/>
              <w:spacing w:after="0"/>
            </w:pPr>
            <w:r>
              <w:rPr>
                <w:sz w:val="20"/>
              </w:rPr>
              <w:t>0.94</w:t>
            </w:r>
          </w:p>
        </w:tc>
        <w:tc>
          <w:tcPr>
            <w:tcW w:type="dxa" w:w="1512"/>
          </w:tcPr>
          <w:p>
            <w:pPr>
              <w:keepNext/>
              <w:spacing w:after="0"/>
            </w:pPr>
            <w:r>
              <w:rPr>
                <w:sz w:val="20"/>
              </w:rPr>
              <w:t>Densificación</w:t>
            </w:r>
          </w:p>
        </w:tc>
        <w:tc>
          <w:tcPr>
            <w:tcW w:type="dxa" w:w="1368"/>
          </w:tcPr>
          <w:p>
            <w:pPr>
              <w:keepNext/>
              <w:spacing w:after="0"/>
            </w:pPr>
            <w:r>
              <w:rPr>
                <w:sz w:val="20"/>
              </w:rPr>
              <w:t>332,072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keepNext/>
              <w:spacing w:after="0"/>
            </w:pPr>
            <w:r>
              <w:rPr>
                <w:sz w:val="20"/>
              </w:rPr>
              <w:t>12</w:t>
            </w:r>
          </w:p>
        </w:tc>
        <w:tc>
          <w:tcPr>
            <w:tcW w:type="dxa" w:w="2232"/>
          </w:tcPr>
          <w:p>
            <w:pPr>
              <w:keepNext/>
              <w:spacing w:after="0"/>
            </w:pPr>
            <w:r>
              <w:rPr>
                <w:sz w:val="20"/>
              </w:rPr>
              <w:t>San Luis Río Colorado</w:t>
            </w:r>
          </w:p>
        </w:tc>
        <w:tc>
          <w:tcPr>
            <w:tcW w:type="dxa" w:w="1800"/>
          </w:tcPr>
          <w:p>
            <w:pPr>
              <w:keepNext/>
              <w:spacing w:after="0"/>
            </w:pPr>
            <w:r>
              <w:rPr>
                <w:sz w:val="20"/>
              </w:rPr>
              <w:t>Sonora</w:t>
            </w:r>
          </w:p>
        </w:tc>
        <w:tc>
          <w:tcPr>
            <w:tcW w:type="dxa" w:w="1440"/>
          </w:tcPr>
          <w:p>
            <w:pPr>
              <w:keepNext/>
              <w:spacing w:after="0"/>
            </w:pPr>
            <w:r>
              <w:rPr>
                <w:sz w:val="20"/>
              </w:rPr>
              <w:t>0.94</w:t>
            </w:r>
          </w:p>
        </w:tc>
        <w:tc>
          <w:tcPr>
            <w:tcW w:type="dxa" w:w="1512"/>
          </w:tcPr>
          <w:p>
            <w:pPr>
              <w:keepNext/>
              <w:spacing w:after="0"/>
            </w:pPr>
            <w:r>
              <w:rPr>
                <w:sz w:val="20"/>
              </w:rPr>
              <w:t>Mercado nuevo</w:t>
            </w:r>
          </w:p>
        </w:tc>
        <w:tc>
          <w:tcPr>
            <w:tcW w:type="dxa" w:w="1368"/>
          </w:tcPr>
          <w:p>
            <w:pPr>
              <w:keepNext/>
              <w:spacing w:after="0"/>
            </w:pPr>
            <w:r>
              <w:rPr>
                <w:sz w:val="20"/>
              </w:rPr>
              <w:t>199,021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keepNext/>
              <w:spacing w:after="0"/>
            </w:pPr>
            <w:r>
              <w:rPr>
                <w:sz w:val="20"/>
              </w:rPr>
              <w:t>14</w:t>
            </w:r>
          </w:p>
        </w:tc>
        <w:tc>
          <w:tcPr>
            <w:tcW w:type="dxa" w:w="2232"/>
          </w:tcPr>
          <w:p>
            <w:pPr>
              <w:keepNext/>
              <w:spacing w:after="0"/>
            </w:pPr>
            <w:r>
              <w:rPr>
                <w:sz w:val="20"/>
              </w:rPr>
              <w:t>Juárez</w:t>
            </w:r>
          </w:p>
        </w:tc>
        <w:tc>
          <w:tcPr>
            <w:tcW w:type="dxa" w:w="1800"/>
          </w:tcPr>
          <w:p>
            <w:pPr>
              <w:keepNext/>
              <w:spacing w:after="0"/>
            </w:pPr>
            <w:r>
              <w:rPr>
                <w:sz w:val="20"/>
              </w:rPr>
              <w:t>Nuevo León</w:t>
            </w:r>
          </w:p>
        </w:tc>
        <w:tc>
          <w:tcPr>
            <w:tcW w:type="dxa" w:w="1440"/>
          </w:tcPr>
          <w:p>
            <w:pPr>
              <w:keepNext/>
              <w:spacing w:after="0"/>
            </w:pPr>
            <w:r>
              <w:rPr>
                <w:sz w:val="20"/>
              </w:rPr>
              <w:t>0.92</w:t>
            </w:r>
          </w:p>
        </w:tc>
        <w:tc>
          <w:tcPr>
            <w:tcW w:type="dxa" w:w="1512"/>
          </w:tcPr>
          <w:p>
            <w:pPr>
              <w:keepNext/>
              <w:spacing w:after="0"/>
            </w:pPr>
            <w:r>
              <w:rPr>
                <w:sz w:val="20"/>
              </w:rPr>
              <w:t>Densificación</w:t>
            </w:r>
          </w:p>
        </w:tc>
        <w:tc>
          <w:tcPr>
            <w:tcW w:type="dxa" w:w="1368"/>
          </w:tcPr>
          <w:p>
            <w:pPr>
              <w:keepNext/>
              <w:spacing w:after="0"/>
            </w:pPr>
            <w:r>
              <w:rPr>
                <w:sz w:val="20"/>
              </w:rPr>
              <w:t>471,523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keepNext/>
              <w:spacing w:after="0"/>
            </w:pPr>
            <w:r>
              <w:rPr>
                <w:sz w:val="20"/>
              </w:rPr>
              <w:t>15</w:t>
            </w:r>
          </w:p>
        </w:tc>
        <w:tc>
          <w:tcPr>
            <w:tcW w:type="dxa" w:w="2232"/>
          </w:tcPr>
          <w:p>
            <w:pPr>
              <w:keepNext/>
              <w:spacing w:after="0"/>
            </w:pPr>
            <w:r>
              <w:rPr>
                <w:sz w:val="20"/>
              </w:rPr>
              <w:t>Poza Rica de Hidalgo</w:t>
            </w:r>
          </w:p>
        </w:tc>
        <w:tc>
          <w:tcPr>
            <w:tcW w:type="dxa" w:w="1800"/>
          </w:tcPr>
          <w:p>
            <w:pPr>
              <w:keepNext/>
              <w:spacing w:after="0"/>
            </w:pPr>
            <w:r>
              <w:rPr>
                <w:sz w:val="20"/>
              </w:rPr>
              <w:t>Veracruz</w:t>
            </w:r>
          </w:p>
        </w:tc>
        <w:tc>
          <w:tcPr>
            <w:tcW w:type="dxa" w:w="1440"/>
          </w:tcPr>
          <w:p>
            <w:pPr>
              <w:keepNext/>
              <w:spacing w:after="0"/>
            </w:pPr>
            <w:r>
              <w:rPr>
                <w:sz w:val="20"/>
              </w:rPr>
              <w:t>0.91</w:t>
            </w:r>
          </w:p>
        </w:tc>
        <w:tc>
          <w:tcPr>
            <w:tcW w:type="dxa" w:w="1512"/>
          </w:tcPr>
          <w:p>
            <w:pPr>
              <w:keepNext/>
              <w:spacing w:after="0"/>
            </w:pPr>
            <w:r>
              <w:rPr>
                <w:sz w:val="20"/>
              </w:rPr>
              <w:t>Mercado nuevo</w:t>
            </w:r>
          </w:p>
        </w:tc>
        <w:tc>
          <w:tcPr>
            <w:tcW w:type="dxa" w:w="1368"/>
          </w:tcPr>
          <w:p>
            <w:pPr>
              <w:keepNext/>
              <w:spacing w:after="0"/>
            </w:pPr>
            <w:r>
              <w:rPr>
                <w:sz w:val="20"/>
              </w:rPr>
              <w:t>189,457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keepNext/>
              <w:spacing w:after="0"/>
            </w:pPr>
            <w:r>
              <w:rPr>
                <w:sz w:val="20"/>
              </w:rPr>
              <w:t>16</w:t>
            </w:r>
          </w:p>
        </w:tc>
        <w:tc>
          <w:tcPr>
            <w:tcW w:type="dxa" w:w="2232"/>
          </w:tcPr>
          <w:p>
            <w:pPr>
              <w:keepNext/>
              <w:spacing w:after="0"/>
            </w:pPr>
            <w:r>
              <w:rPr>
                <w:sz w:val="20"/>
              </w:rPr>
              <w:t>Tizayuca</w:t>
            </w:r>
          </w:p>
        </w:tc>
        <w:tc>
          <w:tcPr>
            <w:tcW w:type="dxa" w:w="1800"/>
          </w:tcPr>
          <w:p>
            <w:pPr>
              <w:keepNext/>
              <w:spacing w:after="0"/>
            </w:pPr>
            <w:r>
              <w:rPr>
                <w:sz w:val="20"/>
              </w:rPr>
              <w:t>Hidalgo</w:t>
            </w:r>
          </w:p>
        </w:tc>
        <w:tc>
          <w:tcPr>
            <w:tcW w:type="dxa" w:w="1440"/>
          </w:tcPr>
          <w:p>
            <w:pPr>
              <w:keepNext/>
              <w:spacing w:after="0"/>
            </w:pPr>
            <w:r>
              <w:rPr>
                <w:sz w:val="20"/>
              </w:rPr>
              <w:t>0.87</w:t>
            </w:r>
          </w:p>
        </w:tc>
        <w:tc>
          <w:tcPr>
            <w:tcW w:type="dxa" w:w="1512"/>
          </w:tcPr>
          <w:p>
            <w:pPr>
              <w:keepNext/>
              <w:spacing w:after="0"/>
            </w:pPr>
            <w:r>
              <w:rPr>
                <w:sz w:val="20"/>
              </w:rPr>
              <w:t>Densificación</w:t>
            </w:r>
          </w:p>
        </w:tc>
        <w:tc>
          <w:tcPr>
            <w:tcW w:type="dxa" w:w="1368"/>
          </w:tcPr>
          <w:p>
            <w:pPr>
              <w:keepNext/>
              <w:spacing w:after="0"/>
            </w:pPr>
            <w:r>
              <w:rPr>
                <w:sz w:val="20"/>
              </w:rPr>
              <w:t>168,302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keepNext/>
              <w:spacing w:after="0"/>
            </w:pPr>
            <w:r>
              <w:rPr>
                <w:sz w:val="20"/>
              </w:rPr>
              <w:t>17</w:t>
            </w:r>
          </w:p>
        </w:tc>
        <w:tc>
          <w:tcPr>
            <w:tcW w:type="dxa" w:w="2232"/>
          </w:tcPr>
          <w:p>
            <w:pPr>
              <w:keepNext/>
              <w:spacing w:after="0"/>
            </w:pPr>
            <w:r>
              <w:rPr>
                <w:sz w:val="20"/>
              </w:rPr>
              <w:t>Nicolás Romero</w:t>
            </w:r>
          </w:p>
        </w:tc>
        <w:tc>
          <w:tcPr>
            <w:tcW w:type="dxa" w:w="1800"/>
          </w:tcPr>
          <w:p>
            <w:pPr>
              <w:keepNext/>
              <w:spacing w:after="0"/>
            </w:pPr>
            <w:r>
              <w:rPr>
                <w:sz w:val="20"/>
              </w:rPr>
              <w:t>México</w:t>
            </w:r>
          </w:p>
        </w:tc>
        <w:tc>
          <w:tcPr>
            <w:tcW w:type="dxa" w:w="1440"/>
          </w:tcPr>
          <w:p>
            <w:pPr>
              <w:keepNext/>
              <w:spacing w:after="0"/>
            </w:pPr>
            <w:r>
              <w:rPr>
                <w:sz w:val="20"/>
              </w:rPr>
              <w:t>0.87</w:t>
            </w:r>
          </w:p>
        </w:tc>
        <w:tc>
          <w:tcPr>
            <w:tcW w:type="dxa" w:w="1512"/>
          </w:tcPr>
          <w:p>
            <w:pPr>
              <w:keepNext/>
              <w:spacing w:after="0"/>
            </w:pPr>
            <w:r>
              <w:rPr>
                <w:sz w:val="20"/>
              </w:rPr>
              <w:t>Densificación</w:t>
            </w:r>
          </w:p>
        </w:tc>
        <w:tc>
          <w:tcPr>
            <w:tcW w:type="dxa" w:w="1368"/>
          </w:tcPr>
          <w:p>
            <w:pPr>
              <w:keepNext/>
              <w:spacing w:after="0"/>
            </w:pPr>
            <w:r>
              <w:rPr>
                <w:sz w:val="20"/>
              </w:rPr>
              <w:t>430,601</w:t>
            </w:r>
          </w:p>
        </w:tc>
      </w:tr>
      <w:tr>
        <w:trPr>
          <w:cantSplit/>
        </w:trPr>
        <w:tc>
          <w:tcPr>
            <w:tcW w:type="dxa" w:w="893"/>
          </w:tcPr>
          <w:p>
            <w:pPr>
              <w:keepNext w:val="0"/>
              <w:spacing w:after="0"/>
            </w:pPr>
            <w:r>
              <w:rPr>
                <w:sz w:val="20"/>
              </w:rPr>
              <w:t>18</w:t>
            </w:r>
          </w:p>
        </w:tc>
        <w:tc>
          <w:tcPr>
            <w:tcW w:type="dxa" w:w="2232"/>
          </w:tcPr>
          <w:p>
            <w:pPr>
              <w:keepNext w:val="0"/>
              <w:spacing w:after="0"/>
            </w:pPr>
            <w:r>
              <w:rPr>
                <w:sz w:val="20"/>
              </w:rPr>
              <w:t>Salamanca</w:t>
            </w:r>
          </w:p>
        </w:tc>
        <w:tc>
          <w:tcPr>
            <w:tcW w:type="dxa" w:w="1800"/>
          </w:tcPr>
          <w:p>
            <w:pPr>
              <w:keepNext w:val="0"/>
              <w:spacing w:after="0"/>
            </w:pPr>
            <w:r>
              <w:rPr>
                <w:sz w:val="20"/>
              </w:rPr>
              <w:t>Guanajuato</w:t>
            </w:r>
          </w:p>
        </w:tc>
        <w:tc>
          <w:tcPr>
            <w:tcW w:type="dxa" w:w="1440"/>
          </w:tcPr>
          <w:p>
            <w:pPr>
              <w:keepNext w:val="0"/>
              <w:spacing w:after="0"/>
            </w:pPr>
            <w:r>
              <w:rPr>
                <w:sz w:val="20"/>
              </w:rPr>
              <w:t>0.86</w:t>
            </w:r>
          </w:p>
        </w:tc>
        <w:tc>
          <w:tcPr>
            <w:tcW w:type="dxa" w:w="1512"/>
          </w:tcPr>
          <w:p>
            <w:pPr>
              <w:keepNext w:val="0"/>
              <w:spacing w:after="0"/>
            </w:pPr>
            <w:r>
              <w:rPr>
                <w:sz w:val="20"/>
              </w:rPr>
              <w:t>Densificación</w:t>
            </w:r>
          </w:p>
        </w:tc>
        <w:tc>
          <w:tcPr>
            <w:tcW w:type="dxa" w:w="1368"/>
          </w:tcPr>
          <w:p>
            <w:pPr>
              <w:keepNext w:val="0"/>
              <w:spacing w:after="0"/>
            </w:pPr>
            <w:r>
              <w:rPr>
                <w:sz w:val="20"/>
              </w:rPr>
              <w:t>273,417</w:t>
            </w:r>
          </w:p>
        </w:tc>
      </w:tr>
    </w:tbl>
    <w:p>
      <w:pPr/>
    </w:p>
    <w:p>
      <w:pPr/>
      <w:r>
        <w:rPr>
          <w:b/>
        </w:rPr>
        <w:t xml:space="preserve">Nota. </w:t>
      </w:r>
      <w:r>
        <w:rPr>
          <w:i w:val="0"/>
        </w:rPr>
        <w:t>La sucursal de referencia de Villa de Álvarez, en la ciudad de Colima, cerró en mayo de 2025; Manzanillo y Villa de Álvarez deben evaluarse con cautela.</w:t>
      </w:r>
    </w:p>
    <w:p>
      <w:pPr>
        <w:keepNext/>
        <w:jc w:val="center"/>
      </w:pPr>
      <w:r>
        <w:drawing>
          <wp:inline>
            <wp:extent cx="5120640" cy="34907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top20_candidato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90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13 del notebook: en azul, los candidatos que ya tienen McDonald's fuera del DENUE.</w:t>
      </w:r>
    </w:p>
    <w:p>
      <w:pPr>
        <w:keepNext/>
        <w:jc w:val="center"/>
      </w:pPr>
      <w:r>
        <w:drawing>
          <wp:inline>
            <wp:extent cx="5120640" cy="35545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mapa_candidat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54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12 del notebook: el número junto a cada candidato es su rango.</w:t>
      </w:r>
    </w:p>
    <w:p>
      <w:pPr>
        <w:pStyle w:val="Heading2"/>
      </w:pPr>
      <w:r>
        <w:t>6. Recomendaciones</w:t>
      </w:r>
    </w:p>
    <w:p>
      <w:pPr>
        <w:spacing w:after="60"/>
        <w:ind w:left="432" w:hanging="360"/>
      </w:pPr>
      <w:r>
        <w:rPr>
          <w:b/>
        </w:rPr>
        <w:t xml:space="preserve">1) Prioridad: </w:t>
      </w:r>
      <w:r>
        <w:rPr>
          <w:i w:val="0"/>
        </w:rPr>
        <w:t>Tepic, capital de 426 mil habitantes, a 92 km de la sucursal más cercana.</w:t>
      </w:r>
    </w:p>
    <w:p>
      <w:pPr>
        <w:spacing w:after="60"/>
        <w:ind w:left="432" w:hanging="360"/>
      </w:pPr>
      <w:r>
        <w:rPr>
          <w:b/>
        </w:rPr>
        <w:t xml:space="preserve">2) Densificar: </w:t>
      </w:r>
      <w:r>
        <w:rPr>
          <w:i w:val="0"/>
        </w:rPr>
        <w:t>Corregidora, Xochimilco, Soledad de Graciano Sánchez, Juárez (N. L.), Nicolás Romero, Tizayuca y Salamanca.</w:t>
      </w:r>
    </w:p>
    <w:p>
      <w:pPr>
        <w:spacing w:after="60"/>
        <w:ind w:left="432" w:hanging="360"/>
      </w:pPr>
      <w:r>
        <w:rPr>
          <w:b/>
        </w:rPr>
        <w:t xml:space="preserve">3) Mercados nuevos: </w:t>
      </w:r>
      <w:r>
        <w:rPr>
          <w:i w:val="0"/>
        </w:rPr>
        <w:t>Delicias, San Luis Río Colorado y Poza Rica.</w:t>
      </w:r>
    </w:p>
    <w:p>
      <w:pPr>
        <w:spacing w:after="60"/>
        <w:ind w:left="432" w:hanging="360"/>
      </w:pPr>
      <w:r>
        <w:rPr>
          <w:b/>
        </w:rPr>
        <w:t xml:space="preserve">4) Siguiente paso: </w:t>
      </w:r>
      <w:r>
        <w:rPr>
          <w:i w:val="0"/>
        </w:rPr>
        <w:t>estudio de sitio y aforos en los 13 municipios.</w:t>
      </w:r>
    </w:p>
    <w:p>
      <w:pPr>
        <w:pStyle w:val="Heading2"/>
      </w:pPr>
      <w:r>
        <w:t>7. Limitaciones principales</w:t>
      </w:r>
    </w:p>
    <w:p>
      <w:pPr>
        <w:spacing w:after="60"/>
        <w:ind w:left="432" w:hanging="360"/>
      </w:pPr>
      <w:r>
        <w:rPr>
          <w:i w:val="0"/>
        </w:rPr>
        <w:t>1) La etiqueta refleja las decisiones pasadas de la empresa, no la rentabilidad: un municipio sin sucursal pudo descartarse por seguridad, predios o logística.</w:t>
      </w:r>
    </w:p>
    <w:p>
      <w:pPr>
        <w:spacing w:after="60"/>
        <w:ind w:left="432" w:hanging="360"/>
      </w:pPr>
      <w:r>
        <w:rPr>
          <w:i w:val="0"/>
        </w:rPr>
        <w:t>2) El DENUE tiene rezago: omite aperturas recientes y conserva algunos cierres; por eso el top 20 se validó contra el sitio oficial de la marca.</w:t>
      </w:r>
    </w:p>
    <w:p>
      <w:pPr>
        <w:spacing w:after="60"/>
        <w:ind w:left="432" w:hanging="360"/>
      </w:pPr>
      <w:r>
        <w:rPr>
          <w:i w:val="0"/>
        </w:rPr>
        <w:t>3) La unidad municipal es gruesa: el siguiente paso es bajar a AGEB urbana para ubicar plazas y avenidas.</w:t>
      </w:r>
    </w:p>
    <w:p>
      <w:pPr>
        <w:spacing w:after="60"/>
        <w:ind w:left="432" w:hanging="360"/>
      </w:pPr>
      <w:r>
        <w:rPr>
          <w:i w:val="0"/>
        </w:rPr>
        <w:t>4) La competencia es endógena: sirve para predecir, no como causa.</w:t>
      </w:r>
    </w:p>
    <w:p>
      <w:pPr>
        <w:pStyle w:val="Heading2"/>
      </w:pPr>
      <w:r>
        <w:t>8. Contenido del repositorio</w:t>
      </w:r>
    </w:p>
    <w:p>
      <w:pPr>
        <w:spacing w:after="60"/>
        <w:ind w:left="432" w:hanging="360"/>
      </w:pPr>
      <w:r>
        <w:rPr>
          <w:b/>
        </w:rPr>
        <w:t xml:space="preserve">1) proyecto_expansion_mcdonalds.ipynb: </w:t>
      </w:r>
      <w:r>
        <w:rPr>
          <w:i w:val="0"/>
        </w:rPr>
        <w:t>entregable principal, ejecutado.</w:t>
      </w:r>
    </w:p>
    <w:p>
      <w:pPr>
        <w:spacing w:after="60"/>
        <w:ind w:left="432" w:hanging="360"/>
      </w:pPr>
      <w:r>
        <w:rPr>
          <w:b/>
        </w:rPr>
        <w:t xml:space="preserve">2) README.md: </w:t>
      </w:r>
      <w:r>
        <w:rPr>
          <w:i w:val="0"/>
        </w:rPr>
        <w:t>resumen de resultados y guía para reproducir el análisis.</w:t>
      </w:r>
    </w:p>
    <w:p>
      <w:pPr>
        <w:spacing w:after="60"/>
        <w:ind w:left="432" w:hanging="360"/>
      </w:pPr>
      <w:r>
        <w:rPr>
          <w:b/>
        </w:rPr>
        <w:t xml:space="preserve">3) datos/: </w:t>
      </w:r>
      <w:r>
        <w:rPr>
          <w:i w:val="0"/>
        </w:rPr>
        <w:t>datos crudos de INEGI, tablas procesadas, tabla analítica, predicciones y validación externa.</w:t>
      </w:r>
    </w:p>
    <w:p>
      <w:pPr>
        <w:spacing w:after="60"/>
        <w:ind w:left="432" w:hanging="360"/>
      </w:pPr>
      <w:r>
        <w:rPr>
          <w:b/>
        </w:rPr>
        <w:t xml:space="preserve">4) figuras/: </w:t>
      </w:r>
      <w:r>
        <w:rPr>
          <w:i w:val="0"/>
        </w:rPr>
        <w:t>las 13 figuras del notebook.</w:t>
      </w:r>
    </w:p>
    <w:p>
      <w:pPr>
        <w:spacing w:after="60"/>
        <w:ind w:left="432" w:hanging="360"/>
      </w:pPr>
      <w:r>
        <w:rPr>
          <w:b/>
        </w:rPr>
        <w:t xml:space="preserve">5) presentacion/: </w:t>
      </w:r>
      <w:r>
        <w:rPr>
          <w:i w:val="0"/>
        </w:rPr>
        <w:t>presentación ejecutiva de 5 diapositivas.</w:t>
      </w:r>
    </w:p>
    <w:p>
      <w:pPr>
        <w:pStyle w:val="Heading2"/>
      </w:pPr>
      <w:r>
        <w:t>9. Referencias</w:t>
      </w:r>
    </w:p>
    <w:p>
      <w:pPr>
        <w:spacing w:after="60"/>
        <w:ind w:left="432" w:hanging="360"/>
      </w:pPr>
      <w:r>
        <w:rPr>
          <w:i w:val="0"/>
        </w:rPr>
        <w:t>1) INEGI (2026). Directorio Estadístico Nacional de Unidades Económicas (DENUE) 05/2026.</w:t>
      </w:r>
    </w:p>
    <w:p>
      <w:pPr>
        <w:spacing w:after="60"/>
        <w:ind w:left="432" w:hanging="360"/>
      </w:pPr>
      <w:r>
        <w:rPr>
          <w:i w:val="0"/>
        </w:rPr>
        <w:t>2) INEGI (2021, actualizado en 2022). Censo de Población y Vivienda 2020. Principales resultados por localidad (ITER).</w:t>
      </w:r>
    </w:p>
    <w:p>
      <w:pPr>
        <w:spacing w:after="60"/>
        <w:ind w:left="432" w:hanging="360"/>
      </w:pPr>
      <w:r>
        <w:rPr>
          <w:i w:val="0"/>
        </w:rPr>
        <w:t>3) Expansión (14 de agosto de 2026). McDonald's ya tiene 380 sucursales en México y quiere abrir más.</w:t>
      </w:r>
    </w:p>
    <w:p>
      <w:pPr>
        <w:spacing w:after="60"/>
        <w:ind w:left="432" w:hanging="360"/>
      </w:pPr>
      <w:r>
        <w:rPr>
          <w:i w:val="0"/>
        </w:rPr>
        <w:t>4) ABC Noticias (25 de noviembre de 2025). McDonald's inaugura su primera sucursal en Apodaca.</w:t>
      </w:r>
    </w:p>
    <w:p>
      <w:pPr>
        <w:spacing w:after="60"/>
        <w:ind w:left="432" w:hanging="360"/>
      </w:pPr>
      <w:r>
        <w:rPr>
          <w:i w:val="0"/>
        </w:rPr>
        <w:t>5) McDonald's México. Localizador de restaurantes, consultado el 19 de septiembre de 2026.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decimal"/>
      <w:lvlText w:val="%2)"/>
      <w:lvlJc w:val="left"/>
      <w:pPr>
        <w:ind w:left="1440" w:hanging="360"/>
      </w:pPr>
      <w:rPr/>
    </w:lvl>
    <w:lvl w:ilvl="2">
      <w:start w:val="1"/>
      <w:numFmt w:val="lowerRoman"/>
      <w:lvlText w:val="%3)"/>
      <w:lvlJc w:val="left"/>
      <w:pPr>
        <w:ind w:left="2160" w:hanging="360"/>
      </w:pPr>
      <w:rPr/>
    </w:lvl>
    <w:lvl w:ilvl="3">
      <w:start w:val="1"/>
      <w:numFmt w:val="lowerLetter"/>
      <w:lvlText w:val="%4)"/>
      <w:lvlJc w:val="left"/>
      <w:pPr>
        <w:ind w:left="2880" w:hanging="360"/>
      </w:pPr>
      <w:rPr/>
    </w:lvl>
    <w:lvl w:ilvl="4">
      <w:start w:val="1"/>
      <w:numFmt w:val="decimal"/>
      <w:lvlText w:val="%5)"/>
      <w:lvlJc w:val="left"/>
      <w:pPr>
        <w:ind w:left="3600" w:hanging="360"/>
      </w:pPr>
      <w:rPr/>
    </w:lvl>
    <w:lvl w:ilvl="5">
      <w:start w:val="1"/>
      <w:numFmt w:val="lowerRoman"/>
      <w:lvlText w:val="%6)"/>
      <w:lvlJc w:val="left"/>
      <w:pPr>
        <w:ind w:left="4320" w:hanging="360"/>
      </w:pPr>
      <w:rPr/>
    </w:lvl>
    <w:lvl w:ilvl="6">
      <w:start w:val="1"/>
      <w:numFmt w:val="lowerLetter"/>
      <w:lvlText w:val="%7)"/>
      <w:lvlJc w:val="left"/>
      <w:pPr>
        <w:ind w:left="5040" w:hanging="360"/>
      </w:pPr>
      <w:rPr/>
    </w:lvl>
    <w:lvl w:ilvl="7">
      <w:start w:val="1"/>
      <w:numFmt w:val="decimal"/>
      <w:lvlText w:val="%8)"/>
      <w:lvlJc w:val="left"/>
      <w:pPr>
        <w:ind w:left="5760" w:hanging="360"/>
      </w:pPr>
      <w:rPr/>
    </w:lvl>
    <w:lvl w:ilvl="8">
      <w:start w:val="1"/>
      <w:numFmt w:val="lowerRoman"/>
      <w:lvlText w:val="%9)"/>
      <w:lvlJc w:val="left"/>
      <w:pPr>
        <w:ind w:left="6480" w:hanging="36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decimal"/>
      <w:lvlText w:val="%2)"/>
      <w:lvlJc w:val="left"/>
      <w:pPr>
        <w:ind w:left="1440" w:hanging="360"/>
      </w:pPr>
      <w:rPr/>
    </w:lvl>
    <w:lvl w:ilvl="2">
      <w:start w:val="1"/>
      <w:numFmt w:val="lowerRoman"/>
      <w:lvlText w:val="%3)"/>
      <w:lvlJc w:val="left"/>
      <w:pPr>
        <w:ind w:left="2160" w:hanging="360"/>
      </w:pPr>
      <w:rPr/>
    </w:lvl>
    <w:lvl w:ilvl="3">
      <w:start w:val="1"/>
      <w:numFmt w:val="lowerLetter"/>
      <w:lvlText w:val="%4)"/>
      <w:lvlJc w:val="left"/>
      <w:pPr>
        <w:ind w:left="2880" w:hanging="360"/>
      </w:pPr>
      <w:rPr/>
    </w:lvl>
    <w:lvl w:ilvl="4">
      <w:start w:val="1"/>
      <w:numFmt w:val="decimal"/>
      <w:lvlText w:val="%5)"/>
      <w:lvlJc w:val="left"/>
      <w:pPr>
        <w:ind w:left="3600" w:hanging="360"/>
      </w:pPr>
      <w:rPr/>
    </w:lvl>
    <w:lvl w:ilvl="5">
      <w:start w:val="1"/>
      <w:numFmt w:val="lowerRoman"/>
      <w:lvlText w:val="%6)"/>
      <w:lvlJc w:val="left"/>
      <w:pPr>
        <w:ind w:left="4320" w:hanging="360"/>
      </w:pPr>
      <w:rPr/>
    </w:lvl>
    <w:lvl w:ilvl="6">
      <w:start w:val="1"/>
      <w:numFmt w:val="lowerLetter"/>
      <w:lvlText w:val="%7)"/>
      <w:lvlJc w:val="left"/>
      <w:pPr>
        <w:ind w:left="5040" w:hanging="360"/>
      </w:pPr>
      <w:rPr/>
    </w:lvl>
    <w:lvl w:ilvl="7">
      <w:start w:val="1"/>
      <w:numFmt w:val="decimal"/>
      <w:lvlText w:val="%8)"/>
      <w:lvlJc w:val="left"/>
      <w:pPr>
        <w:ind w:left="5760" w:hanging="360"/>
      </w:pPr>
      <w:rPr/>
    </w:lvl>
    <w:lvl w:ilvl="8">
      <w:start w:val="1"/>
      <w:numFmt w:val="lowerRoman"/>
      <w:lvlText w:val="%9)"/>
      <w:lvlJc w:val="left"/>
      <w:pPr>
        <w:ind w:left="6480" w:hanging="36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decimal"/>
      <w:lvlText w:val="%2)"/>
      <w:lvlJc w:val="left"/>
      <w:pPr>
        <w:ind w:left="1440" w:hanging="360"/>
      </w:pPr>
      <w:rPr/>
    </w:lvl>
    <w:lvl w:ilvl="2">
      <w:start w:val="1"/>
      <w:numFmt w:val="lowerRoman"/>
      <w:lvlText w:val="%3)"/>
      <w:lvlJc w:val="left"/>
      <w:pPr>
        <w:ind w:left="2160" w:hanging="360"/>
      </w:pPr>
      <w:rPr/>
    </w:lvl>
    <w:lvl w:ilvl="3">
      <w:start w:val="1"/>
      <w:numFmt w:val="lowerLetter"/>
      <w:lvlText w:val="%4)"/>
      <w:lvlJc w:val="left"/>
      <w:pPr>
        <w:ind w:left="2880" w:hanging="360"/>
      </w:pPr>
      <w:rPr/>
    </w:lvl>
    <w:lvl w:ilvl="4">
      <w:start w:val="1"/>
      <w:numFmt w:val="decimal"/>
      <w:lvlText w:val="%5)"/>
      <w:lvlJc w:val="left"/>
      <w:pPr>
        <w:ind w:left="3600" w:hanging="360"/>
      </w:pPr>
      <w:rPr/>
    </w:lvl>
    <w:lvl w:ilvl="5">
      <w:start w:val="1"/>
      <w:numFmt w:val="lowerRoman"/>
      <w:lvlText w:val="%6)"/>
      <w:lvlJc w:val="left"/>
      <w:pPr>
        <w:ind w:left="4320" w:hanging="360"/>
      </w:pPr>
      <w:rPr/>
    </w:lvl>
    <w:lvl w:ilvl="6">
      <w:start w:val="1"/>
      <w:numFmt w:val="lowerLetter"/>
      <w:lvlText w:val="%7)"/>
      <w:lvlJc w:val="left"/>
      <w:pPr>
        <w:ind w:left="5040" w:hanging="360"/>
      </w:pPr>
      <w:rPr/>
    </w:lvl>
    <w:lvl w:ilvl="7">
      <w:start w:val="1"/>
      <w:numFmt w:val="decimal"/>
      <w:lvlText w:val="%8)"/>
      <w:lvlJc w:val="left"/>
      <w:pPr>
        <w:ind w:left="5760" w:hanging="360"/>
      </w:pPr>
      <w:rPr/>
    </w:lvl>
    <w:lvl w:ilvl="8">
      <w:start w:val="1"/>
      <w:numFmt w:val="lowerRoman"/>
      <w:lvlText w:val="%9)"/>
      <w:lvlJc w:val="left"/>
      <w:pPr>
        <w:ind w:left="6480" w:hanging="360"/>
      </w:pPr>
      <w:rPr/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decimal"/>
      <w:lvlText w:val="%2)"/>
      <w:lvlJc w:val="left"/>
      <w:pPr>
        <w:ind w:left="1440" w:hanging="360"/>
      </w:pPr>
      <w:rPr/>
    </w:lvl>
    <w:lvl w:ilvl="2">
      <w:start w:val="1"/>
      <w:numFmt w:val="lowerRoman"/>
      <w:lvlText w:val="%3)"/>
      <w:lvlJc w:val="left"/>
      <w:pPr>
        <w:ind w:left="2160" w:hanging="360"/>
      </w:pPr>
      <w:rPr/>
    </w:lvl>
    <w:lvl w:ilvl="3">
      <w:start w:val="1"/>
      <w:numFmt w:val="lowerLetter"/>
      <w:lvlText w:val="%4)"/>
      <w:lvlJc w:val="left"/>
      <w:pPr>
        <w:ind w:left="2880" w:hanging="360"/>
      </w:pPr>
      <w:rPr/>
    </w:lvl>
    <w:lvl w:ilvl="4">
      <w:start w:val="1"/>
      <w:numFmt w:val="decimal"/>
      <w:lvlText w:val="%5)"/>
      <w:lvlJc w:val="left"/>
      <w:pPr>
        <w:ind w:left="3600" w:hanging="360"/>
      </w:pPr>
      <w:rPr/>
    </w:lvl>
    <w:lvl w:ilvl="5">
      <w:start w:val="1"/>
      <w:numFmt w:val="lowerRoman"/>
      <w:lvlText w:val="%6)"/>
      <w:lvlJc w:val="left"/>
      <w:pPr>
        <w:ind w:left="4320" w:hanging="360"/>
      </w:pPr>
      <w:rPr/>
    </w:lvl>
    <w:lvl w:ilvl="6">
      <w:start w:val="1"/>
      <w:numFmt w:val="lowerLetter"/>
      <w:lvlText w:val="%7)"/>
      <w:lvlJc w:val="left"/>
      <w:pPr>
        <w:ind w:left="5040" w:hanging="360"/>
      </w:pPr>
      <w:rPr/>
    </w:lvl>
    <w:lvl w:ilvl="7">
      <w:start w:val="1"/>
      <w:numFmt w:val="decimal"/>
      <w:lvlText w:val="%8)"/>
      <w:lvlJc w:val="left"/>
      <w:pPr>
        <w:ind w:left="5760" w:hanging="360"/>
      </w:pPr>
      <w:rPr/>
    </w:lvl>
    <w:lvl w:ilvl="8">
      <w:start w:val="1"/>
      <w:numFmt w:val="lowerRoman"/>
      <w:lvlText w:val="%9)"/>
      <w:lvlJc w:val="left"/>
      <w:pPr>
        <w:ind w:left="6480" w:hanging="360"/>
      </w:pPr>
      <w:rPr/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decimal"/>
      <w:lvlText w:val="%2)"/>
      <w:lvlJc w:val="left"/>
      <w:pPr>
        <w:ind w:left="1440" w:hanging="360"/>
      </w:pPr>
      <w:rPr/>
    </w:lvl>
    <w:lvl w:ilvl="2">
      <w:start w:val="1"/>
      <w:numFmt w:val="lowerRoman"/>
      <w:lvlText w:val="%3)"/>
      <w:lvlJc w:val="left"/>
      <w:pPr>
        <w:ind w:left="2160" w:hanging="360"/>
      </w:pPr>
      <w:rPr/>
    </w:lvl>
    <w:lvl w:ilvl="3">
      <w:start w:val="1"/>
      <w:numFmt w:val="lowerLetter"/>
      <w:lvlText w:val="%4)"/>
      <w:lvlJc w:val="left"/>
      <w:pPr>
        <w:ind w:left="2880" w:hanging="360"/>
      </w:pPr>
      <w:rPr/>
    </w:lvl>
    <w:lvl w:ilvl="4">
      <w:start w:val="1"/>
      <w:numFmt w:val="decimal"/>
      <w:lvlText w:val="%5)"/>
      <w:lvlJc w:val="left"/>
      <w:pPr>
        <w:ind w:left="3600" w:hanging="360"/>
      </w:pPr>
      <w:rPr/>
    </w:lvl>
    <w:lvl w:ilvl="5">
      <w:start w:val="1"/>
      <w:numFmt w:val="lowerRoman"/>
      <w:lvlText w:val="%6)"/>
      <w:lvlJc w:val="left"/>
      <w:pPr>
        <w:ind w:left="4320" w:hanging="360"/>
      </w:pPr>
      <w:rPr/>
    </w:lvl>
    <w:lvl w:ilvl="6">
      <w:start w:val="1"/>
      <w:numFmt w:val="lowerLetter"/>
      <w:lvlText w:val="%7)"/>
      <w:lvlJc w:val="left"/>
      <w:pPr>
        <w:ind w:left="5040" w:hanging="360"/>
      </w:pPr>
      <w:rPr/>
    </w:lvl>
    <w:lvl w:ilvl="7">
      <w:start w:val="1"/>
      <w:numFmt w:val="decimal"/>
      <w:lvlText w:val="%8)"/>
      <w:lvlJc w:val="left"/>
      <w:pPr>
        <w:ind w:left="5760" w:hanging="360"/>
      </w:pPr>
      <w:rPr/>
    </w:lvl>
    <w:lvl w:ilvl="8">
      <w:start w:val="1"/>
      <w:numFmt w:val="lowerRoman"/>
      <w:lvlText w:val="%9)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/>
      <w:color w:val="000000"/>
      <w:sz w:val="22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Arial" w:hAnsi="Arial"/>
      <w:color w:val="404040"/>
      <w:sz w:val="36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Arial" w:hAnsi="Arial"/>
      <w:b w:val="0"/>
      <w:bCs w:val="0"/>
      <w:color w:val="404040"/>
      <w:sz w:val="36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rFonts w:ascii="Arial" w:hAnsi="Arial"/>
      <w:color w:val="00000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404040"/>
      <w:sz w:val="36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Gogo677/Proyecto-Modulo-4-DJ" TargetMode="External"/><Relationship Id="rId7" Type="http://schemas.openxmlformats.org/officeDocument/2006/relationships/image" Target="media/image9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¿Dónde debe abrir McDonald's sus próximas sucursales en México?</dc:title>
  <cp:lastModifiedBy>python-docx</cp:lastModifiedBy>
  <cp:revision>1</cp:revision>
  <dcterms:modified xsi:type="dcterms:W3CDTF">2026-10-03T04:10:31Z</dcterms:modified>
  <dc:creator>Diego Jiménez González</dc:creator>
</cp:coreProperties>
</file>