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2981392"/>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2981392"/>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334780"/>
            <wp:docPr id="2" name="Picture 2"/>
            <wp:cNvGraphicFramePr>
              <a:graphicFrameLocks noChangeAspect="1"/>
            </wp:cNvGraphicFramePr>
            <a:graphic>
              <a:graphicData uri="http://schemas.openxmlformats.org/drawingml/2006/picture">
                <pic:pic>
                  <pic:nvPicPr>
                    <pic:cNvPr id="0" name="01_cost_heatmaps.png"/>
                    <pic:cNvPicPr/>
                  </pic:nvPicPr>
                  <pic:blipFill>
                    <a:blip r:embed="rId10"/>
                    <a:stretch>
                      <a:fillRect/>
                    </a:stretch>
                  </pic:blipFill>
                  <pic:spPr>
                    <a:xfrm>
                      <a:off x="0" y="0"/>
                      <a:ext cx="5029200" cy="3334780"/>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2983080"/>
            <wp:docPr id="3" name="Picture 3"/>
            <wp:cNvGraphicFramePr>
              <a:graphicFrameLocks noChangeAspect="1"/>
            </wp:cNvGraphicFramePr>
            <a:graphic>
              <a:graphicData uri="http://schemas.openxmlformats.org/drawingml/2006/picture">
                <pic:pic>
                  <pic:nvPicPr>
                    <pic:cNvPr id="0" name="01_proc_distributions.png"/>
                    <pic:cNvPicPr/>
                  </pic:nvPicPr>
                  <pic:blipFill>
                    <a:blip r:embed="rId11"/>
                    <a:stretch>
                      <a:fillRect/>
                    </a:stretch>
                  </pic:blipFill>
                  <pic:spPr>
                    <a:xfrm>
                      <a:off x="0" y="0"/>
                      <a:ext cx="5029200" cy="2983080"/>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229080"/>
            <wp:docPr id="4" name="Picture 4"/>
            <wp:cNvGraphicFramePr>
              <a:graphicFrameLocks noChangeAspect="1"/>
            </wp:cNvGraphicFramePr>
            <a:graphic>
              <a:graphicData uri="http://schemas.openxmlformats.org/drawingml/2006/picture">
                <pic:pic>
                  <pic:nvPicPr>
                    <pic:cNvPr id="0" name="01_duedates_vs_completion.png"/>
                    <pic:cNvPicPr/>
                  </pic:nvPicPr>
                  <pic:blipFill>
                    <a:blip r:embed="rId12"/>
                    <a:stretch>
                      <a:fillRect/>
                    </a:stretch>
                  </pic:blipFill>
                  <pic:spPr>
                    <a:xfrm>
                      <a:off x="0" y="0"/>
                      <a:ext cx="5029200" cy="3229080"/>
                    </a:xfrm>
                    <a:prstGeom prst="rect"/>
                  </pic:spPr>
                </pic:pic>
              </a:graphicData>
            </a:graphic>
          </wp:inline>
        </w:drawing>
      </w:r>
    </w:p>
    <w:p>
      <w:pPr>
        <w:jc w:val="center"/>
      </w:pPr>
      <w:r>
        <w:rPr>
          <w:i/>
          <w:sz w:val="18"/>
        </w:rPr>
        <w:t>Figure 1.4: Due dates vs completion times for a representative instance. Jobs above the diagonal are completed after their due date, incurring tardiness penalties.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5" name="Picture 5"/>
            <wp:cNvGraphicFramePr>
              <a:graphicFrameLocks noChangeAspect="1"/>
            </wp:cNvGraphicFramePr>
            <a:graphic>
              <a:graphicData uri="http://schemas.openxmlformats.org/drawingml/2006/picture">
                <pic:pic>
                  <pic:nvPicPr>
                    <pic:cNvPr id="0" name="02_heuristic_comparison.png"/>
                    <pic:cNvPicPr/>
                  </pic:nvPicPr>
                  <pic:blipFill>
                    <a:blip r:embed="rId13"/>
                    <a:stretch>
                      <a:fillRect/>
                    </a:stretch>
                  </pic:blipFill>
                  <pic:spPr>
                    <a:xfrm>
                      <a:off x="0" y="0"/>
                      <a:ext cx="5029200" cy="2468695"/>
                    </a:xfrm>
                    <a:prstGeom prst="rect"/>
                  </pic:spPr>
                </pic:pic>
              </a:graphicData>
            </a:graphic>
          </wp:inline>
        </w:drawing>
      </w:r>
    </w:p>
    <w:p>
      <w:pPr>
        <w:jc w:val="center"/>
      </w:pPr>
      <w:r>
        <w:rPr>
          <w:i/>
          <w:sz w:val="18"/>
        </w:rPr>
        <w:t>Figure 2.1: Heuristic performance comparison across instance configurations (lower is better). SPT and NN-Greedy show consistent but higher composite scores compared to the optimisation-based methods.</w:t>
      </w:r>
    </w:p>
    <w:p>
      <w:r>
        <w:drawing>
          <wp:inline xmlns:a="http://schemas.openxmlformats.org/drawingml/2006/main" xmlns:pic="http://schemas.openxmlformats.org/drawingml/2006/picture">
            <wp:extent cx="5029200" cy="1324363"/>
            <wp:docPr id="6" name="Picture 6"/>
            <wp:cNvGraphicFramePr>
              <a:graphicFrameLocks noChangeAspect="1"/>
            </wp:cNvGraphicFramePr>
            <a:graphic>
              <a:graphicData uri="http://schemas.openxmlformats.org/drawingml/2006/picture">
                <pic:pic>
                  <pic:nvPicPr>
                    <pic:cNvPr id="0" name="02_gantt_heuristics.png"/>
                    <pic:cNvPicPr/>
                  </pic:nvPicPr>
                  <pic:blipFill>
                    <a:blip r:embed="rId14"/>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7" name="Picture 7"/>
            <wp:cNvGraphicFramePr>
              <a:graphicFrameLocks noChangeAspect="1"/>
            </wp:cNvGraphicFramePr>
            <a:graphic>
              <a:graphicData uri="http://schemas.openxmlformats.org/drawingml/2006/picture">
                <pic:pic>
                  <pic:nvPicPr>
                    <pic:cNvPr id="0" name="03_convergence_curves.png"/>
                    <pic:cNvPicPr/>
                  </pic:nvPicPr>
                  <pic:blipFill>
                    <a:blip r:embed="rId15"/>
                    <a:stretch>
                      <a:fillRect/>
                    </a:stretch>
                  </pic:blipFill>
                  <pic:spPr>
                    <a:xfrm>
                      <a:off x="0" y="0"/>
                      <a:ext cx="5029200" cy="1623550"/>
                    </a:xfrm>
                    <a:prstGeom prst="rect"/>
                  </pic:spPr>
                </pic:pic>
              </a:graphicData>
            </a:graphic>
          </wp:inline>
        </w:drawing>
      </w:r>
    </w:p>
    <w:p>
      <w:pPr>
        <w:jc w:val="center"/>
      </w:pPr>
      <w:r>
        <w:rPr>
          <w:i/>
          <w:sz w:val="18"/>
        </w:rPr>
        <w:t>Figure 3.1: GA convergence curves across instance sizes (lower is better). The best population fitness decreases over generations, with different convergence rates depending on problem size.</w:t>
      </w:r>
    </w:p>
    <w:p>
      <w:r>
        <w:drawing>
          <wp:inline xmlns:a="http://schemas.openxmlformats.org/drawingml/2006/main" xmlns:pic="http://schemas.openxmlformats.org/drawingml/2006/picture">
            <wp:extent cx="5029200" cy="3199999"/>
            <wp:docPr id="8" name="Picture 8"/>
            <wp:cNvGraphicFramePr>
              <a:graphicFrameLocks noChangeAspect="1"/>
            </wp:cNvGraphicFramePr>
            <a:graphic>
              <a:graphicData uri="http://schemas.openxmlformats.org/drawingml/2006/picture">
                <pic:pic>
                  <pic:nvPicPr>
                    <pic:cNvPr id="0" name="03_fitness_heatmap.png"/>
                    <pic:cNvPicPr/>
                  </pic:nvPicPr>
                  <pic:blipFill>
                    <a:blip r:embed="rId16"/>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9" name="Picture 9"/>
            <wp:cNvGraphicFramePr>
              <a:graphicFrameLocks noChangeAspect="1"/>
            </wp:cNvGraphicFramePr>
            <a:graphic>
              <a:graphicData uri="http://schemas.openxmlformats.org/drawingml/2006/picture">
                <pic:pic>
                  <pic:nvPicPr>
                    <pic:cNvPr id="0" name="05_improvement_bars.png"/>
                    <pic:cNvPicPr/>
                  </pic:nvPicPr>
                  <pic:blipFill>
                    <a:blip r:embed="rId17"/>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2820480"/>
            <wp:docPr id="10" name="Picture 10"/>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1" name="Picture 11"/>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4.2: Gantt chart comparison (SPT vs Hybrid) for a representative instance.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2" name="Picture 12"/>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4.3: Convergence curves (GA vs Hybrid) on a large single-machine instance (lower is better). The Hybrid curve shows a smoother, more consistent descent, while the GA best fitness oscillates per generation.</w:t>
      </w:r>
    </w:p>
    <w:p>
      <w:r>
        <w:drawing>
          <wp:inline xmlns:a="http://schemas.openxmlformats.org/drawingml/2006/main" xmlns:pic="http://schemas.openxmlformats.org/drawingml/2006/picture">
            <wp:extent cx="5029200" cy="1786116"/>
            <wp:docPr id="13" name="Picture 13"/>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The agent never selects swap mutation, using insertion exclusively in early stages before shifting toward inversion in later stages.</w:t>
      </w:r>
    </w:p>
    <w:p>
      <w:r>
        <w:drawing>
          <wp:inline xmlns:a="http://schemas.openxmlformats.org/drawingml/2006/main" xmlns:pic="http://schemas.openxmlformats.org/drawingml/2006/picture">
            <wp:extent cx="5029200" cy="1111956"/>
            <wp:docPr id="14" name="Picture 14"/>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The agent's performance improves steadily over 100,000 timesteps, converging to a stable policy.</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2820480"/>
            <wp:docPr id="15" name="Picture 15"/>
            <wp:cNvGraphicFramePr>
              <a:graphicFrameLocks noChangeAspect="1"/>
            </wp:cNvGraphicFramePr>
            <a:graphic>
              <a:graphicData uri="http://schemas.openxmlformats.org/drawingml/2006/picture">
                <pic:pic>
                  <pic:nvPicPr>
                    <pic:cNvPr id="0" name="05_boxplots_composite.png"/>
                    <pic:cNvPicPr/>
                  </pic:nvPicPr>
                  <pic:blipFill>
                    <a:blip r:embed="rId18"/>
                    <a:stretch>
                      <a:fillRect/>
                    </a:stretch>
                  </pic:blipFill>
                  <pic:spPr>
                    <a:xfrm>
                      <a:off x="0" y="0"/>
                      <a:ext cx="5029200" cy="2820480"/>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6" name="Picture 16"/>
            <wp:cNvGraphicFramePr>
              <a:graphicFrameLocks noChangeAspect="1"/>
            </wp:cNvGraphicFramePr>
            <a:graphic>
              <a:graphicData uri="http://schemas.openxmlformats.org/drawingml/2006/picture">
                <pic:pic>
                  <pic:nvPicPr>
                    <pic:cNvPr id="0" name="05_scatter_tardiness_setup.png"/>
                    <pic:cNvPicPr/>
                  </pic:nvPicPr>
                  <pic:blipFill>
                    <a:blip r:embed="rId23"/>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The Hybrid cluster is tightly grouped near the origin, while GA solutions are scattered across higher values in both objectives.</w:t>
      </w:r>
    </w:p>
    <w:p>
      <w:r>
        <w:drawing>
          <wp:inline xmlns:a="http://schemas.openxmlformats.org/drawingml/2006/main" xmlns:pic="http://schemas.openxmlformats.org/drawingml/2006/picture">
            <wp:extent cx="5029200" cy="1560786"/>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1560786"/>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1"/>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2"/>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0" name="Picture 20"/>
            <wp:cNvGraphicFramePr>
              <a:graphicFrameLocks noChangeAspect="1"/>
            </wp:cNvGraphicFramePr>
            <a:graphic>
              <a:graphicData uri="http://schemas.openxmlformats.org/drawingml/2006/picture">
                <pic:pic>
                  <pic:nvPicPr>
                    <pic:cNvPr id="0" name="05_nn_greedy_failures.png"/>
                    <pic:cNvPicPr/>
                  </pic:nvPicPr>
                  <pic:blipFill>
                    <a:blip r:embed="rId25"/>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NN-Greedy's worst-case performance is dramatically worse than its mean, while GA and Hybrid maintain consistent quality even in their worst runs.</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1" name="Picture 21"/>
            <wp:cNvGraphicFramePr>
              <a:graphicFrameLocks noChangeAspect="1"/>
            </wp:cNvGraphicFramePr>
            <a:graphic>
              <a:graphicData uri="http://schemas.openxmlformats.org/drawingml/2006/picture">
                <pic:pic>
                  <pic:nvPicPr>
                    <pic:cNvPr id="0" name="06_convergence.png"/>
                    <pic:cNvPicPr/>
                  </pic:nvPicPr>
                  <pic:blipFill>
                    <a:blip r:embed="rId20"/>
                    <a:stretch>
                      <a:fillRect/>
                    </a:stretch>
                  </pic:blipFill>
                  <pic:spPr>
                    <a:xfrm>
                      <a:off x="0" y="0"/>
                      <a:ext cx="5029200" cy="2980771"/>
                    </a:xfrm>
                    <a:prstGeom prst="rect"/>
                  </pic:spPr>
                </pic:pic>
              </a:graphicData>
            </a:graphic>
          </wp:inline>
        </w:drawing>
      </w:r>
    </w:p>
    <w:p>
      <w:pPr>
        <w:jc w:val="center"/>
      </w:pPr>
      <w:r>
        <w:rPr>
          <w:i/>
          <w:sz w:val="18"/>
        </w:rPr>
        <w:t>Figure 6.1: Convergence comparison on a large single-machine instance (seed=28, n50_m1, lower is better). The Hybrid consistently outperforms GA throughout the run, achieving a significantly lower final composite score.</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_stability.png"/>
                    <pic:cNvPicPr/>
                  </pic:nvPicPr>
                  <pic:blipFill>
                    <a:blip r:embed="rId26"/>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Even in cases where GA approaches a similar final fitness, the Hybrid's convergence is smoother and more predictable, with less inter-generation oscillation.</w:t>
      </w:r>
    </w:p>
    <w:p>
      <w:r>
        <w:drawing>
          <wp:inline xmlns:a="http://schemas.openxmlformats.org/drawingml/2006/main" xmlns:pic="http://schemas.openxmlformats.org/drawingml/2006/picture">
            <wp:extent cx="5029200" cy="4006788"/>
            <wp:docPr id="23" name="Picture 23"/>
            <wp:cNvGraphicFramePr>
              <a:graphicFrameLocks noChangeAspect="1"/>
            </wp:cNvGraphicFramePr>
            <a:graphic>
              <a:graphicData uri="http://schemas.openxmlformats.org/drawingml/2006/picture">
                <pic:pic>
                  <pic:nvPicPr>
                    <pic:cNvPr id="0" name="06_gantt_comparison.png"/>
                    <pic:cNvPicPr/>
                  </pic:nvPicPr>
                  <pic:blipFill>
                    <a:blip r:embed="rId19"/>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multi_5m.png"/>
                    <pic:cNvPicPr/>
                  </pic:nvPicPr>
                  <pic:blipFill>
                    <a:blip r:embed="rId27"/>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5" name="Picture 25"/>
            <wp:cNvGraphicFramePr>
              <a:graphicFrameLocks noChangeAspect="1"/>
            </wp:cNvGraphicFramePr>
            <a:graphic>
              <a:graphicData uri="http://schemas.openxmlformats.org/drawingml/2006/picture">
                <pic:pic>
                  <pic:nvPicPr>
                    <pic:cNvPr id="0" name="06_gantt_multi_10m_100.png"/>
                    <pic:cNvPicPr/>
                  </pic:nvPicPr>
                  <pic:blipFill>
                    <a:blip r:embed="rId28"/>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