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2981392"/>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2981392"/>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334780"/>
            <wp:docPr id="2" name="Picture 2"/>
            <wp:cNvGraphicFramePr>
              <a:graphicFrameLocks noChangeAspect="1"/>
            </wp:cNvGraphicFramePr>
            <a:graphic>
              <a:graphicData uri="http://schemas.openxmlformats.org/drawingml/2006/picture">
                <pic:pic>
                  <pic:nvPicPr>
                    <pic:cNvPr id="0" name="01_cost_heatmaps.png"/>
                    <pic:cNvPicPr/>
                  </pic:nvPicPr>
                  <pic:blipFill>
                    <a:blip r:embed="rId10"/>
                    <a:stretch>
                      <a:fillRect/>
                    </a:stretch>
                  </pic:blipFill>
                  <pic:spPr>
                    <a:xfrm>
                      <a:off x="0" y="0"/>
                      <a:ext cx="5029200" cy="3334780"/>
                    </a:xfrm>
                    <a:prstGeom prst="rect"/>
                  </pic:spPr>
                </pic:pic>
              </a:graphicData>
            </a:graphic>
          </wp:inline>
        </w:drawing>
      </w:r>
    </w:p>
    <w:p>
      <w:pPr>
        <w:jc w:val="center"/>
      </w:pPr>
      <w:r>
        <w:rPr>
          <w:i/>
          <w:sz w:val="18"/>
        </w:rPr>
        <w:t>Figure 1.2: Asymmetric setup cost matrix heatmaps. Darker cells indicate higher transition costs. The asymmetry is visible in the non-symmetric pattern across the diagonal.</w:t>
      </w:r>
    </w:p>
    <w:p>
      <w:r>
        <w:drawing>
          <wp:inline xmlns:a="http://schemas.openxmlformats.org/drawingml/2006/main" xmlns:pic="http://schemas.openxmlformats.org/drawingml/2006/picture">
            <wp:extent cx="5029200" cy="2983080"/>
            <wp:docPr id="3" name="Picture 3"/>
            <wp:cNvGraphicFramePr>
              <a:graphicFrameLocks noChangeAspect="1"/>
            </wp:cNvGraphicFramePr>
            <a:graphic>
              <a:graphicData uri="http://schemas.openxmlformats.org/drawingml/2006/picture">
                <pic:pic>
                  <pic:nvPicPr>
                    <pic:cNvPr id="0" name="01_proc_distributions.png"/>
                    <pic:cNvPicPr/>
                  </pic:nvPicPr>
                  <pic:blipFill>
                    <a:blip r:embed="rId11"/>
                    <a:stretch>
                      <a:fillRect/>
                    </a:stretch>
                  </pic:blipFill>
                  <pic:spPr>
                    <a:xfrm>
                      <a:off x="0" y="0"/>
                      <a:ext cx="5029200" cy="2983080"/>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229080"/>
            <wp:docPr id="4" name="Picture 4"/>
            <wp:cNvGraphicFramePr>
              <a:graphicFrameLocks noChangeAspect="1"/>
            </wp:cNvGraphicFramePr>
            <a:graphic>
              <a:graphicData uri="http://schemas.openxmlformats.org/drawingml/2006/picture">
                <pic:pic>
                  <pic:nvPicPr>
                    <pic:cNvPr id="0" name="01_duedates_vs_completion.png"/>
                    <pic:cNvPicPr/>
                  </pic:nvPicPr>
                  <pic:blipFill>
                    <a:blip r:embed="rId12"/>
                    <a:stretch>
                      <a:fillRect/>
                    </a:stretch>
                  </pic:blipFill>
                  <pic:spPr>
                    <a:xfrm>
                      <a:off x="0" y="0"/>
                      <a:ext cx="5029200" cy="3229080"/>
                    </a:xfrm>
                    <a:prstGeom prst="rect"/>
                  </pic:spPr>
                </pic:pic>
              </a:graphicData>
            </a:graphic>
          </wp:inline>
        </w:drawing>
      </w:r>
    </w:p>
    <w:p>
      <w:pPr>
        <w:jc w:val="center"/>
      </w:pPr>
      <w:r>
        <w:rPr>
          <w:i/>
          <w:sz w:val="18"/>
        </w:rPr>
        <w:t>Figure 1.4: Due dates vs completion times for a representative instance. Jobs above the diagonal are completed after their due date, incurring tardiness penalties.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5" name="Picture 5"/>
            <wp:cNvGraphicFramePr>
              <a:graphicFrameLocks noChangeAspect="1"/>
            </wp:cNvGraphicFramePr>
            <a:graphic>
              <a:graphicData uri="http://schemas.openxmlformats.org/drawingml/2006/picture">
                <pic:pic>
                  <pic:nvPicPr>
                    <pic:cNvPr id="0" name="02_heuristic_comparison.png"/>
                    <pic:cNvPicPr/>
                  </pic:nvPicPr>
                  <pic:blipFill>
                    <a:blip r:embed="rId13"/>
                    <a:stretch>
                      <a:fillRect/>
                    </a:stretch>
                  </pic:blipFill>
                  <pic:spPr>
                    <a:xfrm>
                      <a:off x="0" y="0"/>
                      <a:ext cx="5029200" cy="2468695"/>
                    </a:xfrm>
                    <a:prstGeom prst="rect"/>
                  </pic:spPr>
                </pic:pic>
              </a:graphicData>
            </a:graphic>
          </wp:inline>
        </w:drawing>
      </w:r>
    </w:p>
    <w:p>
      <w:pPr>
        <w:jc w:val="center"/>
      </w:pPr>
      <w:r>
        <w:rPr>
          <w:i/>
          <w:sz w:val="18"/>
        </w:rPr>
        <w:t>Figure 2.1: Heuristic performance comparison across instance configurations (lower is better). SPT and NN-Greedy show consistent but higher composite scores compared to the optimisation-based methods.</w:t>
      </w:r>
    </w:p>
    <w:p>
      <w:r>
        <w:drawing>
          <wp:inline xmlns:a="http://schemas.openxmlformats.org/drawingml/2006/main" xmlns:pic="http://schemas.openxmlformats.org/drawingml/2006/picture">
            <wp:extent cx="5029200" cy="1324363"/>
            <wp:docPr id="6" name="Picture 6"/>
            <wp:cNvGraphicFramePr>
              <a:graphicFrameLocks noChangeAspect="1"/>
            </wp:cNvGraphicFramePr>
            <a:graphic>
              <a:graphicData uri="http://schemas.openxmlformats.org/drawingml/2006/picture">
                <pic:pic>
                  <pic:nvPicPr>
                    <pic:cNvPr id="0" name="02_gantt_heuristics.png"/>
                    <pic:cNvPicPr/>
                  </pic:nvPicPr>
                  <pic:blipFill>
                    <a:blip r:embed="rId14"/>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7" name="Picture 7"/>
            <wp:cNvGraphicFramePr>
              <a:graphicFrameLocks noChangeAspect="1"/>
            </wp:cNvGraphicFramePr>
            <a:graphic>
              <a:graphicData uri="http://schemas.openxmlformats.org/drawingml/2006/picture">
                <pic:pic>
                  <pic:nvPicPr>
                    <pic:cNvPr id="0" name="03_convergence_curves.png"/>
                    <pic:cNvPicPr/>
                  </pic:nvPicPr>
                  <pic:blipFill>
                    <a:blip r:embed="rId15"/>
                    <a:stretch>
                      <a:fillRect/>
                    </a:stretch>
                  </pic:blipFill>
                  <pic:spPr>
                    <a:xfrm>
                      <a:off x="0" y="0"/>
                      <a:ext cx="5029200" cy="1623550"/>
                    </a:xfrm>
                    <a:prstGeom prst="rect"/>
                  </pic:spPr>
                </pic:pic>
              </a:graphicData>
            </a:graphic>
          </wp:inline>
        </w:drawing>
      </w:r>
    </w:p>
    <w:p>
      <w:pPr>
        <w:jc w:val="center"/>
      </w:pPr>
      <w:r>
        <w:rPr>
          <w:i/>
          <w:sz w:val="18"/>
        </w:rPr>
        <w:t>Figure 3.1: GA convergence curves across instance sizes (lower is better). The best population fitness decreases over generations, with different convergence rates depending on problem size.</w:t>
      </w:r>
    </w:p>
    <w:p>
      <w:r>
        <w:drawing>
          <wp:inline xmlns:a="http://schemas.openxmlformats.org/drawingml/2006/main" xmlns:pic="http://schemas.openxmlformats.org/drawingml/2006/picture">
            <wp:extent cx="5029200" cy="3199999"/>
            <wp:docPr id="8" name="Picture 8"/>
            <wp:cNvGraphicFramePr>
              <a:graphicFrameLocks noChangeAspect="1"/>
            </wp:cNvGraphicFramePr>
            <a:graphic>
              <a:graphicData uri="http://schemas.openxmlformats.org/drawingml/2006/picture">
                <pic:pic>
                  <pic:nvPicPr>
                    <pic:cNvPr id="0" name="03_fitness_heatmap.png"/>
                    <pic:cNvPicPr/>
                  </pic:nvPicPr>
                  <pic:blipFill>
                    <a:blip r:embed="rId16"/>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9" name="Picture 9"/>
            <wp:cNvGraphicFramePr>
              <a:graphicFrameLocks noChangeAspect="1"/>
            </wp:cNvGraphicFramePr>
            <a:graphic>
              <a:graphicData uri="http://schemas.openxmlformats.org/drawingml/2006/picture">
                <pic:pic>
                  <pic:nvPicPr>
                    <pic:cNvPr id="0" name="05_improvement_bars.png"/>
                    <pic:cNvPicPr/>
                  </pic:nvPicPr>
                  <pic:blipFill>
                    <a:blip r:embed="rId17"/>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2820480"/>
            <wp:docPr id="10" name="Picture 10"/>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2820480"/>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1" name="Picture 11"/>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4.2: Gantt chart comparison (SPT vs Hybrid) for a representative instance.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2" name="Picture 12"/>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4.3: Convergence curves (GA vs Hybrid) on a large single-machine instance (lower is better). The Hybrid curve shows a smoother, more consistent descent, while the GA best fitness oscillates per generation.</w:t>
      </w:r>
    </w:p>
    <w:p>
      <w:r>
        <w:drawing>
          <wp:inline xmlns:a="http://schemas.openxmlformats.org/drawingml/2006/main" xmlns:pic="http://schemas.openxmlformats.org/drawingml/2006/picture">
            <wp:extent cx="5029200" cy="1786116"/>
            <wp:docPr id="13" name="Picture 13"/>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The agent never selects swap mutation, using insertion exclusively in early stages before shifting toward inversion in later stages.</w:t>
      </w:r>
    </w:p>
    <w:p>
      <w:r>
        <w:drawing>
          <wp:inline xmlns:a="http://schemas.openxmlformats.org/drawingml/2006/main" xmlns:pic="http://schemas.openxmlformats.org/drawingml/2006/picture">
            <wp:extent cx="5029200" cy="1111956"/>
            <wp:docPr id="14" name="Picture 14"/>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The agent's performance improves steadily over 100,000 timesteps, converging to a stable policy.</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2820480"/>
            <wp:docPr id="15" name="Picture 15"/>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2820480"/>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1783696"/>
            <wp:docPr id="16" name="Picture 16"/>
            <wp:cNvGraphicFramePr>
              <a:graphicFrameLocks noChangeAspect="1"/>
            </wp:cNvGraphicFramePr>
            <a:graphic>
              <a:graphicData uri="http://schemas.openxmlformats.org/drawingml/2006/picture">
                <pic:pic>
                  <pic:nvPicPr>
                    <pic:cNvPr id="0" name="05_scatter_tardiness_setup.png"/>
                    <pic:cNvPicPr/>
                  </pic:nvPicPr>
                  <pic:blipFill>
                    <a:blip r:embed="rId23"/>
                    <a:stretch>
                      <a:fillRect/>
                    </a:stretch>
                  </pic:blipFill>
                  <pic:spPr>
                    <a:xfrm>
                      <a:off x="0" y="0"/>
                      <a:ext cx="5029200" cy="1783696"/>
                    </a:xfrm>
                    <a:prstGeom prst="rect"/>
                  </pic:spPr>
                </pic:pic>
              </a:graphicData>
            </a:graphic>
          </wp:inline>
        </w:drawing>
      </w:r>
    </w:p>
    <w:p>
      <w:pPr>
        <w:jc w:val="center"/>
      </w:pPr>
      <w:r>
        <w:rPr>
          <w:i/>
          <w:sz w:val="18"/>
        </w:rPr>
        <w:t>Figure 5.5: Scatter plot of weighted tardiness versus setup cost for GA and Hybrid on n50_m1 (50 seeds each, lower is better — closer to origin). Hybrid solutions cluster toward the origin, indicating simultaneous improvement in both objectives rather than trading one off against the other.</w:t>
      </w:r>
    </w:p>
    <w:p>
      <w:r>
        <w:drawing>
          <wp:inline xmlns:a="http://schemas.openxmlformats.org/drawingml/2006/main" xmlns:pic="http://schemas.openxmlformats.org/drawingml/2006/picture">
            <wp:extent cx="5029200" cy="1560786"/>
            <wp:docPr id="17" name="Picture 17"/>
            <wp:cNvGraphicFramePr>
              <a:graphicFrameLocks noChangeAspect="1"/>
            </wp:cNvGraphicFramePr>
            <a:graphic>
              <a:graphicData uri="http://schemas.openxmlformats.org/drawingml/2006/picture">
                <pic:pic>
                  <pic:nvPicPr>
                    <pic:cNvPr id="0" name="05_sensitivity_alpha.png"/>
                    <pic:cNvPicPr/>
                  </pic:nvPicPr>
                  <pic:blipFill>
                    <a:blip r:embed="rId24"/>
                    <a:stretch>
                      <a:fillRect/>
                    </a:stretch>
                  </pic:blipFill>
                  <pic:spPr>
                    <a:xfrm>
                      <a:off x="0" y="0"/>
                      <a:ext cx="5029200" cy="1560786"/>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8" name="Picture 18"/>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19" name="Picture 19"/>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0" name="Picture 20"/>
            <wp:cNvGraphicFramePr>
              <a:graphicFrameLocks noChangeAspect="1"/>
            </wp:cNvGraphicFramePr>
            <a:graphic>
              <a:graphicData uri="http://schemas.openxmlformats.org/drawingml/2006/picture">
                <pic:pic>
                  <pic:nvPicPr>
                    <pic:cNvPr id="0" name="05_nn_greedy_failures.png"/>
                    <pic:cNvPicPr/>
                  </pic:nvPicPr>
                  <pic:blipFill>
                    <a:blip r:embed="rId25"/>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NN-Greedy's worst-case performance is dramatically worse than its mean, while GA and Hybrid maintain consistent quality even in their worst runs.</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1" name="Picture 21"/>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6.1: Convergence comparison on a large single-machine instance (seed=28, n50_m1, lower is better). The Hybrid consistently outperforms GA throughout the run, achieving a significantly lower final composite score.</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_stability.png"/>
                    <pic:cNvPicPr/>
                  </pic:nvPicPr>
                  <pic:blipFill>
                    <a:blip r:embed="rId26"/>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Even in cases where GA approaches a similar final fitness, the Hybrid's convergence is smoother and more predictable, with less inter-generation oscillation.</w:t>
      </w:r>
    </w:p>
    <w:p>
      <w:r>
        <w:drawing>
          <wp:inline xmlns:a="http://schemas.openxmlformats.org/drawingml/2006/main" xmlns:pic="http://schemas.openxmlformats.org/drawingml/2006/picture">
            <wp:extent cx="5029200" cy="4006788"/>
            <wp:docPr id="23" name="Picture 23"/>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multi_5m.png"/>
                    <pic:cNvPicPr/>
                  </pic:nvPicPr>
                  <pic:blipFill>
                    <a:blip r:embed="rId27"/>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5" name="Picture 25"/>
            <wp:cNvGraphicFramePr>
              <a:graphicFrameLocks noChangeAspect="1"/>
            </wp:cNvGraphicFramePr>
            <a:graphic>
              <a:graphicData uri="http://schemas.openxmlformats.org/drawingml/2006/picture">
                <pic:pic>
                  <pic:nvPicPr>
                    <pic:cNvPr id="0" name="06_gantt_multi_10m_100.png"/>
                    <pic:cNvPicPr/>
                  </pic:nvPicPr>
                  <pic:blipFill>
                    <a:blip r:embed="rId28"/>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